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51435</wp:posOffset>
            </wp:positionV>
            <wp:extent cx="548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87630</wp:posOffset>
            </wp:positionV>
            <wp:extent cx="5486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76835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C3.AI,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178435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tbl>
      <w:tblPr>
        <w:tblLayout w:type="fixed"/>
        <w:tblInd w:w="420" w:type="dxa"/>
        <w:tblCellMar>
          <w:top w:w="0" w:type="dxa"/>
          <w:left w:w="0" w:type="dxa"/>
          <w:bottom w:w="0" w:type="dxa"/>
          <w:right w:w="0" w:type="dxa"/>
        </w:tblCellMar>
      </w:tblPr>
      <w:tr>
        <w:trPr>
          <w:trHeight w:val="251"/>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380" w:type="dxa"/>
            <w:vAlign w:val="bottom"/>
          </w:tcPr>
          <w:p>
            <w:pPr>
              <w:jc w:val="center"/>
              <w:ind w:right="46"/>
              <w:spacing w:after="0"/>
              <w:rPr>
                <w:sz w:val="20"/>
                <w:szCs w:val="20"/>
                <w:color w:val="auto"/>
              </w:rPr>
            </w:pPr>
            <w:r>
              <w:rPr>
                <w:rFonts w:ascii="Times New Roman" w:cs="Times New Roman" w:eastAsia="Times New Roman" w:hAnsi="Times New Roman"/>
                <w:sz w:val="18"/>
                <w:szCs w:val="18"/>
                <w:color w:val="auto"/>
              </w:rPr>
              <w:t>(Commission File Number)</w:t>
            </w:r>
          </w:p>
        </w:tc>
        <w:tc>
          <w:tcPr>
            <w:tcW w:w="2720" w:type="dxa"/>
            <w:vAlign w:val="bottom"/>
          </w:tcPr>
          <w:p>
            <w:pPr>
              <w:jc w:val="center"/>
              <w:ind w:left="147"/>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16"/>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3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rPr>
              <w:t>of Incorporation)</w:t>
            </w:r>
          </w:p>
        </w:tc>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9"/>
              </w:rPr>
              <w:t>1400 Seaport Blvd</w:t>
            </w:r>
          </w:p>
        </w:tc>
        <w:tc>
          <w:tcPr>
            <w:tcW w:w="4380" w:type="dxa"/>
            <w:vAlign w:val="bottom"/>
          </w:tcPr>
          <w:p>
            <w:pPr>
              <w:spacing w:after="0"/>
              <w:rPr>
                <w:sz w:val="24"/>
                <w:szCs w:val="24"/>
                <w:color w:val="auto"/>
              </w:rPr>
            </w:pPr>
          </w:p>
        </w:tc>
        <w:tc>
          <w:tcPr>
            <w:tcW w:w="2720" w:type="dxa"/>
            <w:vAlign w:val="bottom"/>
          </w:tcPr>
          <w:p>
            <w:pPr>
              <w:jc w:val="center"/>
              <w:ind w:left="167"/>
              <w:spacing w:after="0"/>
              <w:rPr>
                <w:sz w:val="20"/>
                <w:szCs w:val="20"/>
                <w:color w:val="auto"/>
              </w:rPr>
            </w:pPr>
            <w:r>
              <w:rPr>
                <w:rFonts w:ascii="Times New Roman" w:cs="Times New Roman" w:eastAsia="Times New Roman" w:hAnsi="Times New Roman"/>
                <w:sz w:val="20"/>
                <w:szCs w:val="20"/>
                <w:b w:val="1"/>
                <w:bCs w:val="1"/>
                <w:color w:val="auto"/>
                <w:w w:val="99"/>
              </w:rPr>
              <w:t>94063</w:t>
            </w:r>
          </w:p>
        </w:tc>
        <w:tc>
          <w:tcPr>
            <w:tcW w:w="0" w:type="dxa"/>
            <w:vAlign w:val="bottom"/>
          </w:tcPr>
          <w:p>
            <w:pPr>
              <w:spacing w:after="0"/>
              <w:rPr>
                <w:sz w:val="1"/>
                <w:szCs w:val="1"/>
                <w:color w:val="auto"/>
              </w:rPr>
            </w:pPr>
          </w:p>
        </w:tc>
      </w:tr>
      <w:tr>
        <w:trPr>
          <w:trHeight w:val="283"/>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7"/>
              </w:rPr>
              <w:t>Redwood City, CA</w:t>
            </w:r>
          </w:p>
        </w:tc>
        <w:tc>
          <w:tcPr>
            <w:tcW w:w="4380" w:type="dxa"/>
            <w:vAlign w:val="bottom"/>
          </w:tcPr>
          <w:p>
            <w:pPr>
              <w:spacing w:after="0"/>
              <w:rPr>
                <w:sz w:val="24"/>
                <w:szCs w:val="24"/>
                <w:color w:val="auto"/>
              </w:rPr>
            </w:pPr>
          </w:p>
        </w:tc>
        <w:tc>
          <w:tcPr>
            <w:tcW w:w="2720" w:type="dxa"/>
            <w:vAlign w:val="bottom"/>
          </w:tcPr>
          <w:p>
            <w:pPr>
              <w:jc w:val="center"/>
              <w:ind w:left="167"/>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r>
        <w:trPr>
          <w:trHeight w:val="208"/>
        </w:trPr>
        <w:tc>
          <w:tcPr>
            <w:tcW w:w="3080" w:type="dxa"/>
            <w:vAlign w:val="bottom"/>
          </w:tcPr>
          <w:p>
            <w:pPr>
              <w:jc w:val="center"/>
              <w:ind w:right="65"/>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380" w:type="dxa"/>
            <w:vAlign w:val="bottom"/>
            <w:vMerge w:val="restart"/>
          </w:tcPr>
          <w:p>
            <w:pPr>
              <w:jc w:val="right"/>
              <w:ind w:right="1686"/>
              <w:spacing w:after="0"/>
              <w:rPr>
                <w:sz w:val="20"/>
                <w:szCs w:val="20"/>
                <w:color w:val="auto"/>
              </w:rPr>
            </w:pPr>
            <w:r>
              <w:rPr>
                <w:rFonts w:ascii="Times New Roman" w:cs="Times New Roman" w:eastAsia="Times New Roman" w:hAnsi="Times New Roman"/>
                <w:sz w:val="20"/>
                <w:szCs w:val="20"/>
                <w:b w:val="1"/>
                <w:bCs w:val="1"/>
                <w:color w:val="auto"/>
              </w:rPr>
              <w:t>26-3999357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80" w:type="dxa"/>
            <w:vAlign w:val="bottom"/>
            <w:vMerge w:val="restart"/>
          </w:tcPr>
          <w:p>
            <w:pPr>
              <w:jc w:val="center"/>
              <w:ind w:right="65"/>
              <w:spacing w:after="0"/>
              <w:rPr>
                <w:sz w:val="20"/>
                <w:szCs w:val="20"/>
                <w:color w:val="auto"/>
              </w:rPr>
            </w:pPr>
            <w:r>
              <w:rPr>
                <w:rFonts w:ascii="Times New Roman" w:cs="Times New Roman" w:eastAsia="Times New Roman" w:hAnsi="Times New Roman"/>
                <w:sz w:val="20"/>
                <w:szCs w:val="20"/>
                <w:b w:val="1"/>
                <w:bCs w:val="1"/>
                <w:color w:val="auto"/>
                <w:w w:val="96"/>
              </w:rPr>
              <w:t>001-39744</w:t>
            </w:r>
          </w:p>
        </w:tc>
        <w:tc>
          <w:tcPr>
            <w:tcW w:w="43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4380" w:type="dxa"/>
            <w:vAlign w:val="bottom"/>
            <w:vMerge w:val="restart"/>
          </w:tcPr>
          <w:p>
            <w:pPr>
              <w:jc w:val="right"/>
              <w:ind w:right="1546"/>
              <w:spacing w:after="0"/>
              <w:rPr>
                <w:sz w:val="20"/>
                <w:szCs w:val="20"/>
                <w:color w:val="auto"/>
              </w:rPr>
            </w:pPr>
            <w:r>
              <w:rPr>
                <w:rFonts w:ascii="Times New Roman" w:cs="Times New Roman" w:eastAsia="Times New Roman" w:hAnsi="Times New Roman"/>
                <w:sz w:val="20"/>
                <w:szCs w:val="20"/>
                <w:b w:val="1"/>
                <w:bCs w:val="1"/>
                <w:color w:val="auto"/>
              </w:rPr>
              <w:t>(650) 503-2200</w:t>
            </w: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3080" w:type="dxa"/>
            <w:vAlign w:val="bottom"/>
          </w:tcPr>
          <w:p>
            <w:pPr>
              <w:spacing w:after="0"/>
              <w:rPr>
                <w:sz w:val="19"/>
                <w:szCs w:val="19"/>
                <w:color w:val="auto"/>
              </w:rPr>
            </w:pPr>
          </w:p>
        </w:tc>
        <w:tc>
          <w:tcPr>
            <w:tcW w:w="4380" w:type="dxa"/>
            <w:vAlign w:val="bottom"/>
            <w:vMerge w:val="continue"/>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p>
        </w:tc>
        <w:tc>
          <w:tcPr>
            <w:tcW w:w="4380" w:type="dxa"/>
            <w:vAlign w:val="bottom"/>
          </w:tcPr>
          <w:p>
            <w:pPr>
              <w:jc w:val="center"/>
              <w:ind w:right="26"/>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175895</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20"/>
          <w:szCs w:val="20"/>
          <w:u w:val="single" w:color="auto"/>
          <w:color w:val="auto"/>
        </w:rPr>
        <w:t>see</w:t>
      </w:r>
      <w:r>
        <w:rPr>
          <w:rFonts w:ascii="Times New Roman" w:cs="Times New Roman" w:eastAsia="Times New Roman" w:hAnsi="Times New Roman"/>
          <w:sz w:val="20"/>
          <w:szCs w:val="20"/>
          <w:color w:val="auto"/>
        </w:rPr>
        <w:t xml:space="preserve"> General Instruction A.2. below):</w:t>
      </w: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0" w:lineRule="exact"/>
        <w:rPr>
          <w:rFonts w:ascii="MS PGothic" w:cs="MS PGothic" w:eastAsia="MS PGothic" w:hAnsi="MS PGothic"/>
          <w:sz w:val="20"/>
          <w:szCs w:val="20"/>
          <w:color w:val="auto"/>
        </w:rPr>
      </w:pP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231F20"/>
        </w:rPr>
        <w:t>Soliciting material pursuant to Rule 14a-12 under the Exchange Act (17 CFR 240.14a-12)</w:t>
      </w: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231F20"/>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460" w:hanging="371"/>
        <w:spacing w:after="0"/>
        <w:tabs>
          <w:tab w:leader="none" w:pos="4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231F20"/>
        </w:rPr>
        <w:t>Pre-commencement communications pursuant to Rule 13e-4(c) under the Exchange Act (17 CFR 240.13e-4(c))</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9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236"/>
        </w:trPr>
        <w:tc>
          <w:tcPr>
            <w:tcW w:w="5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AI</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42"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5"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231F20"/>
        </w:rPr>
        <w:t xml:space="preserve">Emerging growth company </w:t>
      </w:r>
      <w:r>
        <w:rPr>
          <w:rFonts w:ascii="MS PGothic" w:cs="MS PGothic" w:eastAsia="MS PGothic" w:hAnsi="MS PGothic"/>
          <w:sz w:val="20"/>
          <w:szCs w:val="20"/>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2.02</w:t>
      </w:r>
      <w:r>
        <w:rPr>
          <w:sz w:val="20"/>
          <w:szCs w:val="20"/>
          <w:color w:val="auto"/>
        </w:rPr>
        <w:tab/>
      </w:r>
      <w:r>
        <w:rPr>
          <w:rFonts w:ascii="Times New Roman" w:cs="Times New Roman" w:eastAsia="Times New Roman" w:hAnsi="Times New Roman"/>
          <w:sz w:val="21"/>
          <w:szCs w:val="21"/>
          <w:b w:val="1"/>
          <w:bCs w:val="1"/>
          <w:color w:val="auto"/>
        </w:rPr>
        <w:t>Results of Operations and Financial Condition.</w:t>
      </w:r>
    </w:p>
    <w:p>
      <w:pPr>
        <w:spacing w:after="0" w:line="2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2"/>
          <w:szCs w:val="22"/>
          <w:color w:val="auto"/>
        </w:rPr>
        <w:t>On June 3, 2026, C3.ai,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issued a press release announcing its financial results for the fiscal fourth quarter and the full fiscal year ended April 30, 2026. A copy of the press release is attached hereto as Exhibit 99.1 and is incorporated herein by reference.</w:t>
      </w:r>
    </w:p>
    <w:p>
      <w:pPr>
        <w:spacing w:after="0" w:line="19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The information contained in this Item 2.02 and Item 9.01 in this Current Report on Form 8-K, including the accompanying Exhibit 99.1 hereto, shall not be deemed “filed” for purposes of Section 18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or otherwise subject to the liabilities of that section, nor shall it be deemed incorporated by reference in any filing made by the Company under the Securities Act of 1933, as amended, or the Exchange Act, regardless of any general incorporation language in such filings, unless expressly incorporated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ectPr>
          <w:pgSz w:w="11900" w:h="16838" w:orient="portrait"/>
          <w:cols w:equalWidth="0" w:num="1">
            <w:col w:w="11240"/>
          </w:cols>
          <w:pgMar w:left="320" w:top="1013" w:right="339" w:bottom="144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301"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1"/>
          <w:szCs w:val="2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u w:val="single" w:color="auto"/>
          <w:color w:val="0000FF"/>
        </w:rPr>
        <w:t>99.1</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27940</wp:posOffset>
            </wp:positionV>
            <wp:extent cx="5494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Press Release dated June 3, 2026</w:t>
      </w:r>
    </w:p>
    <w:p>
      <w:pPr>
        <w:spacing w:after="0" w:line="5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516255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80" w:space="720"/>
            <w:col w:w="8640"/>
          </w:cols>
          <w:pgMar w:left="320" w:top="1013" w:right="3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C3.ai, Inc.</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Dated: June 3, 2026</w:t>
      </w:r>
    </w:p>
    <w:p>
      <w:pPr>
        <w:spacing w:after="0" w:line="58" w:lineRule="exact"/>
        <w:rPr>
          <w:sz w:val="20"/>
          <w:szCs w:val="20"/>
          <w:color w:val="auto"/>
        </w:rPr>
      </w:pPr>
    </w:p>
    <w:p>
      <w:pPr>
        <w:ind w:left="4780"/>
        <w:spacing w:after="0"/>
        <w:tabs>
          <w:tab w:leader="none" w:pos="6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Thomas M. Siebel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27940</wp:posOffset>
            </wp:positionV>
            <wp:extent cx="3188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Thomas M. Siebel</w:t>
      </w:r>
    </w:p>
    <w:p>
      <w:pPr>
        <w:spacing w:after="0" w:line="5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Chief Executive Officer and Chairman of the Board of</w:t>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2"/>
          <w:szCs w:val="22"/>
          <w:color w:val="auto"/>
        </w:rPr>
        <w:t>Directors</w:t>
      </w:r>
    </w:p>
    <w:p>
      <w:pPr>
        <w:sectPr>
          <w:pgSz w:w="11900" w:h="16838" w:orient="portrait"/>
          <w:cols w:equalWidth="0" w:num="1">
            <w:col w:w="11240"/>
          </w:cols>
          <w:pgMar w:left="320" w:top="77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C3 AI Announces Fiscal Fourth Quarter and Full Fiscal Year 2026 Results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Thomas M. Siebel Resumes Role of Chief Executive Officer</w:t>
      </w:r>
    </w:p>
    <w:p>
      <w:pPr>
        <w:spacing w:after="0" w:line="200" w:lineRule="exact"/>
        <w:rPr>
          <w:sz w:val="20"/>
          <w:szCs w:val="20"/>
          <w:color w:val="auto"/>
        </w:rPr>
      </w:pPr>
    </w:p>
    <w:p>
      <w:pPr>
        <w:spacing w:after="0" w:line="3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REDWOOD CITY, Calif</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 xml:space="preserve"> June 3, 2026 — C3.ai, Inc. (“C3 AI,” “C3,” or the “Company”) (NYSE: AI), the Enterprise AI application software company, today announced financial results for its fiscal fourth quarter and full fiscal year ended April 30,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well-defined strategy, a restructured organization, new executive leadership, and a detailed execution plan now in place with the singular focus of increasing shareholder value through topline revenue growth, cash generation, and non-GAAP profitability. Game on,” said Thomas M. Siebel, Chairman and Chief Executive Officer, C3 AI.</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Fourth Quarter 2026 Financial Highlights:</w:t>
      </w:r>
    </w:p>
    <w:p>
      <w:pPr>
        <w:spacing w:after="0" w:line="17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$51.6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Subscription Revenue </w:t>
      </w:r>
      <w:r>
        <w:rPr>
          <w:rFonts w:ascii="Times New Roman" w:cs="Times New Roman" w:eastAsia="Times New Roman" w:hAnsi="Times New Roman"/>
          <w:sz w:val="18"/>
          <w:szCs w:val="18"/>
          <w:color w:val="auto"/>
        </w:rPr>
        <w:t>was $48.4 million. Subscription revenue constituted 94% of total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Subscription and Prioritized Engineering Services Revenue Combined </w:t>
      </w:r>
      <w:r>
        <w:rPr>
          <w:rFonts w:ascii="Times New Roman" w:cs="Times New Roman" w:eastAsia="Times New Roman" w:hAnsi="Times New Roman"/>
          <w:sz w:val="18"/>
          <w:szCs w:val="18"/>
          <w:color w:val="auto"/>
        </w:rPr>
        <w:t>was $50.5 million, constituting 98% of total revenue.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gross profit </w:t>
      </w:r>
      <w:r>
        <w:rPr>
          <w:rFonts w:ascii="Times New Roman" w:cs="Times New Roman" w:eastAsia="Times New Roman" w:hAnsi="Times New Roman"/>
          <w:sz w:val="18"/>
          <w:szCs w:val="18"/>
          <w:color w:val="auto"/>
        </w:rPr>
        <w:t>was $11.3 million, representing a 22% gross margin. Non-GAAP gross profit was $19.3 million, representing a 37% non-GAAP gross margin.</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GAAP net loss per share </w:t>
      </w:r>
      <w:r>
        <w:rPr>
          <w:rFonts w:ascii="Times New Roman" w:cs="Times New Roman" w:eastAsia="Times New Roman" w:hAnsi="Times New Roman"/>
          <w:sz w:val="18"/>
          <w:szCs w:val="18"/>
          <w:color w:val="auto"/>
        </w:rPr>
        <w:t>was $(0.79). Non-GAAP net loss per share was $(0.33).</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was $575.4 million.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Fiscal Year 2026 Financial Highlights:</w:t>
      </w:r>
    </w:p>
    <w:p>
      <w:pPr>
        <w:spacing w:after="0" w:line="17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was $250.3 million.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Subscription Revenue </w:t>
      </w:r>
      <w:r>
        <w:rPr>
          <w:rFonts w:ascii="Times New Roman" w:cs="Times New Roman" w:eastAsia="Times New Roman" w:hAnsi="Times New Roman"/>
          <w:sz w:val="18"/>
          <w:szCs w:val="18"/>
          <w:color w:val="auto"/>
        </w:rPr>
        <w:t>was $227.1 million. Subscription revenue constituted 91% of total revenue.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Subscription and Prioritized Engineering Services Revenue Combined </w:t>
      </w:r>
      <w:r>
        <w:rPr>
          <w:rFonts w:ascii="Times New Roman" w:cs="Times New Roman" w:eastAsia="Times New Roman" w:hAnsi="Times New Roman"/>
          <w:sz w:val="18"/>
          <w:szCs w:val="18"/>
          <w:color w:val="auto"/>
        </w:rPr>
        <w:t>was $245.1 million, constituting 98% of total revenue.</w:t>
      </w:r>
    </w:p>
    <w:p>
      <w:pPr>
        <w:spacing w:after="0" w:line="17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GAAP gross profit was $77.4 million, representing 31% gross margin. Non-GAAP gross profit was $116.2 million, representing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46% non-GAAP gross margin.</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per Share: </w:t>
      </w:r>
      <w:r>
        <w:rPr>
          <w:rFonts w:ascii="Times New Roman" w:cs="Times New Roman" w:eastAsia="Times New Roman" w:hAnsi="Times New Roman"/>
          <w:sz w:val="18"/>
          <w:szCs w:val="18"/>
          <w:color w:val="auto"/>
        </w:rPr>
        <w:t>GAAP net loss per share was $(3.35). Non-GAAP net loss per share was $(1.35).</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performance over recent quarters has been entirely unacceptable, to the point of surreal,” Siebel continued. “We are here to fix it.”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its cash, cash equivalents, and marketable securities balance as of June 3, 2026 was $673 million. This includes the proceeds from Mr. Siebel’s purchase of 6.17 million shares of C3 AI stock at a price of $11.16 per share.</w:t>
      </w:r>
    </w:p>
    <w:p>
      <w:pPr>
        <w:sectPr>
          <w:pgSz w:w="11900" w:h="16838" w:orient="portrait"/>
          <w:cols w:equalWidth="0" w:num="1">
            <w:col w:w="11240"/>
          </w:cols>
          <w:pgMar w:left="320" w:top="12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guidance includes GAAP and non-GAAP financial measures.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C3 AI’s guidance for the first quarter of fiscal 2027 and full-year fiscal 2027:</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(in millions)</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First Quarter Fiscal 2027</w:t>
            </w:r>
          </w:p>
        </w:tc>
        <w:tc>
          <w:tcPr>
            <w:tcW w:w="2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Full Year Fiscal 2027 Guidance</w:t>
            </w:r>
          </w:p>
        </w:tc>
        <w:tc>
          <w:tcPr>
            <w:tcW w:w="0" w:type="dxa"/>
            <w:vAlign w:val="bottom"/>
          </w:tcPr>
          <w:p>
            <w:pPr>
              <w:spacing w:after="0"/>
              <w:rPr>
                <w:sz w:val="1"/>
                <w:szCs w:val="1"/>
                <w:color w:val="auto"/>
              </w:rPr>
            </w:pPr>
          </w:p>
        </w:tc>
      </w:tr>
      <w:tr>
        <w:trPr>
          <w:trHeight w:val="158"/>
        </w:trPr>
        <w:tc>
          <w:tcPr>
            <w:tcW w:w="5980" w:type="dxa"/>
            <w:vAlign w:val="bottom"/>
            <w:vMerge w:val="continue"/>
          </w:tcPr>
          <w:p>
            <w:pPr>
              <w:spacing w:after="0"/>
              <w:rPr>
                <w:sz w:val="13"/>
                <w:szCs w:val="13"/>
                <w:color w:val="auto"/>
              </w:rPr>
            </w:pPr>
          </w:p>
        </w:tc>
        <w:tc>
          <w:tcPr>
            <w:tcW w:w="2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Guidance</w:t>
            </w:r>
          </w:p>
        </w:tc>
        <w:tc>
          <w:tcPr>
            <w:tcW w:w="2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2700" w:type="dxa"/>
            <w:vAlign w:val="bottom"/>
            <w:gridSpan w:val="2"/>
            <w:vMerge w:val="continue"/>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5980" w:type="dxa"/>
            <w:vAlign w:val="bottom"/>
            <w:tcBorders>
              <w:bottom w:val="single" w:sz="8" w:color="CCEEFF"/>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Total revenue</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 $54.0</w:t>
            </w:r>
          </w:p>
        </w:tc>
        <w:tc>
          <w:tcPr>
            <w:tcW w:w="1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 $240.0</w:t>
            </w:r>
          </w:p>
        </w:tc>
        <w:tc>
          <w:tcPr>
            <w:tcW w:w="0" w:type="dxa"/>
            <w:vAlign w:val="bottom"/>
          </w:tcPr>
          <w:p>
            <w:pPr>
              <w:spacing w:after="0"/>
              <w:rPr>
                <w:sz w:val="1"/>
                <w:szCs w:val="1"/>
                <w:color w:val="auto"/>
              </w:rPr>
            </w:pPr>
          </w:p>
        </w:tc>
      </w:tr>
      <w:tr>
        <w:trPr>
          <w:trHeight w:val="243"/>
        </w:trPr>
        <w:tc>
          <w:tcPr>
            <w:tcW w:w="5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 $(48.5)</w:t>
            </w:r>
          </w:p>
        </w:tc>
        <w:tc>
          <w:tcPr>
            <w:tcW w:w="140" w:type="dxa"/>
            <w:vAlign w:val="bottom"/>
          </w:tcPr>
          <w:p>
            <w:pPr>
              <w:spacing w:after="0"/>
              <w:rPr>
                <w:sz w:val="21"/>
                <w:szCs w:val="21"/>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 - $(160.0)</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reconciliation of non-GAAP guidance measures to corresponding GAAP measures is not available on a forward-looking basis without unreasonable effort due to the uncertainty regarding, and the potential variability of, expenses that may be incurred in the future. Stock-based compensation expense-related charges, including employer payroll tax-related items on employee stock transactions, are impacted by the timing of employee stock transactions, the future fair market value of our common stock, and our future hiring and retention needs, all of which are difficult to predict and subject to constant change. We have provided a reconciliation of GAAP to non-GAAP financial measures in the financial statement tables for our historical non-GAAP results included in this press release. Our fiscal year ends April 30, and numbers are rounded for presentation purposes.</w:t>
      </w:r>
    </w:p>
    <w:p>
      <w:pPr>
        <w:sectPr>
          <w:pgSz w:w="11900" w:h="16838" w:orient="portrait"/>
          <w:cols w:equalWidth="0" w:num="1">
            <w:col w:w="11240"/>
          </w:cols>
          <w:pgMar w:left="320" w:top="108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Conference Call Details</w:t>
      </w:r>
    </w:p>
    <w:p>
      <w:pPr>
        <w:sectPr>
          <w:pgSz w:w="11900" w:h="16838" w:orient="portrait"/>
          <w:cols w:equalWidth="0" w:num="1">
            <w:col w:w="11240"/>
          </w:cols>
          <w:pgMar w:left="320" w:top="1305" w:right="339" w:bottom="1440" w:gutter="0" w:footer="0" w:header="0"/>
        </w:sect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What: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When: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Time:</w:t>
      </w:r>
    </w:p>
    <w:p>
      <w:pPr>
        <w:spacing w:after="0" w:line="63" w:lineRule="exact"/>
        <w:rPr>
          <w:sz w:val="20"/>
          <w:szCs w:val="20"/>
          <w:color w:val="auto"/>
        </w:rPr>
      </w:pPr>
    </w:p>
    <w:p>
      <w:pPr>
        <w:ind w:left="20" w:right="60"/>
        <w:spacing w:after="0" w:line="281" w:lineRule="auto"/>
        <w:rPr>
          <w:sz w:val="20"/>
          <w:szCs w:val="20"/>
          <w:color w:val="auto"/>
        </w:rPr>
      </w:pPr>
      <w:r>
        <w:rPr>
          <w:rFonts w:ascii="Times New Roman" w:cs="Times New Roman" w:eastAsia="Times New Roman" w:hAnsi="Times New Roman"/>
          <w:sz w:val="18"/>
          <w:szCs w:val="18"/>
          <w:color w:val="auto"/>
        </w:rPr>
        <w:t>Participant Registration: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Webcast: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 AI Fiscal Fourth Quarter and Fiscal Year 2026 Earnings Call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Wednesday, June 3, 2026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p.m. PT / 5:00 p.m. 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3051F2"/>
        </w:rPr>
        <w:t>https://register-conf.media-server.com/register/BI0e0b9c57fb3c40dfadcec96101df5606</w:t>
      </w:r>
      <w:r>
        <w:rPr>
          <w:rFonts w:ascii="Times New Roman" w:cs="Times New Roman" w:eastAsia="Times New Roman" w:hAnsi="Times New Roman"/>
          <w:sz w:val="17"/>
          <w:szCs w:val="17"/>
          <w:color w:val="3051F2"/>
        </w:rPr>
        <w:t xml:space="preserve"> </w:t>
      </w:r>
      <w:r>
        <w:rPr>
          <w:rFonts w:ascii="Times New Roman" w:cs="Times New Roman" w:eastAsia="Times New Roman" w:hAnsi="Times New Roman"/>
          <w:sz w:val="17"/>
          <w:szCs w:val="17"/>
          <w:color w:val="000000"/>
        </w:rPr>
        <w:t>(live)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3051F2"/>
        </w:rPr>
        <w:t>https://edge.media-server.com/mmc/p/5jvywhah/</w:t>
      </w:r>
      <w:r>
        <w:rPr>
          <w:rFonts w:ascii="Times New Roman" w:cs="Times New Roman" w:eastAsia="Times New Roman" w:hAnsi="Times New Roman"/>
          <w:sz w:val="18"/>
          <w:szCs w:val="18"/>
          <w:color w:val="3051F2"/>
        </w:rPr>
        <w:t xml:space="preserve"> </w:t>
      </w:r>
      <w:r>
        <w:rPr>
          <w:rFonts w:ascii="Times New Roman" w:cs="Times New Roman" w:eastAsia="Times New Roman" w:hAnsi="Times New Roman"/>
          <w:sz w:val="18"/>
          <w:szCs w:val="18"/>
          <w:color w:val="000000"/>
        </w:rPr>
        <w:t>(live and replay)</w:t>
      </w:r>
    </w:p>
    <w:p>
      <w:pPr>
        <w:spacing w:after="0" w:line="200" w:lineRule="exact"/>
        <w:rPr>
          <w:sz w:val="20"/>
          <w:szCs w:val="20"/>
          <w:color w:val="auto"/>
        </w:rPr>
      </w:pPr>
    </w:p>
    <w:p>
      <w:pPr>
        <w:sectPr>
          <w:pgSz w:w="11900" w:h="16838" w:orient="portrait"/>
          <w:cols w:equalWidth="0" w:num="2">
            <w:col w:w="1020" w:space="720"/>
            <w:col w:w="9500"/>
          </w:cols>
          <w:pgMar w:left="320" w:top="1305" w:right="33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Presentation Details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investor presentation providing additional information and analysis can be found at our investor relations page at </w:t>
      </w:r>
      <w:r>
        <w:rPr>
          <w:rFonts w:ascii="Times New Roman" w:cs="Times New Roman" w:eastAsia="Times New Roman" w:hAnsi="Times New Roman"/>
          <w:sz w:val="18"/>
          <w:szCs w:val="18"/>
          <w:u w:val="single" w:color="auto"/>
          <w:color w:val="0E32E1"/>
        </w:rPr>
        <w:t>ir.c3.ai</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Regarding Use of Non-GAAP Financial Measures</w:t>
      </w:r>
    </w:p>
    <w:p>
      <w:pPr>
        <w:spacing w:after="0" w:line="256"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Company reports the following non-GAAP financial measures, which have not been prepared in accordance with generally accepted accounting principles in the United States (“GAAP”), in addition to, and not as a substitute for, or superior to, financial measures calculated in accordance with GAAP.</w:t>
      </w:r>
    </w:p>
    <w:p>
      <w:pPr>
        <w:spacing w:after="0" w:line="163" w:lineRule="exact"/>
        <w:rPr>
          <w:sz w:val="20"/>
          <w:szCs w:val="20"/>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Non-GAAP gross profit, non-GAAP gross margin, non-GAAP loss from operations, and non-GAAP net loss per share. </w:t>
      </w:r>
      <w:r>
        <w:rPr>
          <w:rFonts w:ascii="Times New Roman" w:cs="Times New Roman" w:eastAsia="Times New Roman" w:hAnsi="Times New Roman"/>
          <w:sz w:val="18"/>
          <w:szCs w:val="18"/>
          <w:color w:val="auto"/>
        </w:rPr>
        <w:t>Our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non-GAAP gross margin, non-GAAP loss from operations, and non-GAAP net loss per share exclude the effect of restructuring expenses, stock-based compensation expense-related charges and employer payroll tax expense related to employee stock-based compensation. We believe the presentation of operating results that exclude these non-cash items provides useful supplemental information to investors and facilitates the analysis of our operating results and comparison of operating results across reporting periods.</w:t>
      </w:r>
    </w:p>
    <w:p>
      <w:pPr>
        <w:spacing w:after="0" w:line="20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We believe free cash flow, a non-GAAP financial measure, is useful in evaluating liquidity and provides information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and investors about our ability to fund future operating needs and strategic initiatives. We calculate free cash flow as net cash used in operating activities less purchases of property and equipment and capitalized software development costs. This non-GAAP financial measure may be different than similarly titled measures used by other companies. Additionally, the utility of free cash flow is further limited as it does not represent the total increase or decrease in our cash balances for a given period.</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these non-GAAP financial measures internally for financial and operational decision-making purposes and as a means to evaluate period-to-period comparisons. Non-GAAP financial measures are not meant to be considered in isolation or as a substitute for comparable GAAP financial measures and should be read only in conjunction with our condensed consolidated financial statements prepared in accordance with GAAP. Our presentation of non-GAAP financial measures may not be comparable to similar measures used by other companies. We encourage investors to carefully consider our results under GAAP, as well as our supplemental non-GAAP information and the reconciliation between these presentations, to more fully understand our business. Please see the tables included at the end of this release for the reconciliation of GAAP to non-GAAP financial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Professional Services Revenue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professional services revenue includes service fees and prioritized engineering services. Service fees include revenue from services such as consulting, training, and paid implementation services.</w:t>
      </w:r>
    </w:p>
    <w:p>
      <w:pPr>
        <w:sectPr>
          <w:pgSz w:w="11900" w:h="16838" w:orient="portrait"/>
          <w:cols w:equalWidth="0" w:num="1">
            <w:col w:w="11240"/>
          </w:cols>
          <w:pgMar w:left="320" w:top="1305" w:right="339" w:bottom="1440" w:gutter="0" w:footer="0" w:header="0"/>
          <w:type w:val="continuous"/>
        </w:sectPr>
      </w:pPr>
    </w:p>
    <w:bookmarkStart w:id="7" w:name="page8"/>
    <w:bookmarkEnd w:id="7"/>
    <w:p>
      <w:pPr>
        <w:jc w:val="both"/>
        <w:spacing w:after="0" w:line="255" w:lineRule="auto"/>
        <w:rPr>
          <w:sz w:val="20"/>
          <w:szCs w:val="20"/>
          <w:color w:val="auto"/>
        </w:rPr>
      </w:pPr>
      <w:r>
        <w:rPr>
          <w:rFonts w:ascii="Times New Roman" w:cs="Times New Roman" w:eastAsia="Times New Roman" w:hAnsi="Times New Roman"/>
          <w:sz w:val="18"/>
          <w:szCs w:val="18"/>
          <w:color w:val="auto"/>
        </w:rPr>
        <w:t>Prioritized engineering services are undertaken when a customer requests that we accelerate the design, development, and delivery of software features and functions that are planned in our future product roadmap. When we agree to this, we negotiate an agreed upon fee to accelerate the development of the software. When the software feature is delivered, it becomes integrated to our core product offering, is available to all subscribers of the underlying software product, and enhances the operation of that product going forward. Such prioritized engineering services result in production-level computer software – compiled code that enhances the functionality of our production products – which is available for our customers to use over the life of their software licenses. Per Accounting Standards Codification (ASC) 606, Prioritized engineering services revenue is recognized as professional services over the period in which the software development is completed.</w:t>
      </w:r>
    </w:p>
    <w:p>
      <w:pPr>
        <w:sectPr>
          <w:pgSz w:w="11900" w:h="16838" w:orient="portrait"/>
          <w:cols w:equalWidth="0" w:num="1">
            <w:col w:w="11240"/>
          </w:cols>
          <w:pgMar w:left="320" w:top="1093" w:right="339" w:bottom="1440" w:gutter="0" w:footer="0" w:header="0"/>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professional services revenue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Prioritized engineering services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Service fees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professional services revenue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Forward-Looking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18434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8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w:t>
            </w:r>
          </w:p>
        </w:tc>
      </w:tr>
      <w:tr>
        <w:trPr>
          <w:trHeight w:val="270"/>
        </w:trPr>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r>
      <w:tr>
        <w:trPr>
          <w:trHeight w:val="27"/>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21,390</w:t>
            </w:r>
          </w:p>
        </w:tc>
      </w:tr>
      <w:tr>
        <w:trPr>
          <w:trHeight w:val="27"/>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-556895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-3385185</wp:posOffset>
            </wp:positionH>
            <wp:positionV relativeFrom="paragraph">
              <wp:posOffset>-213995</wp:posOffset>
            </wp:positionV>
            <wp:extent cx="71323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41910</wp:posOffset>
            </wp:positionV>
            <wp:extent cx="18434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06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34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80"/>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18,034</w:t>
            </w:r>
          </w:p>
        </w:tc>
        <w:tc>
          <w:tcPr>
            <w:tcW w:w="10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43,032</w:t>
            </w:r>
          </w:p>
        </w:tc>
      </w:tr>
      <w:tr>
        <w:trPr>
          <w:trHeight w:val="270"/>
        </w:trPr>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7"/>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61,426</w:t>
            </w:r>
          </w:p>
        </w:tc>
      </w:tr>
      <w:tr>
        <w:trPr>
          <w:trHeight w:val="27"/>
        </w:trPr>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95" w:lineRule="exact"/>
        <w:rPr>
          <w:sz w:val="20"/>
          <w:szCs w:val="20"/>
          <w:color w:val="auto"/>
        </w:rPr>
      </w:pPr>
    </w:p>
    <w:p>
      <w:pPr>
        <w:sectPr>
          <w:pgSz w:w="11900" w:h="16838" w:orient="portrait"/>
          <w:cols w:equalWidth="0" w:num="3">
            <w:col w:w="4620" w:space="720"/>
            <w:col w:w="2900" w:space="100"/>
            <w:col w:w="2900"/>
          </w:cols>
          <w:pgMar w:left="320" w:top="1093" w:right="339" w:bottom="1440" w:gutter="0" w:footer="0" w:header="0"/>
          <w:type w:val="continuous"/>
        </w:sectPr>
      </w:pPr>
    </w:p>
    <w:p>
      <w:pPr>
        <w:spacing w:after="0" w:line="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The words “anticipate,” “believe,” “continue,” “estimate,” “expect,” “intend,” “may,” “plan,” “will” and similar expressions are intended to identify forward-looking statements, although not all forward-looking statements contain these words. Forward-looking statements in this press release include, but are not limited to, statements regarding our restructuring plan, execution plan, and anticipated cost savings in connection therewith, our financial outlook for the first quarter of fiscal 2027 and full 2027 fiscal year, our ability to accelerate going forward, our ability to increase shareholder value through topline revenue growth, cash generation, and non-GAAP profitability, our sales and customer opportunity pipeline, the impact of our adoption of agentic artificial intelligence tools, the return of Tom Siebel as our Chief Executive Officer, the expected benefits of our offerings, and our business strategies, plans, and objectives for future operations.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and uncertainties, including our history of losses and ability to achieve and maintain profitability in the future, our historic dependence on a limited number of existing customers that account for a substantial portion of our revenue, our ability to attract new customers and retain existing customers, the ability of our restructured global sales and services organization to achieve desired productivity levels in a reasonable period of time, the impact of return of Tom Siebel as our Chief Executive Officer our ability to retain key members of our senior management, market awareness and acceptance of enterprise AI solutions in general and our products in particular, the length and unpredictability of our sales cycles and the time and expense required for our sales efforts. Some of these risks are described in greater detail in our filings with the Securities and Exchange Commission, including our Annual Report on Form 10-K for the fiscal year ended April 30, 2025, our Quarterly Report on Form 10-Q for the fiscal quarters ended July 31, 2025, October 31, 2025, January 31, 2026, and other filings and reports we make with the Securities and Exchange Commission from time to time, including, when available, our Annual Report on Form 10-K that will be filed for the fiscal year ended April 30, 2026, although new and unanticipated risks may arise. The future events and trends discussed in this press release may not occur and actual results could differ materially and adversely from those anticipated or implied in the forward-looking statements. Although we believe that the expectations reflected in the forward-looking statements are reasonable, we cannot guarantee future results, levels of activity, performance, achievements, or events and circumstances reflected in the forward-looking statements will occur. Except to the extent required by law, we do not undertake to update any of these forward-looking statements after the date of this press release to conform these statements to actual results or revised expectations.</w:t>
      </w:r>
    </w:p>
    <w:p>
      <w:pPr>
        <w:sectPr>
          <w:pgSz w:w="11900" w:h="16838" w:orient="portrait"/>
          <w:cols w:equalWidth="0" w:num="1">
            <w:col w:w="11240"/>
          </w:cols>
          <w:pgMar w:left="320" w:top="109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About C3.ai, Inc.</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C3.ai, Inc. (NYSE:AI) is the Enterprise AI application software company. C3 AI delivers a family of fully integrated products including the C3 Agentic AI Platform, an end-to-end platform for developing, deploying, and operating enterprise AI applications, C3 AI applications, a portfolio of industry-specific SaaS enterprise AI applications that enable the digital transformation of organizations globally, and C3 Generative AI, a suite of domain-specific generative AI offerings for the enterprise.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ir@c3.ai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C3 AI 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Axicom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Mindy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830-214-4823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pr@c3.ai</w:t>
      </w:r>
    </w:p>
    <w:p>
      <w:pPr>
        <w:sectPr>
          <w:pgSz w:w="11900" w:h="16838" w:orient="portrait"/>
          <w:cols w:equalWidth="0" w:num="1">
            <w:col w:w="11240"/>
          </w:cols>
          <w:pgMar w:left="320" w:top="130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40" w:type="dxa"/>
            <w:vAlign w:val="bottom"/>
          </w:tcPr>
          <w:p>
            <w:pPr>
              <w:spacing w:after="0"/>
              <w:rPr>
                <w:sz w:val="16"/>
                <w:szCs w:val="16"/>
                <w:color w:val="auto"/>
              </w:rPr>
            </w:pPr>
          </w:p>
        </w:tc>
        <w:tc>
          <w:tcPr>
            <w:tcW w:w="25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3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227,090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327,630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61,426</w:t>
            </w: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108,723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389,056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143,841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0" w:type="dxa"/>
            <w:vAlign w:val="bottom"/>
          </w:tcPr>
          <w:p>
            <w:pPr>
              <w:spacing w:after="0"/>
              <w:rPr>
                <w:sz w:val="1"/>
                <w:szCs w:val="1"/>
                <w:color w:val="auto"/>
              </w:rPr>
            </w:pPr>
          </w:p>
        </w:tc>
      </w:tr>
      <w:tr>
        <w:trPr>
          <w:trHeight w:val="237"/>
        </w:trPr>
        <w:tc>
          <w:tcPr>
            <w:tcW w:w="5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cost of revenue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153,193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235,863</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239,659</w:t>
            </w:r>
          </w:p>
        </w:tc>
        <w:tc>
          <w:tcPr>
            <w:tcW w:w="0" w:type="dxa"/>
            <w:vAlign w:val="bottom"/>
          </w:tcPr>
          <w:p>
            <w:pPr>
              <w:spacing w:after="0"/>
              <w:rPr>
                <w:sz w:val="1"/>
                <w:szCs w:val="1"/>
                <w:color w:val="auto"/>
              </w:rPr>
            </w:pPr>
          </w:p>
        </w:tc>
      </w:tr>
      <w:tr>
        <w:trPr>
          <w:trHeight w:val="24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226,391</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0" w:type="dxa"/>
            <w:vAlign w:val="bottom"/>
          </w:tcPr>
          <w:p>
            <w:pPr>
              <w:spacing w:after="0"/>
              <w:rPr>
                <w:sz w:val="1"/>
                <w:szCs w:val="1"/>
                <w:color w:val="auto"/>
              </w:rPr>
            </w:pPr>
          </w:p>
        </w:tc>
      </w:tr>
      <w:tr>
        <w:trPr>
          <w:trHeight w:val="24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560,287</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(498,498)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(324,424)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36,189</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(287,726)</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(115,570)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(288,702)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and Class B common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Class A and Class B common stockholders, basic and</w:t>
            </w:r>
          </w:p>
        </w:tc>
        <w:tc>
          <w:tcPr>
            <w:tcW w:w="30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129,089</w:t>
            </w:r>
          </w:p>
        </w:tc>
        <w:tc>
          <w:tcPr>
            <w:tcW w:w="0" w:type="dxa"/>
            <w:vAlign w:val="bottom"/>
          </w:tcPr>
          <w:p>
            <w:pPr>
              <w:spacing w:after="0"/>
              <w:rPr>
                <w:sz w:val="1"/>
                <w:szCs w:val="1"/>
                <w:color w:val="auto"/>
              </w:rPr>
            </w:pPr>
          </w:p>
        </w:tc>
      </w:tr>
      <w:tr>
        <w:trPr>
          <w:trHeight w:val="254"/>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9"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April 30, 2026</w:t>
            </w:r>
          </w:p>
        </w:tc>
        <w:tc>
          <w:tcPr>
            <w:tcW w:w="200" w:type="dxa"/>
            <w:vAlign w:val="bottom"/>
          </w:tcPr>
          <w:p>
            <w:pPr>
              <w:spacing w:after="0"/>
              <w:rPr>
                <w:sz w:val="17"/>
                <w:szCs w:val="17"/>
                <w:color w:val="auto"/>
              </w:rPr>
            </w:pP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5"/>
                <w:szCs w:val="15"/>
                <w:b w:val="1"/>
                <w:bCs w:val="1"/>
                <w:color w:val="auto"/>
              </w:rPr>
              <w:t>April 30, 2025</w:t>
            </w:r>
          </w:p>
        </w:tc>
        <w:tc>
          <w:tcPr>
            <w:tcW w:w="0" w:type="dxa"/>
            <w:vAlign w:val="bottom"/>
          </w:tcPr>
          <w:p>
            <w:pPr>
              <w:spacing w:after="0"/>
              <w:rPr>
                <w:sz w:val="1"/>
                <w:szCs w:val="1"/>
                <w:color w:val="auto"/>
              </w:rPr>
            </w:pPr>
          </w:p>
        </w:tc>
      </w:tr>
      <w:tr>
        <w:trPr>
          <w:trHeight w:val="35"/>
        </w:trPr>
        <w:tc>
          <w:tcPr>
            <w:tcW w:w="8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164,358</w:t>
            </w: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578,330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of $1,065 and $877 as of April 30, 2026 and April 30, 2025,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137,226</w:t>
            </w: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24,338</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904,252</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79,298</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41,707</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816,273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1,025,882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36,561</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26,295</w:t>
            </w:r>
          </w:p>
        </w:tc>
        <w:tc>
          <w:tcPr>
            <w:tcW w:w="0" w:type="dxa"/>
            <w:vAlign w:val="bottom"/>
          </w:tcPr>
          <w:p>
            <w:pPr>
              <w:spacing w:after="0"/>
              <w:rPr>
                <w:sz w:val="1"/>
                <w:szCs w:val="1"/>
                <w:color w:val="auto"/>
              </w:rPr>
            </w:pPr>
          </w:p>
        </w:tc>
      </w:tr>
      <w:tr>
        <w:trPr>
          <w:trHeight w:val="237"/>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131,884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187,579</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B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2,216,284</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43"/>
        </w:trPr>
        <w:tc>
          <w:tcPr>
            <w:tcW w:w="8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(1,378,635)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838,303</w:t>
            </w:r>
          </w:p>
        </w:tc>
        <w:tc>
          <w:tcPr>
            <w:tcW w:w="0" w:type="dxa"/>
            <w:vAlign w:val="bottom"/>
          </w:tcPr>
          <w:p>
            <w:pPr>
              <w:spacing w:after="0"/>
              <w:rPr>
                <w:sz w:val="1"/>
                <w:szCs w:val="1"/>
                <w:color w:val="auto"/>
              </w:rPr>
            </w:pPr>
          </w:p>
        </w:tc>
      </w:tr>
      <w:tr>
        <w:trPr>
          <w:trHeight w:val="26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1,025,882</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82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2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(470,369)</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(288,702)</w:t>
            </w:r>
          </w:p>
        </w:tc>
      </w:tr>
      <w:tr>
        <w:trPr>
          <w:trHeight w:val="25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12,607</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cost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230,988</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restructuring expense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discounts on marketable securities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(13,459)</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(9,120)</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other current assets and other assets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8,705</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10,823</w:t>
            </w:r>
          </w:p>
        </w:tc>
      </w:tr>
      <w:tr>
        <w:trPr>
          <w:trHeight w:val="246"/>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36"/>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(190,228)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(41,407)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(540,640)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(647,015)</w:t>
            </w:r>
          </w:p>
        </w:tc>
      </w:tr>
      <w:tr>
        <w:trPr>
          <w:trHeight w:val="237"/>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617,632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666,450</w:t>
            </w:r>
          </w:p>
        </w:tc>
      </w:tr>
      <w:tr>
        <w:trPr>
          <w:trHeight w:val="243"/>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75,084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w:t>
            </w:r>
          </w:p>
        </w:tc>
      </w:tr>
      <w:tr>
        <w:trPr>
          <w:trHeight w:val="21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(9,079)</w:t>
            </w:r>
          </w:p>
        </w:tc>
      </w:tr>
      <w:tr>
        <w:trPr>
          <w:trHeight w:val="23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Class A common stock under employee stock purchase plan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10,879</w:t>
            </w:r>
          </w:p>
        </w:tc>
      </w:tr>
      <w:tr>
        <w:trPr>
          <w:trHeight w:val="246"/>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Class A common stock options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20,423</w:t>
            </w:r>
          </w:p>
        </w:tc>
      </w:tr>
      <w:tr>
        <w:trPr>
          <w:trHeight w:val="237"/>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22,223</w:t>
            </w:r>
          </w:p>
        </w:tc>
      </w:tr>
      <w:tr>
        <w:trPr>
          <w:trHeight w:val="24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36"/>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179,712</w:t>
            </w:r>
          </w:p>
        </w:tc>
      </w:tr>
      <w:tr>
        <w:trPr>
          <w:trHeight w:val="26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176,924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66,197</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164,358</w:t>
            </w:r>
          </w:p>
        </w:tc>
      </w:tr>
      <w:tr>
        <w:trPr>
          <w:trHeight w:val="246"/>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12,566</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78,763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176,924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information—cash paid for income taxes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33"/>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liabilities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02"/>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 (including remeasurement of right-of-use assets and lease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liabilities due to changes in the timing of receipt of lease incentives)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r>
      <w:tr>
        <w:trPr>
          <w:trHeight w:val="253"/>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bl>
    <w:p>
      <w:pPr>
        <w:sectPr>
          <w:pgSz w:w="11900" w:h="16838" w:orient="portrait"/>
          <w:cols w:equalWidth="0" w:num="1">
            <w:col w:w="11240"/>
          </w:cols>
          <w:pgMar w:left="320" w:top="108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C3.AI,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Pr>
          <w:p>
            <w:pPr>
              <w:spacing w:after="0"/>
              <w:rPr>
                <w:sz w:val="16"/>
                <w:szCs w:val="16"/>
                <w:color w:val="auto"/>
              </w:rPr>
            </w:pPr>
          </w:p>
        </w:tc>
        <w:tc>
          <w:tcPr>
            <w:tcW w:w="250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gross profit to non-GAAP 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on a GAAP basis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11,323</w:t>
            </w: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67,510</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77,382</w:t>
            </w:r>
          </w:p>
        </w:tc>
        <w:tc>
          <w:tcPr>
            <w:tcW w:w="1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235,863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7,631</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7,437</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37,513</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33,660</w:t>
            </w:r>
          </w:p>
        </w:tc>
        <w:tc>
          <w:tcPr>
            <w:tcW w:w="0" w:type="dxa"/>
            <w:vAlign w:val="bottom"/>
          </w:tcPr>
          <w:p>
            <w:pPr>
              <w:spacing w:after="0"/>
              <w:rPr>
                <w:sz w:val="1"/>
                <w:szCs w:val="1"/>
                <w:color w:val="auto"/>
              </w:rPr>
            </w:pPr>
          </w:p>
        </w:tc>
      </w:tr>
      <w:tr>
        <w:trPr>
          <w:trHeight w:val="22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payroll tax expense related to employee stock-based</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compensation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228</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1,283</w:t>
            </w:r>
          </w:p>
        </w:tc>
        <w:tc>
          <w:tcPr>
            <w:tcW w:w="1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89"/>
        </w:trPr>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 on a non-GAAP basis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19,267</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75,175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116,178</w:t>
            </w: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270,634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on a GAAP basis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43"/>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margin on a non-GAAP basis</w:t>
            </w:r>
          </w:p>
        </w:tc>
        <w:tc>
          <w:tcPr>
            <w:tcW w:w="28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loss from operations to non-GAAP loss from</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 on a GAAP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(121,158)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(88,965)</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(498,498)</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(324,424)</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54,187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56,615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263,715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230,988</w:t>
            </w:r>
          </w:p>
        </w:tc>
        <w:tc>
          <w:tcPr>
            <w:tcW w:w="0" w:type="dxa"/>
            <w:vAlign w:val="bottom"/>
          </w:tcPr>
          <w:p>
            <w:pPr>
              <w:spacing w:after="0"/>
              <w:rPr>
                <w:sz w:val="1"/>
                <w:szCs w:val="1"/>
                <w:color w:val="auto"/>
              </w:rPr>
            </w:pPr>
          </w:p>
        </w:tc>
      </w:tr>
      <w:tr>
        <w:trPr>
          <w:trHeight w:val="22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payroll tax expense related to employee stock-based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compensation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9"/>
        </w:trPr>
        <w:tc>
          <w:tcPr>
            <w:tcW w:w="5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on a non-GAAP basis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(54,358)</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(31,165)</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(217,810)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(88,100)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GAAP net loss per share to non-GAAP net loss per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on a GAAP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(115,570)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(79,702)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(470,369)</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(288,702)</w:t>
            </w:r>
          </w:p>
        </w:tc>
        <w:tc>
          <w:tcPr>
            <w:tcW w:w="0" w:type="dxa"/>
            <w:vAlign w:val="bottom"/>
          </w:tcPr>
          <w:p>
            <w:pPr>
              <w:spacing w:after="0"/>
              <w:rPr>
                <w:sz w:val="1"/>
                <w:szCs w:val="1"/>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54,187</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56,615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263,715</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230,988</w:t>
            </w:r>
          </w:p>
        </w:tc>
        <w:tc>
          <w:tcPr>
            <w:tcW w:w="0" w:type="dxa"/>
            <w:vAlign w:val="bottom"/>
          </w:tcPr>
          <w:p>
            <w:pPr>
              <w:spacing w:after="0"/>
              <w:rPr>
                <w:sz w:val="1"/>
                <w:szCs w:val="1"/>
                <w:color w:val="auto"/>
              </w:rPr>
            </w:pPr>
          </w:p>
        </w:tc>
      </w:tr>
      <w:tr>
        <w:trPr>
          <w:trHeight w:val="22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payroll tax expense related to employee stock-based</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compensation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6,145</w:t>
            </w:r>
          </w:p>
        </w:tc>
        <w:tc>
          <w:tcPr>
            <w:tcW w:w="1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70"/>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Restructuring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23"/>
                <w:szCs w:val="23"/>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10,828</w:t>
            </w: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5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on a non-GAAP basis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(48,770)</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(21,902)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(189,681)</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(52,378)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 per share attributable to Class A and Class B common</w:t>
            </w: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6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5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tc>
        <w:tc>
          <w:tcPr>
            <w:tcW w:w="280" w:type="dxa"/>
            <w:vAlign w:val="bottom"/>
            <w:tcBorders>
              <w:bottom w:val="single" w:sz="8" w:color="auto"/>
            </w:tcBorders>
            <w:vMerge w:val="continue"/>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vMerge w:val="continue"/>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Non-GAAP net loss per share attributable to Class A and Class B common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500" w:type="dxa"/>
            <w:vAlign w:val="bottom"/>
            <w:vMerge w:val="continue"/>
          </w:tcPr>
          <w:p>
            <w:pPr>
              <w:spacing w:after="0"/>
              <w:rPr>
                <w:sz w:val="14"/>
                <w:szCs w:val="14"/>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4"/>
                <w:szCs w:val="14"/>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3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tc>
        <w:tc>
          <w:tcPr>
            <w:tcW w:w="28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attributable</w:t>
            </w:r>
          </w:p>
        </w:tc>
        <w:tc>
          <w:tcPr>
            <w:tcW w:w="2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133,233</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140,513</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129,089</w:t>
            </w:r>
          </w:p>
        </w:tc>
        <w:tc>
          <w:tcPr>
            <w:tcW w:w="0" w:type="dxa"/>
            <w:vAlign w:val="bottom"/>
          </w:tcPr>
          <w:p>
            <w:pPr>
              <w:spacing w:after="0"/>
              <w:rPr>
                <w:sz w:val="1"/>
                <w:szCs w:val="1"/>
                <w:color w:val="auto"/>
              </w:rPr>
            </w:pPr>
          </w:p>
        </w:tc>
      </w:tr>
      <w:tr>
        <w:trPr>
          <w:trHeight w:val="254"/>
        </w:trPr>
        <w:tc>
          <w:tcPr>
            <w:tcW w:w="5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Class A and Class B common stockholders, basic and diluted</w:t>
            </w: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089" w:right="339" w:bottom="1440" w:gutter="0" w:footer="0" w:header="0"/>
        </w:sectPr>
      </w:pPr>
    </w:p>
    <w:bookmarkStart w:id="13" w:name="page14"/>
    <w:bookmarkEnd w:id="13"/>
    <w:p>
      <w:pPr>
        <w:ind w:left="340" w:hanging="332"/>
        <w:spacing w:after="0" w:line="280"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for gross profits and gross margin includes costs of subscription and cost of professional services as follows. Stock-based compensation expense for loss from operations includes total stock-based compensation expense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Pr>
          <w:p>
            <w:pPr>
              <w:spacing w:after="0"/>
              <w:rPr>
                <w:sz w:val="16"/>
                <w:szCs w:val="16"/>
                <w:color w:val="auto"/>
              </w:rPr>
            </w:pPr>
          </w:p>
        </w:tc>
        <w:tc>
          <w:tcPr>
            <w:tcW w:w="24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5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71,629</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41,739</w:t>
            </w:r>
          </w:p>
        </w:tc>
      </w:tr>
      <w:tr>
        <w:trPr>
          <w:trHeight w:val="26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54,187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230,988</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272" w:lineRule="auto"/>
        <w:tabs>
          <w:tab w:leader="none" w:pos="384"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Employer payroll tax expense related to employee stock-based compensation for gross profits and gross margin includes costs of subscription and cost of professional services as follows. Employer payroll tax expense related to employee stock-based compensation for loss from operations includes total employer payroll tax expense related to employee stock-based compensation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Pr>
          <w:p>
            <w:pPr>
              <w:spacing w:after="0"/>
              <w:rPr>
                <w:sz w:val="16"/>
                <w:szCs w:val="16"/>
                <w:color w:val="auto"/>
              </w:rPr>
            </w:pPr>
          </w:p>
        </w:tc>
        <w:tc>
          <w:tcPr>
            <w:tcW w:w="24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56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2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w:t>
            </w:r>
          </w:p>
        </w:tc>
        <w:tc>
          <w:tcPr>
            <w:tcW w:w="820" w:type="dxa"/>
            <w:vAlign w:val="bottom"/>
            <w:tcBorders>
              <w:bottom w:val="single" w:sz="8" w:color="CCEEFF"/>
            </w:tcBorders>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7"/>
        </w:trPr>
        <w:tc>
          <w:tcPr>
            <w:tcW w:w="5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63"/>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employer payroll tax expense</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r>
      <w:tr>
        <w:trPr>
          <w:trHeight w:val="21"/>
        </w:trPr>
        <w:tc>
          <w:tcPr>
            <w:tcW w:w="5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hanging="332"/>
        <w:spacing w:after="0" w:line="272" w:lineRule="auto"/>
        <w:tabs>
          <w:tab w:leader="none" w:pos="442"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Loss from Operations exclude approximately $10.8 million of pre-tax restructuring expenses related to the restructuring plan announced last quarter. Restructuring expenses primarily include $5.2 million of severance and related employee terminations costs, payments under the Worker Adjustment and Retraining Notification (“WARN”) Act, and other benefits for terminated employees, and $4.8 million of stock-based compensation expense.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free cash flow to the GAAP measure of net cash (used in) provided by operating activities: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below provides a reconciliation of free cash flow to the GAAP measure of net cash (used in) provided by operating activities for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300" w:type="dxa"/>
            <w:vAlign w:val="bottom"/>
          </w:tcPr>
          <w:p>
            <w:pPr>
              <w:spacing w:after="0"/>
              <w:rPr>
                <w:sz w:val="16"/>
                <w:szCs w:val="16"/>
                <w:color w:val="auto"/>
              </w:rPr>
            </w:pPr>
          </w:p>
        </w:tc>
        <w:tc>
          <w:tcPr>
            <w:tcW w:w="24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r>
      <w:tr>
        <w:trPr>
          <w:trHeight w:val="37"/>
        </w:trPr>
        <w:tc>
          <w:tcPr>
            <w:tcW w:w="5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(41,407)</w:t>
            </w:r>
          </w:p>
        </w:tc>
      </w:tr>
      <w:tr>
        <w:trPr>
          <w:trHeight w:val="243"/>
        </w:trPr>
        <w:tc>
          <w:tcPr>
            <w:tcW w:w="5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6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(54,763)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22,223</w:t>
            </w:r>
          </w:p>
        </w:tc>
      </w:tr>
      <w:tr>
        <w:trPr>
          <w:trHeight w:val="21"/>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2026-06-03T15:16:11Z</dcterms:created>
  <dcterms:modified xsi:type="dcterms:W3CDTF">2026-06-03T15:16:11Z</dcterms:modified>
</cp:coreProperties>
</file>