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25,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C3.AI,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1400 Seaport Blvd</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Redwood City, 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001-39744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26-3999357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p>
      <w:pPr>
        <w:pStyle w:val="TextBody"/>
        <w:bidi w:val="0"/>
        <w:spacing w:lineRule="auto" w:line="288" w:before="640" w:after="283"/>
        <w:jc w:val="center"/>
        <w:rPr>
          <w:rFonts w:ascii="Times New Roman;serif" w:hAnsi="Times New Roman;serif"/>
          <w:b/>
          <w:color w:val="000000"/>
          <w:sz w:val="22"/>
        </w:rPr>
      </w:pPr>
      <w:r>
        <w:rPr>
          <w:rFonts w:ascii="Times New Roman;serif" w:hAnsi="Times New Roman;serif"/>
          <w:b/>
          <w:color w:val="000000"/>
          <w:sz w:val="22"/>
        </w:rPr>
        <w:t>94063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(650) 503-2200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2"/>
          <w:u w:val="single"/>
        </w:rPr>
        <w:t>see</w:t>
      </w:r>
      <w:r>
        <w:rPr>
          <w:color w:val="000000"/>
        </w:rPr>
        <w:t xml:space="preserve"> </w:t>
      </w:r>
      <w:r>
        <w:rPr>
          <w:rFonts w:ascii="Times New Roman;serif" w:hAnsi="Times New Roman;serif"/>
          <w:b w:val="false"/>
          <w:color w:val="000000"/>
          <w:sz w:val="22"/>
        </w:rPr>
        <w:t>General Instruction A.2. below):</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Soliciting material pursuant to Rule 14a-12 under the Exchange Act (17 CFR 240.14a-12)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14d-2(b) under the Exchange Act (17 CFR 240.14d-2(b))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06"/>
        <w:gridCol w:w="1314"/>
        <w:gridCol w:w="1329"/>
        <w:gridCol w:w="109"/>
        <w:gridCol w:w="109"/>
        <w:gridCol w:w="109"/>
        <w:gridCol w:w="554"/>
        <w:gridCol w:w="554"/>
        <w:gridCol w:w="556"/>
        <w:gridCol w:w="109"/>
        <w:gridCol w:w="109"/>
        <w:gridCol w:w="109"/>
        <w:gridCol w:w="1091"/>
        <w:gridCol w:w="1091"/>
        <w:gridCol w:w="1556"/>
      </w:tblGrid>
      <w:tr>
        <w:trPr/>
        <w:tc>
          <w:tcPr>
            <w:tcW w:w="15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2"/>
        </w:rPr>
        <w:t xml:space="preserve">Emerging growth company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Item 5.02 </w:t>
      </w:r>
      <w:r>
        <w:rPr>
          <w:rFonts w:ascii="Times New Roman;serif" w:hAnsi="Times New Roman;serif"/>
          <w:b/>
          <w:color w:val="000000"/>
          <w:sz w:val="24"/>
          <w:shd w:fill="FFFFFF" w:val="clear"/>
        </w:rPr>
        <w:t>Departure of Directors or Certain Officers; Election of Directors; Appointment of Certain Officers; Compensatory Arrangements of Certain Officers.</w:t>
      </w:r>
    </w:p>
    <w:p>
      <w:pPr>
        <w:pStyle w:val="TextBody"/>
        <w:bidi w:val="0"/>
        <w:spacing w:lineRule="auto" w:line="288" w:before="180" w:after="180"/>
        <w:ind w:left="0" w:right="0" w:firstLine="720"/>
        <w:jc w:val="both"/>
        <w:rPr/>
      </w:pPr>
      <w:r>
        <w:rPr>
          <w:rFonts w:ascii="Times New Roman;serif" w:hAnsi="Times New Roman;serif"/>
          <w:b w:val="false"/>
          <w:color w:val="000000"/>
          <w:sz w:val="24"/>
        </w:rPr>
        <w:t>On August 25, 2026, the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of C3.ai,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appointed John C. Dwyer to the Board, effective August 25, 2026. Mr. Dwyer was appointed as a Class III director to hold office until his successor has been duly elected and qualified or until his earlier death, resignation, or removal. Mr. Dwyer’s initial term will run until the Company’s 2026 Annual Meeting of Stockholders.</w:t>
      </w:r>
    </w:p>
    <w:p>
      <w:pPr>
        <w:pStyle w:val="TextBody"/>
        <w:bidi w:val="0"/>
        <w:spacing w:lineRule="auto" w:line="288" w:before="18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are no arrangements or understandings between Mr. Dwyer and any other person pursuant to which he was appointed as a director of the Company. Mr. Dwyer is not a party to and has no direct or indirect material interest in any transaction or proposed transaction in which the Company is or is to be a participant for which disclosure would be required under Item 404(a) of Regulation S-K.</w:t>
      </w:r>
    </w:p>
    <w:p>
      <w:pPr>
        <w:pStyle w:val="TextBody"/>
        <w:bidi w:val="0"/>
        <w:spacing w:lineRule="auto" w:line="288" w:before="18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non-employee director, Mr. Dwyer is entitled to the Company’s standard non-employee director compensation (as described in the Company’s proxy statement relating to its annual meeting of stockholders), including an initial option award having a grant date fair value of $900,000 and vesting over a five-year period, subject to the terms of the Company’s non-employee director compensation policy. Mr. Dwyer has also entered into the Company’s standard indemnification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9201" w:type="dxa"/>
        <w:jc w:val="left"/>
        <w:tblInd w:w="0" w:type="dxa"/>
        <w:tblLayout w:type="fixed"/>
        <w:tblCellMar>
          <w:top w:w="28" w:type="dxa"/>
          <w:left w:w="28" w:type="dxa"/>
          <w:bottom w:w="28" w:type="dxa"/>
          <w:right w:w="28" w:type="dxa"/>
        </w:tblCellMar>
      </w:tblPr>
      <w:tblGrid>
        <w:gridCol w:w="869"/>
        <w:gridCol w:w="764"/>
        <w:gridCol w:w="767"/>
        <w:gridCol w:w="187"/>
        <w:gridCol w:w="187"/>
        <w:gridCol w:w="187"/>
        <w:gridCol w:w="1823"/>
        <w:gridCol w:w="1823"/>
        <w:gridCol w:w="259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C3.ai, Inc.</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Dated: August 27, 2026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M. Siebel</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Thomas M. Siebel</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Chairman of the Board of Directors</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3198</Characters>
  <CharactersWithSpaces>3758</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