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187625.xml.htm"/>
      <w:bookmarkStart w:id="1" w:name="kswkform4_17921876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Hyten John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C3.AI,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SEAPORT BLVD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C3.ai,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840"/>
        <w:gridCol w:w="449"/>
        <w:gridCol w:w="752"/>
        <w:gridCol w:w="1154"/>
        <w:gridCol w:w="991"/>
        <w:gridCol w:w="107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12.16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61,714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146,830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2,500 of 5,000 Restricted Stock Units that vested on October 15, 2026 were settled in cash.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are held by the Hyten Group LLC, of which the Reporting Person is the manager and sole member.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Tom MacMitchell,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0511" TargetMode="External"/><Relationship Id="rId5" Type="http://schemas.openxmlformats.org/officeDocument/2006/relationships/hyperlink" Target="http://www.sec.gov/cgi-bin/browse-edgar?action=getcompany&amp;CIK=00015775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611</Words>
  <Characters>3273</Characters>
  <CharactersWithSpaces>3811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