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870088.xml.htm"/>
      <w:bookmarkStart w:id="1" w:name="kswkform3_178787008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Dwyer John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 1400 SEAPORT BLVD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C3.ai, Inc.</w:t>
              </w:r>
            </w:hyperlink>
            <w:r>
              <w:rPr/>
              <w:t xml:space="preserve"> [ </w:t>
            </w:r>
            <w:r>
              <w:rPr>
                <w:rFonts w:ascii="Times;serif" w:hAnsi="Times;serif"/>
                <w:color w:val="0000FF"/>
                <w:sz w:val="24"/>
                <w:shd w:fill="FFFFFF" w:val="clear"/>
              </w:rPr>
              <w:t>AI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Option (Right to Buy)</w:t>
            </w:r>
            <w:r>
              <w:rPr>
                <w:rFonts w:ascii="Times;serif" w:hAnsi="Times;serif"/>
                <w:color w:val="008000"/>
                <w:position w:val="7"/>
                <w:sz w:val="16"/>
                <w:sz w:val="20"/>
                <w:shd w:fill="FFFFFF" w:val="clear"/>
              </w:rPr>
              <w:t>(1)</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(2)</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132,077</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Reporting Person's appointment as a new director, the board of directors of the Company granted a stock option award under the Company's 2020 Equity Incentive Plan, as amended and restated from time to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Provided the Reporting Person remains a director of the Company and attends in person the regularly scheduled meeting of the Board during each fiscal quarter commencing after August 25, 2026 (the "Vesting Commencement Date"), then 5% of the shares subject to the option shall vest on the last day of such fiscal quarter (the "Quarterly Shares") during the term of the option, provided, however, if the Reporting Person fails to attend any such regularly scheduled meeting, then vesting for the Quarterly Shares shall not occur and will be suspended (any such suspended Quarterly Shares being referred to collectively as the "Suspended Shares"). For any Suspended Shares, such shares shall vest only following the fifth anniversary of the Vesting Commencement Date, if the Reporting Person satisfies the attendance requirements in subsequent periods.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 MacMitchell,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hihit24powerofattorney.htm"/>
      <w:bookmarkStart w:id="3" w:name="ksexhihit24powerofattorney"/>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317104515 v1 POWER OF ATTORNEY Know all by these presents that the undersigned hereby constitutes and appoints each of Thomas M. Siebel, Hitesh Lath, and Tom MacMitchell of C3.ai, Inc. (the “Company”), signing individually, as the undersigned’s true and lawful attorneys-in-fact and agents to: (1) Prepare, execute for and on behalf of the undersigned, and submit to the Securities and Exchange Commission (the “SEC”), in the undersigned’s name and capacity as an officer, director and/or beneficial owner more than 10% of a registered class of securities of the Company, Forms 3, 4 and 5 (including any amendments thereto and joint filing agreements in connection therewith) in accordance with Section 16 of the Securities Exchange Act of 1934, as amended, and the rules thereunder (the “Exchange Act”); (2) do and perform any and all acts for and on behalf of the undersigned which may be necessary or desirable to prepare and execute any such Forms 3, 4 or 5, prepare and execute any amendment or amendments thereto, and joint filing agreements in connection therewith, and file such forms with the SEC and any stock exchange, self-regulatory association or similar authority; and (3) take any other action of any type whatsoever in connection with the foregoing which,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 The undersigned has caused this Power of Attorney to be executed as of August 4, 2026. By: /s/ John Dwyer Name: John Dwyer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665" TargetMode="External"/><Relationship Id="rId3" Type="http://schemas.openxmlformats.org/officeDocument/2006/relationships/hyperlink" Target="http://www.sec.gov/cgi-bin/browse-edgar?action=getcompany&amp;CIK=00015775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1098</Words>
  <Characters>5867</Characters>
  <CharactersWithSpaces>6911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exhihit24powerofattorney</dc:title>
</cp:coreProperties>
</file>