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924560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949960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 w:lineRule="exact"/>
        <w:rPr>
          <w:sz w:val="24"/>
          <w:szCs w:val="24"/>
          <w:color w:val="auto"/>
        </w:rPr>
      </w:pPr>
    </w:p>
    <w:p>
      <w:pPr>
        <w:ind w:left="4140" w:right="2200" w:hanging="4116"/>
        <w:spacing w:after="0" w:line="383" w:lineRule="auto"/>
        <w:tabs>
          <w:tab w:leader="none" w:pos="42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April 30,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0" w:lineRule="exact"/>
        <w:rPr>
          <w:sz w:val="24"/>
          <w:szCs w:val="24"/>
          <w:color w:val="auto"/>
        </w:rPr>
      </w:pPr>
    </w:p>
    <w:p>
      <w:pPr>
        <w:ind w:left="420" w:hanging="396"/>
        <w:spacing w:after="0"/>
        <w:tabs>
          <w:tab w:leader="none" w:pos="4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8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001-39744</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C3.ai,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200" w:lineRule="exact"/>
        <w:rPr>
          <w:sz w:val="24"/>
          <w:szCs w:val="24"/>
          <w:color w:val="auto"/>
        </w:rPr>
      </w:pPr>
    </w:p>
    <w:p>
      <w:pPr>
        <w:spacing w:after="0" w:line="224" w:lineRule="exact"/>
        <w:rPr>
          <w:sz w:val="24"/>
          <w:szCs w:val="24"/>
          <w:color w:val="auto"/>
        </w:rPr>
      </w:pPr>
    </w:p>
    <w:tbl>
      <w:tblPr>
        <w:tblLayout w:type="fixed"/>
        <w:tblInd w:w="180" w:type="dxa"/>
        <w:tblCellMar>
          <w:top w:w="0" w:type="dxa"/>
          <w:left w:w="0" w:type="dxa"/>
          <w:bottom w:w="0" w:type="dxa"/>
          <w:right w:w="0" w:type="dxa"/>
        </w:tblCellMar>
      </w:tblPr>
      <w:tr>
        <w:trPr>
          <w:trHeight w:val="247"/>
        </w:trPr>
        <w:tc>
          <w:tcPr>
            <w:tcW w:w="378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500" w:type="dxa"/>
            <w:vAlign w:val="bottom"/>
            <w:tcBorders>
              <w:top w:val="single" w:sz="8" w:color="auto"/>
            </w:tcBorders>
          </w:tcPr>
          <w:p>
            <w:pPr>
              <w:spacing w:after="0"/>
              <w:rPr>
                <w:sz w:val="21"/>
                <w:szCs w:val="21"/>
                <w:color w:val="auto"/>
              </w:rPr>
            </w:pPr>
          </w:p>
        </w:tc>
        <w:tc>
          <w:tcPr>
            <w:tcW w:w="316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26-3999357</w:t>
            </w:r>
          </w:p>
        </w:tc>
        <w:tc>
          <w:tcPr>
            <w:tcW w:w="0" w:type="dxa"/>
            <w:vAlign w:val="bottom"/>
          </w:tcPr>
          <w:p>
            <w:pPr>
              <w:spacing w:after="0"/>
              <w:rPr>
                <w:sz w:val="1"/>
                <w:szCs w:val="1"/>
                <w:color w:val="auto"/>
              </w:rPr>
            </w:pPr>
          </w:p>
        </w:tc>
      </w:tr>
      <w:tr>
        <w:trPr>
          <w:trHeight w:val="398"/>
        </w:trPr>
        <w:tc>
          <w:tcPr>
            <w:tcW w:w="378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w:t>
            </w:r>
          </w:p>
        </w:tc>
        <w:tc>
          <w:tcPr>
            <w:tcW w:w="3500" w:type="dxa"/>
            <w:vAlign w:val="bottom"/>
          </w:tcPr>
          <w:p>
            <w:pPr>
              <w:spacing w:after="0"/>
              <w:rPr>
                <w:sz w:val="24"/>
                <w:szCs w:val="24"/>
                <w:color w:val="auto"/>
              </w:rPr>
            </w:pPr>
          </w:p>
        </w:tc>
        <w:tc>
          <w:tcPr>
            <w:tcW w:w="3160" w:type="dxa"/>
            <w:vAlign w:val="bottom"/>
            <w:vMerge w:val="restart"/>
          </w:tcPr>
          <w:p>
            <w:pPr>
              <w:jc w:val="center"/>
              <w:ind w:left="51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c>
          <w:tcPr>
            <w:tcW w:w="0" w:type="dxa"/>
            <w:vAlign w:val="bottom"/>
          </w:tcPr>
          <w:p>
            <w:pPr>
              <w:spacing w:after="0"/>
              <w:rPr>
                <w:sz w:val="1"/>
                <w:szCs w:val="1"/>
                <w:color w:val="auto"/>
              </w:rPr>
            </w:pPr>
          </w:p>
        </w:tc>
      </w:tr>
      <w:tr>
        <w:trPr>
          <w:trHeight w:val="125"/>
        </w:trPr>
        <w:tc>
          <w:tcPr>
            <w:tcW w:w="3780" w:type="dxa"/>
            <w:vAlign w:val="bottom"/>
            <w:vMerge w:val="restart"/>
          </w:tcPr>
          <w:p>
            <w:pPr>
              <w:jc w:val="center"/>
              <w:ind w:right="432"/>
              <w:spacing w:after="0"/>
              <w:rPr>
                <w:sz w:val="20"/>
                <w:szCs w:val="20"/>
                <w:color w:val="auto"/>
              </w:rPr>
            </w:pPr>
            <w:r>
              <w:rPr>
                <w:rFonts w:ascii="Times New Roman" w:cs="Times New Roman" w:eastAsia="Times New Roman" w:hAnsi="Times New Roman"/>
                <w:sz w:val="18"/>
                <w:szCs w:val="18"/>
                <w:color w:val="auto"/>
                <w:w w:val="97"/>
              </w:rPr>
              <w:t>organization)</w:t>
            </w:r>
          </w:p>
        </w:tc>
        <w:tc>
          <w:tcPr>
            <w:tcW w:w="3500" w:type="dxa"/>
            <w:vAlign w:val="bottom"/>
          </w:tcPr>
          <w:p>
            <w:pPr>
              <w:spacing w:after="0"/>
              <w:rPr>
                <w:sz w:val="10"/>
                <w:szCs w:val="10"/>
                <w:color w:val="auto"/>
              </w:rPr>
            </w:pPr>
          </w:p>
        </w:tc>
        <w:tc>
          <w:tcPr>
            <w:tcW w:w="3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78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378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7"/>
              </w:rPr>
              <w:t>1400 Seaport Blvd</w:t>
            </w:r>
          </w:p>
        </w:tc>
        <w:tc>
          <w:tcPr>
            <w:tcW w:w="3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780" w:type="dxa"/>
            <w:vAlign w:val="bottom"/>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Redwood City, CA</w:t>
            </w:r>
          </w:p>
        </w:tc>
        <w:tc>
          <w:tcPr>
            <w:tcW w:w="666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94063</w:t>
            </w:r>
          </w:p>
        </w:tc>
        <w:tc>
          <w:tcPr>
            <w:tcW w:w="0" w:type="dxa"/>
            <w:vAlign w:val="bottom"/>
          </w:tcPr>
          <w:p>
            <w:pPr>
              <w:spacing w:after="0"/>
              <w:rPr>
                <w:sz w:val="1"/>
                <w:szCs w:val="1"/>
                <w:color w:val="auto"/>
              </w:rPr>
            </w:pPr>
          </w:p>
        </w:tc>
      </w:tr>
      <w:tr>
        <w:trPr>
          <w:trHeight w:val="185"/>
        </w:trPr>
        <w:tc>
          <w:tcPr>
            <w:tcW w:w="3780" w:type="dxa"/>
            <w:vAlign w:val="bottom"/>
            <w:vMerge w:val="continue"/>
          </w:tcPr>
          <w:p>
            <w:pPr>
              <w:spacing w:after="0"/>
              <w:rPr>
                <w:sz w:val="16"/>
                <w:szCs w:val="16"/>
                <w:color w:val="auto"/>
              </w:rPr>
            </w:pPr>
          </w:p>
        </w:tc>
        <w:tc>
          <w:tcPr>
            <w:tcW w:w="35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8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500" w:type="dxa"/>
            <w:vAlign w:val="bottom"/>
          </w:tcPr>
          <w:p>
            <w:pPr>
              <w:spacing w:after="0"/>
              <w:rPr>
                <w:sz w:val="20"/>
                <w:szCs w:val="20"/>
                <w:color w:val="auto"/>
              </w:rPr>
            </w:pPr>
          </w:p>
        </w:tc>
        <w:tc>
          <w:tcPr>
            <w:tcW w:w="31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7"/>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503-2200</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49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Trading Symbol(s)</w:t>
            </w:r>
          </w:p>
        </w:tc>
        <w:tc>
          <w:tcPr>
            <w:tcW w:w="4120" w:type="dxa"/>
            <w:vAlign w:val="bottom"/>
            <w:gridSpan w:val="3"/>
          </w:tcPr>
          <w:p>
            <w:pPr>
              <w:jc w:val="center"/>
              <w:ind w:right="72"/>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185"/>
        </w:trPr>
        <w:tc>
          <w:tcPr>
            <w:tcW w:w="49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3"/>
          </w:tcPr>
          <w:p>
            <w:pPr>
              <w:spacing w:after="0"/>
              <w:rPr>
                <w:sz w:val="16"/>
                <w:szCs w:val="16"/>
                <w:color w:val="auto"/>
              </w:rPr>
            </w:pPr>
          </w:p>
        </w:tc>
      </w:tr>
      <w:tr>
        <w:trPr>
          <w:trHeight w:val="233"/>
        </w:trPr>
        <w:tc>
          <w:tcPr>
            <w:tcW w:w="494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Class A Common Stock, par value $0.001 per share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w:t>
            </w:r>
          </w:p>
        </w:tc>
        <w:tc>
          <w:tcPr>
            <w:tcW w:w="4120" w:type="dxa"/>
            <w:vAlign w:val="bottom"/>
            <w:gridSpan w:val="3"/>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New York Stock Exchange</w:t>
            </w:r>
          </w:p>
        </w:tc>
      </w:tr>
      <w:tr>
        <w:trPr>
          <w:trHeight w:val="662"/>
        </w:trPr>
        <w:tc>
          <w:tcPr>
            <w:tcW w:w="84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97"/>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a well-known seasoned issuer, as defined in Rule 405 of the Securities Act.</w:t>
            </w:r>
          </w:p>
        </w:tc>
        <w:tc>
          <w:tcPr>
            <w:tcW w:w="5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2240" w:type="dxa"/>
            <w:vAlign w:val="bottom"/>
          </w:tcPr>
          <w:p>
            <w:pPr>
              <w:jc w:val="center"/>
              <w:ind w:right="1412"/>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98"/>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Yes</w:t>
            </w:r>
          </w:p>
        </w:tc>
        <w:tc>
          <w:tcPr>
            <w:tcW w:w="2240" w:type="dxa"/>
            <w:vAlign w:val="bottom"/>
          </w:tcPr>
          <w:p>
            <w:pPr>
              <w:jc w:val="center"/>
              <w:ind w:right="1372"/>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bl>
    <w:p>
      <w:pPr>
        <w:spacing w:after="0" w:line="127"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78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682"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9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Accelerated filer</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2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24"/>
        </w:trPr>
        <w:tc>
          <w:tcPr>
            <w:tcW w:w="2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92"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14"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5"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4"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5" w:lineRule="exact"/>
        <w:rPr>
          <w:sz w:val="20"/>
          <w:szCs w:val="20"/>
          <w:color w:val="auto"/>
        </w:rPr>
      </w:pPr>
    </w:p>
    <w:p>
      <w:pPr>
        <w:spacing w:after="0" w:line="207" w:lineRule="exact"/>
        <w:tabs>
          <w:tab w:leader="none" w:pos="7480" w:val="left"/>
          <w:tab w:leader="none" w:pos="82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on October 31, 2025 (the last business day of the registrant’s fiscal second quarter), based on the closing price of $17.58 for shares of the registrant’s Class A common stock as reported by the New York Stock Exchange, was approximately $1.2 billion.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10, 2026, the registrant had outstanding 151,949,285 shares of Class A common stock and 3,499,992 shares of Class B common stock.</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2026 annual meeting of shareholders (the “2026 Proxy Statement”) are incorporated by reference into Part III of this Annual Report on Form 10-K where indicated. The 2026 Proxy Statement will be filed with the U.S. Securities and Exchange Commission within 120 days after the end of the registrant’s fiscal year ended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149860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14"/>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0E32E1"/>
              </w:rPr>
              <w:t>Page</w:t>
            </w:r>
          </w:p>
        </w:tc>
        <w:tc>
          <w:tcPr>
            <w:tcW w:w="0" w:type="dxa"/>
            <w:vAlign w:val="bottom"/>
          </w:tcPr>
          <w:p>
            <w:pPr>
              <w:spacing w:after="0"/>
              <w:rPr>
                <w:sz w:val="1"/>
                <w:szCs w:val="1"/>
                <w:color w:val="auto"/>
              </w:rPr>
            </w:pPr>
          </w:p>
        </w:tc>
      </w:tr>
      <w:tr>
        <w:trPr>
          <w:trHeight w:val="38"/>
        </w:trPr>
        <w:tc>
          <w:tcPr>
            <w:tcW w:w="40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E32E1"/>
                <w:w w:val="97"/>
              </w:rPr>
              <w:t>Special Note Regarding Forward-Looking Statements</w:t>
            </w:r>
          </w:p>
        </w:tc>
        <w:tc>
          <w:tcPr>
            <w:tcW w:w="6100" w:type="dxa"/>
            <w:vAlign w:val="bottom"/>
            <w:gridSpan w:val="16"/>
            <w:vMerge w:val="restart"/>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060" w:type="dxa"/>
            <w:vAlign w:val="bottom"/>
            <w:tcBorders>
              <w:bottom w:val="single" w:sz="8" w:color="0E32E1"/>
            </w:tcBorders>
            <w:gridSpan w:val="17"/>
            <w:vMerge w:val="continue"/>
          </w:tcPr>
          <w:p>
            <w:pPr>
              <w:spacing w:after="0"/>
              <w:rPr>
                <w:sz w:val="15"/>
                <w:szCs w:val="15"/>
                <w:color w:val="auto"/>
              </w:rPr>
            </w:pPr>
          </w:p>
        </w:tc>
        <w:tc>
          <w:tcPr>
            <w:tcW w:w="6100" w:type="dxa"/>
            <w:vAlign w:val="bottom"/>
            <w:gridSpan w:val="16"/>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016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E32E1"/>
              </w:rPr>
              <w:t>Selected Risks Affecting Our Business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0" w:type="dxa"/>
            <w:vAlign w:val="bottom"/>
            <w:tcBorders>
              <w:top w:val="single" w:sz="8" w:color="0E32E1"/>
            </w:tcBorders>
          </w:tcPr>
          <w:p>
            <w:pPr>
              <w:spacing w:after="0"/>
              <w:rPr>
                <w:sz w:val="21"/>
                <w:szCs w:val="21"/>
                <w:color w:val="auto"/>
              </w:rPr>
            </w:pPr>
          </w:p>
        </w:tc>
        <w:tc>
          <w:tcPr>
            <w:tcW w:w="500" w:type="dxa"/>
            <w:vAlign w:val="bottom"/>
            <w:tcBorders>
              <w:top w:val="single" w:sz="8" w:color="0E32E1"/>
            </w:tcBorders>
          </w:tcPr>
          <w:p>
            <w:pPr>
              <w:spacing w:after="0"/>
              <w:rPr>
                <w:sz w:val="21"/>
                <w:szCs w:val="21"/>
                <w:color w:val="auto"/>
              </w:rPr>
            </w:pPr>
          </w:p>
        </w:tc>
        <w:tc>
          <w:tcPr>
            <w:tcW w:w="100" w:type="dxa"/>
            <w:vAlign w:val="bottom"/>
            <w:tcBorders>
              <w:top w:val="single" w:sz="8" w:color="0E32E1"/>
            </w:tcBorders>
          </w:tcPr>
          <w:p>
            <w:pPr>
              <w:spacing w:after="0"/>
              <w:rPr>
                <w:sz w:val="21"/>
                <w:szCs w:val="21"/>
                <w:color w:val="auto"/>
              </w:rPr>
            </w:pPr>
          </w:p>
        </w:tc>
        <w:tc>
          <w:tcPr>
            <w:tcW w:w="100" w:type="dxa"/>
            <w:vAlign w:val="bottom"/>
            <w:tcBorders>
              <w:top w:val="single" w:sz="8" w:color="0E32E1"/>
            </w:tcBorders>
          </w:tcPr>
          <w:p>
            <w:pPr>
              <w:spacing w:after="0"/>
              <w:rPr>
                <w:sz w:val="21"/>
                <w:szCs w:val="21"/>
                <w:color w:val="auto"/>
              </w:rPr>
            </w:pPr>
          </w:p>
        </w:tc>
        <w:tc>
          <w:tcPr>
            <w:tcW w:w="300" w:type="dxa"/>
            <w:vAlign w:val="bottom"/>
            <w:tcBorders>
              <w:top w:val="single" w:sz="8" w:color="0E32E1"/>
            </w:tcBorders>
          </w:tcPr>
          <w:p>
            <w:pPr>
              <w:spacing w:after="0"/>
              <w:rPr>
                <w:sz w:val="21"/>
                <w:szCs w:val="21"/>
                <w:color w:val="auto"/>
              </w:rPr>
            </w:pPr>
          </w:p>
        </w:tc>
        <w:tc>
          <w:tcPr>
            <w:tcW w:w="640" w:type="dxa"/>
            <w:vAlign w:val="bottom"/>
            <w:tcBorders>
              <w:top w:val="single" w:sz="8" w:color="0E32E1"/>
            </w:tcBorders>
          </w:tcPr>
          <w:p>
            <w:pPr>
              <w:spacing w:after="0"/>
              <w:rPr>
                <w:sz w:val="21"/>
                <w:szCs w:val="21"/>
                <w:color w:val="auto"/>
              </w:rPr>
            </w:pPr>
          </w:p>
        </w:tc>
        <w:tc>
          <w:tcPr>
            <w:tcW w:w="80" w:type="dxa"/>
            <w:vAlign w:val="bottom"/>
            <w:tcBorders>
              <w:top w:val="single" w:sz="8" w:color="0E32E1"/>
            </w:tcBorders>
          </w:tcPr>
          <w:p>
            <w:pPr>
              <w:spacing w:after="0"/>
              <w:rPr>
                <w:sz w:val="21"/>
                <w:szCs w:val="21"/>
                <w:color w:val="auto"/>
              </w:rPr>
            </w:pPr>
          </w:p>
        </w:tc>
        <w:tc>
          <w:tcPr>
            <w:tcW w:w="60" w:type="dxa"/>
            <w:vAlign w:val="bottom"/>
            <w:tcBorders>
              <w:top w:val="single" w:sz="8" w:color="0E32E1"/>
            </w:tcBorders>
          </w:tcPr>
          <w:p>
            <w:pPr>
              <w:spacing w:after="0"/>
              <w:rPr>
                <w:sz w:val="21"/>
                <w:szCs w:val="21"/>
                <w:color w:val="auto"/>
              </w:rPr>
            </w:pPr>
          </w:p>
        </w:tc>
        <w:tc>
          <w:tcPr>
            <w:tcW w:w="120" w:type="dxa"/>
            <w:vAlign w:val="bottom"/>
            <w:tcBorders>
              <w:top w:val="single" w:sz="8" w:color="0E32E1"/>
            </w:tcBorders>
          </w:tcPr>
          <w:p>
            <w:pPr>
              <w:spacing w:after="0"/>
              <w:rPr>
                <w:sz w:val="21"/>
                <w:szCs w:val="21"/>
                <w:color w:val="auto"/>
              </w:rPr>
            </w:pPr>
          </w:p>
        </w:tc>
        <w:tc>
          <w:tcPr>
            <w:tcW w:w="100" w:type="dxa"/>
            <w:vAlign w:val="bottom"/>
            <w:tcBorders>
              <w:top w:val="single" w:sz="8" w:color="0E32E1"/>
            </w:tcBorders>
          </w:tcPr>
          <w:p>
            <w:pPr>
              <w:spacing w:after="0"/>
              <w:rPr>
                <w:sz w:val="21"/>
                <w:szCs w:val="21"/>
                <w:color w:val="auto"/>
              </w:rPr>
            </w:pPr>
          </w:p>
        </w:tc>
        <w:tc>
          <w:tcPr>
            <w:tcW w:w="300" w:type="dxa"/>
            <w:vAlign w:val="bottom"/>
            <w:tcBorders>
              <w:top w:val="single" w:sz="8" w:color="0E32E1"/>
            </w:tcBorders>
          </w:tcPr>
          <w:p>
            <w:pPr>
              <w:spacing w:after="0"/>
              <w:rPr>
                <w:sz w:val="21"/>
                <w:szCs w:val="21"/>
                <w:color w:val="auto"/>
              </w:rPr>
            </w:pPr>
          </w:p>
        </w:tc>
        <w:tc>
          <w:tcPr>
            <w:tcW w:w="220" w:type="dxa"/>
            <w:vAlign w:val="bottom"/>
            <w:tcBorders>
              <w:top w:val="single" w:sz="8" w:color="0E32E1"/>
            </w:tcBorders>
          </w:tcPr>
          <w:p>
            <w:pPr>
              <w:spacing w:after="0"/>
              <w:rPr>
                <w:sz w:val="21"/>
                <w:szCs w:val="21"/>
                <w:color w:val="auto"/>
              </w:rPr>
            </w:pPr>
          </w:p>
        </w:tc>
        <w:tc>
          <w:tcPr>
            <w:tcW w:w="220" w:type="dxa"/>
            <w:vAlign w:val="bottom"/>
            <w:tcBorders>
              <w:top w:val="single" w:sz="8" w:color="0E32E1"/>
            </w:tcBorders>
          </w:tcPr>
          <w:p>
            <w:pPr>
              <w:spacing w:after="0"/>
              <w:rPr>
                <w:sz w:val="21"/>
                <w:szCs w:val="21"/>
                <w:color w:val="auto"/>
              </w:rPr>
            </w:pPr>
          </w:p>
        </w:tc>
        <w:tc>
          <w:tcPr>
            <w:tcW w:w="40" w:type="dxa"/>
            <w:vAlign w:val="bottom"/>
            <w:tcBorders>
              <w:top w:val="single" w:sz="8" w:color="0E32E1"/>
            </w:tcBorders>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0E32E1"/>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E32E1"/>
                <w:w w:val="99"/>
              </w:rPr>
              <w:t>Part I.</w:t>
            </w:r>
          </w:p>
        </w:tc>
        <w:tc>
          <w:tcPr>
            <w:tcW w:w="4840" w:type="dxa"/>
            <w:vAlign w:val="bottom"/>
            <w:gridSpan w:val="9"/>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1.</w:t>
            </w:r>
          </w:p>
        </w:tc>
        <w:tc>
          <w:tcPr>
            <w:tcW w:w="9060" w:type="dxa"/>
            <w:vAlign w:val="bottom"/>
            <w:gridSpan w:val="28"/>
          </w:tcPr>
          <w:p>
            <w:pPr>
              <w:spacing w:after="0"/>
              <w:rPr>
                <w:sz w:val="20"/>
                <w:szCs w:val="20"/>
                <w:color w:val="auto"/>
              </w:rPr>
            </w:pPr>
            <w:r>
              <w:rPr>
                <w:rFonts w:ascii="Times New Roman" w:cs="Times New Roman" w:eastAsia="Times New Roman" w:hAnsi="Times New Roman"/>
                <w:sz w:val="18"/>
                <w:szCs w:val="18"/>
                <w:color w:val="0E32E1"/>
              </w:rPr>
              <w:t>Business</w:t>
            </w:r>
          </w:p>
        </w:tc>
        <w:tc>
          <w:tcPr>
            <w:tcW w:w="580" w:type="dxa"/>
            <w:vAlign w:val="bottom"/>
            <w:gridSpan w:val="2"/>
          </w:tcPr>
          <w:p>
            <w:pPr>
              <w:jc w:val="center"/>
              <w:ind w:left="393"/>
              <w:spacing w:after="0"/>
              <w:rPr>
                <w:sz w:val="20"/>
                <w:szCs w:val="20"/>
                <w:color w:val="auto"/>
              </w:rPr>
            </w:pPr>
            <w:r>
              <w:rPr>
                <w:rFonts w:ascii="Times New Roman" w:cs="Times New Roman" w:eastAsia="Times New Roman" w:hAnsi="Times New Roman"/>
                <w:sz w:val="18"/>
                <w:szCs w:val="18"/>
                <w:color w:val="0E32E1"/>
              </w:rPr>
              <w:t>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7"/>
              </w:rPr>
              <w:t>Item 1A.</w:t>
            </w:r>
          </w:p>
        </w:tc>
        <w:tc>
          <w:tcPr>
            <w:tcW w:w="400" w:type="dxa"/>
            <w:vAlign w:val="bottom"/>
            <w:gridSpan w:val="2"/>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8160" w:type="dxa"/>
            <w:vAlign w:val="bottom"/>
            <w:gridSpan w:val="2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E32E1"/>
                <w:w w:val="77"/>
              </w:rPr>
              <w:t>26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8"/>
              </w:rPr>
              <w:t>Item 1B.</w:t>
            </w:r>
          </w:p>
        </w:tc>
        <w:tc>
          <w:tcPr>
            <w:tcW w:w="400" w:type="dxa"/>
            <w:vAlign w:val="bottom"/>
            <w:gridSpan w:val="2"/>
          </w:tcPr>
          <w:p>
            <w:pPr>
              <w:spacing w:after="0"/>
              <w:rPr>
                <w:sz w:val="21"/>
                <w:szCs w:val="21"/>
                <w:color w:val="auto"/>
              </w:rPr>
            </w:pPr>
          </w:p>
        </w:tc>
        <w:tc>
          <w:tcPr>
            <w:tcW w:w="2020" w:type="dxa"/>
            <w:vAlign w:val="bottom"/>
            <w:gridSpan w:val="10"/>
          </w:tcPr>
          <w:p>
            <w:pPr>
              <w:spacing w:after="0"/>
              <w:rPr>
                <w:sz w:val="20"/>
                <w:szCs w:val="20"/>
                <w:color w:val="auto"/>
              </w:rPr>
            </w:pPr>
            <w:r>
              <w:rPr>
                <w:rFonts w:ascii="Times New Roman" w:cs="Times New Roman" w:eastAsia="Times New Roman" w:hAnsi="Times New Roman"/>
                <w:sz w:val="18"/>
                <w:szCs w:val="18"/>
                <w:color w:val="0E32E1"/>
                <w:w w:val="97"/>
              </w:rPr>
              <w:t>Unresolved Staff Comments</w:t>
            </w:r>
          </w:p>
        </w:tc>
        <w:tc>
          <w:tcPr>
            <w:tcW w:w="7040" w:type="dxa"/>
            <w:vAlign w:val="bottom"/>
            <w:gridSpan w:val="1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E32E1"/>
                <w:w w:val="77"/>
              </w:rPr>
              <w:t>66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20" w:type="dxa"/>
            <w:vAlign w:val="bottom"/>
            <w:gridSpan w:val="2"/>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8"/>
              </w:rPr>
              <w:t>Item 1C.</w:t>
            </w:r>
          </w:p>
        </w:tc>
        <w:tc>
          <w:tcPr>
            <w:tcW w:w="400" w:type="dxa"/>
            <w:vAlign w:val="bottom"/>
            <w:gridSpan w:val="2"/>
          </w:tcPr>
          <w:p>
            <w:pPr>
              <w:spacing w:after="0"/>
              <w:rPr>
                <w:sz w:val="21"/>
                <w:szCs w:val="21"/>
                <w:color w:val="auto"/>
              </w:rPr>
            </w:pPr>
          </w:p>
        </w:tc>
        <w:tc>
          <w:tcPr>
            <w:tcW w:w="2020" w:type="dxa"/>
            <w:vAlign w:val="bottom"/>
            <w:gridSpan w:val="10"/>
          </w:tcPr>
          <w:p>
            <w:pPr>
              <w:spacing w:after="0"/>
              <w:rPr>
                <w:sz w:val="20"/>
                <w:szCs w:val="20"/>
                <w:color w:val="auto"/>
              </w:rPr>
            </w:pPr>
            <w:r>
              <w:rPr>
                <w:rFonts w:ascii="Times New Roman" w:cs="Times New Roman" w:eastAsia="Times New Roman" w:hAnsi="Times New Roman"/>
                <w:sz w:val="18"/>
                <w:szCs w:val="18"/>
                <w:color w:val="0E32E1"/>
              </w:rPr>
              <w:t>Cybersecurity</w:t>
            </w:r>
          </w:p>
        </w:tc>
        <w:tc>
          <w:tcPr>
            <w:tcW w:w="7040" w:type="dxa"/>
            <w:vAlign w:val="bottom"/>
            <w:gridSpan w:val="1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E32E1"/>
                <w:w w:val="77"/>
              </w:rPr>
              <w:t>66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20" w:type="dxa"/>
            <w:vAlign w:val="bottom"/>
            <w:gridSpan w:val="2"/>
            <w:shd w:val="clear" w:color="auto" w:fill="0E32E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Item 2.</w:t>
            </w:r>
          </w:p>
        </w:tc>
        <w:tc>
          <w:tcPr>
            <w:tcW w:w="400" w:type="dxa"/>
            <w:vAlign w:val="bottom"/>
            <w:gridSpan w:val="2"/>
          </w:tcPr>
          <w:p>
            <w:pPr>
              <w:spacing w:after="0"/>
              <w:rPr>
                <w:sz w:val="21"/>
                <w:szCs w:val="21"/>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E32E1"/>
              </w:rPr>
              <w:t>Properties</w:t>
            </w:r>
          </w:p>
        </w:tc>
        <w:tc>
          <w:tcPr>
            <w:tcW w:w="8060" w:type="dxa"/>
            <w:vAlign w:val="bottom"/>
            <w:gridSpan w:val="2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E32E1"/>
                <w:w w:val="77"/>
              </w:rPr>
              <w:t>68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3.</w:t>
            </w:r>
          </w:p>
        </w:tc>
        <w:tc>
          <w:tcPr>
            <w:tcW w:w="9060" w:type="dxa"/>
            <w:vAlign w:val="bottom"/>
            <w:gridSpan w:val="28"/>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660" w:type="dxa"/>
            <w:vAlign w:val="bottom"/>
            <w:gridSpan w:val="3"/>
          </w:tcPr>
          <w:p>
            <w:pPr>
              <w:jc w:val="center"/>
              <w:ind w:left="313"/>
              <w:spacing w:after="0"/>
              <w:rPr>
                <w:sz w:val="20"/>
                <w:szCs w:val="20"/>
                <w:color w:val="auto"/>
              </w:rPr>
            </w:pPr>
            <w:r>
              <w:rPr>
                <w:rFonts w:ascii="Times New Roman" w:cs="Times New Roman" w:eastAsia="Times New Roman" w:hAnsi="Times New Roman"/>
                <w:sz w:val="18"/>
                <w:szCs w:val="18"/>
                <w:color w:val="0E32E1"/>
                <w:w w:val="99"/>
              </w:rPr>
              <w:t>68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220" w:type="dxa"/>
            <w:vAlign w:val="bottom"/>
            <w:tcBorders>
              <w:left w:val="single" w:sz="8" w:color="0E32E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4.</w:t>
            </w:r>
          </w:p>
        </w:tc>
        <w:tc>
          <w:tcPr>
            <w:tcW w:w="9060" w:type="dxa"/>
            <w:vAlign w:val="bottom"/>
            <w:gridSpan w:val="28"/>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660" w:type="dxa"/>
            <w:vAlign w:val="bottom"/>
            <w:gridSpan w:val="3"/>
          </w:tcPr>
          <w:p>
            <w:pPr>
              <w:jc w:val="center"/>
              <w:ind w:left="313"/>
              <w:spacing w:after="0"/>
              <w:rPr>
                <w:sz w:val="20"/>
                <w:szCs w:val="20"/>
                <w:color w:val="auto"/>
              </w:rPr>
            </w:pPr>
            <w:r>
              <w:rPr>
                <w:rFonts w:ascii="Times New Roman" w:cs="Times New Roman" w:eastAsia="Times New Roman" w:hAnsi="Times New Roman"/>
                <w:sz w:val="18"/>
                <w:szCs w:val="18"/>
                <w:color w:val="0E32E1"/>
                <w:w w:val="99"/>
              </w:rPr>
              <w:t>68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100" w:type="dxa"/>
            <w:vAlign w:val="bottom"/>
          </w:tcPr>
          <w:p>
            <w:pPr>
              <w:spacing w:after="0"/>
              <w:rPr>
                <w:sz w:val="24"/>
                <w:szCs w:val="24"/>
                <w:color w:val="auto"/>
              </w:rPr>
            </w:pPr>
          </w:p>
        </w:tc>
        <w:tc>
          <w:tcPr>
            <w:tcW w:w="500" w:type="dxa"/>
            <w:vAlign w:val="bottom"/>
            <w:tcBorders>
              <w:top w:val="single" w:sz="8" w:color="0E32E1"/>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60" w:type="dxa"/>
            <w:vAlign w:val="bottom"/>
            <w:tcBorders>
              <w:top w:val="single" w:sz="8" w:color="0E32E1"/>
            </w:tcBorders>
          </w:tcPr>
          <w:p>
            <w:pPr>
              <w:spacing w:after="0"/>
              <w:rPr>
                <w:sz w:val="24"/>
                <w:szCs w:val="24"/>
                <w:color w:val="auto"/>
              </w:rPr>
            </w:pPr>
          </w:p>
        </w:tc>
        <w:tc>
          <w:tcPr>
            <w:tcW w:w="12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30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E32E1"/>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E32E1"/>
                <w:w w:val="98"/>
              </w:rPr>
              <w:t>Part II</w:t>
            </w:r>
          </w:p>
        </w:tc>
        <w:tc>
          <w:tcPr>
            <w:tcW w:w="482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5.</w:t>
            </w:r>
          </w:p>
        </w:tc>
        <w:tc>
          <w:tcPr>
            <w:tcW w:w="9060" w:type="dxa"/>
            <w:vAlign w:val="bottom"/>
            <w:gridSpan w:val="28"/>
          </w:tcPr>
          <w:p>
            <w:pPr>
              <w:spacing w:after="0"/>
              <w:rPr>
                <w:sz w:val="20"/>
                <w:szCs w:val="20"/>
                <w:color w:val="auto"/>
              </w:rPr>
            </w:pPr>
            <w:r>
              <w:rPr>
                <w:rFonts w:ascii="Times New Roman" w:cs="Times New Roman" w:eastAsia="Times New Roman" w:hAnsi="Times New Roman"/>
                <w:sz w:val="18"/>
                <w:szCs w:val="18"/>
                <w:color w:val="0E32E1"/>
              </w:rPr>
              <w:t>Market for Registrant’s Common Equity, Related Stockholder Matters and Issuer Purchases of Equity Securities</w:t>
            </w:r>
          </w:p>
        </w:tc>
        <w:tc>
          <w:tcPr>
            <w:tcW w:w="660" w:type="dxa"/>
            <w:vAlign w:val="bottom"/>
            <w:gridSpan w:val="3"/>
          </w:tcPr>
          <w:p>
            <w:pPr>
              <w:jc w:val="center"/>
              <w:ind w:left="313"/>
              <w:spacing w:after="0"/>
              <w:rPr>
                <w:sz w:val="20"/>
                <w:szCs w:val="20"/>
                <w:color w:val="auto"/>
              </w:rPr>
            </w:pPr>
            <w:r>
              <w:rPr>
                <w:rFonts w:ascii="Times New Roman" w:cs="Times New Roman" w:eastAsia="Times New Roman" w:hAnsi="Times New Roman"/>
                <w:sz w:val="18"/>
                <w:szCs w:val="18"/>
                <w:color w:val="0E32E1"/>
                <w:w w:val="99"/>
              </w:rPr>
              <w:t>69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tcBorders>
              <w:right w:val="single" w:sz="8" w:color="0E32E1"/>
            </w:tcBorders>
            <w:gridSpan w:val="2"/>
            <w:shd w:val="clear" w:color="auto" w:fill="0E32E1"/>
          </w:tcPr>
          <w:p>
            <w:pPr>
              <w:spacing w:after="0" w:line="20" w:lineRule="exact"/>
              <w:rPr>
                <w:sz w:val="1"/>
                <w:szCs w:val="1"/>
                <w:color w:val="auto"/>
              </w:rPr>
            </w:pPr>
          </w:p>
        </w:tc>
        <w:tc>
          <w:tcPr>
            <w:tcW w:w="1040" w:type="dxa"/>
            <w:vAlign w:val="bottom"/>
            <w:gridSpan w:val="2"/>
            <w:shd w:val="clear" w:color="auto" w:fill="0E32E1"/>
          </w:tcPr>
          <w:p>
            <w:pPr>
              <w:spacing w:after="0" w:line="20" w:lineRule="exact"/>
              <w:rPr>
                <w:sz w:val="1"/>
                <w:szCs w:val="1"/>
                <w:color w:val="auto"/>
              </w:rPr>
            </w:pPr>
          </w:p>
        </w:tc>
        <w:tc>
          <w:tcPr>
            <w:tcW w:w="28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20" w:type="dxa"/>
            <w:vAlign w:val="bottom"/>
            <w:gridSpan w:val="2"/>
            <w:shd w:val="clear" w:color="auto" w:fill="0E32E1"/>
          </w:tcPr>
          <w:p>
            <w:pPr>
              <w:spacing w:after="0" w:line="20" w:lineRule="exact"/>
              <w:rPr>
                <w:sz w:val="1"/>
                <w:szCs w:val="1"/>
                <w:color w:val="auto"/>
              </w:rPr>
            </w:pPr>
          </w:p>
        </w:tc>
        <w:tc>
          <w:tcPr>
            <w:tcW w:w="240" w:type="dxa"/>
            <w:vAlign w:val="bottom"/>
            <w:gridSpan w:val="3"/>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980" w:type="dxa"/>
            <w:vAlign w:val="bottom"/>
            <w:shd w:val="clear" w:color="auto" w:fill="0E32E1"/>
          </w:tcPr>
          <w:p>
            <w:pPr>
              <w:spacing w:after="0" w:line="20" w:lineRule="exact"/>
              <w:rPr>
                <w:sz w:val="1"/>
                <w:szCs w:val="1"/>
                <w:color w:val="auto"/>
              </w:rPr>
            </w:pPr>
          </w:p>
        </w:tc>
        <w:tc>
          <w:tcPr>
            <w:tcW w:w="820" w:type="dxa"/>
            <w:vAlign w:val="bottom"/>
            <w:tcBorders>
              <w:left w:val="single" w:sz="8" w:color="0E32E1"/>
            </w:tcBorders>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6.</w:t>
            </w:r>
          </w:p>
        </w:tc>
        <w:tc>
          <w:tcPr>
            <w:tcW w:w="9060" w:type="dxa"/>
            <w:vAlign w:val="bottom"/>
            <w:gridSpan w:val="28"/>
          </w:tcPr>
          <w:p>
            <w:pPr>
              <w:spacing w:after="0"/>
              <w:rPr>
                <w:sz w:val="20"/>
                <w:szCs w:val="20"/>
                <w:color w:val="auto"/>
              </w:rPr>
            </w:pPr>
            <w:r>
              <w:rPr>
                <w:rFonts w:ascii="Times New Roman" w:cs="Times New Roman" w:eastAsia="Times New Roman" w:hAnsi="Times New Roman"/>
                <w:sz w:val="18"/>
                <w:szCs w:val="18"/>
                <w:color w:val="0E32E1"/>
              </w:rPr>
              <w:t>[Reserved]</w:t>
            </w:r>
          </w:p>
        </w:tc>
        <w:tc>
          <w:tcPr>
            <w:tcW w:w="660" w:type="dxa"/>
            <w:vAlign w:val="bottom"/>
            <w:gridSpan w:val="3"/>
          </w:tcPr>
          <w:p>
            <w:pPr>
              <w:jc w:val="center"/>
              <w:ind w:left="313"/>
              <w:spacing w:after="0"/>
              <w:rPr>
                <w:sz w:val="20"/>
                <w:szCs w:val="20"/>
                <w:color w:val="auto"/>
              </w:rPr>
            </w:pPr>
            <w:r>
              <w:rPr>
                <w:rFonts w:ascii="Times New Roman" w:cs="Times New Roman" w:eastAsia="Times New Roman" w:hAnsi="Times New Roman"/>
                <w:sz w:val="18"/>
                <w:szCs w:val="18"/>
                <w:color w:val="0E32E1"/>
                <w:w w:val="99"/>
              </w:rPr>
              <w:t>70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7.</w:t>
            </w:r>
          </w:p>
        </w:tc>
        <w:tc>
          <w:tcPr>
            <w:tcW w:w="9060" w:type="dxa"/>
            <w:vAlign w:val="bottom"/>
            <w:gridSpan w:val="28"/>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660" w:type="dxa"/>
            <w:vAlign w:val="bottom"/>
            <w:gridSpan w:val="3"/>
          </w:tcPr>
          <w:p>
            <w:pPr>
              <w:jc w:val="center"/>
              <w:ind w:left="313"/>
              <w:spacing w:after="0"/>
              <w:rPr>
                <w:sz w:val="20"/>
                <w:szCs w:val="20"/>
                <w:color w:val="auto"/>
              </w:rPr>
            </w:pPr>
            <w:r>
              <w:rPr>
                <w:rFonts w:ascii="Times New Roman" w:cs="Times New Roman" w:eastAsia="Times New Roman" w:hAnsi="Times New Roman"/>
                <w:sz w:val="18"/>
                <w:szCs w:val="18"/>
                <w:color w:val="0E32E1"/>
                <w:w w:val="99"/>
              </w:rPr>
              <w:t>71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tcBorders>
              <w:right w:val="single" w:sz="8" w:color="0E32E1"/>
            </w:tcBorders>
            <w:gridSpan w:val="2"/>
            <w:shd w:val="clear" w:color="auto" w:fill="0E32E1"/>
          </w:tcPr>
          <w:p>
            <w:pPr>
              <w:spacing w:after="0" w:line="20" w:lineRule="exact"/>
              <w:rPr>
                <w:sz w:val="1"/>
                <w:szCs w:val="1"/>
                <w:color w:val="auto"/>
              </w:rPr>
            </w:pPr>
          </w:p>
        </w:tc>
        <w:tc>
          <w:tcPr>
            <w:tcW w:w="1040" w:type="dxa"/>
            <w:vAlign w:val="bottom"/>
            <w:gridSpan w:val="2"/>
            <w:shd w:val="clear" w:color="auto" w:fill="0E32E1"/>
          </w:tcPr>
          <w:p>
            <w:pPr>
              <w:spacing w:after="0" w:line="20" w:lineRule="exact"/>
              <w:rPr>
                <w:sz w:val="1"/>
                <w:szCs w:val="1"/>
                <w:color w:val="auto"/>
              </w:rPr>
            </w:pPr>
          </w:p>
        </w:tc>
        <w:tc>
          <w:tcPr>
            <w:tcW w:w="28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20" w:type="dxa"/>
            <w:vAlign w:val="bottom"/>
            <w:gridSpan w:val="2"/>
            <w:shd w:val="clear" w:color="auto" w:fill="0E32E1"/>
          </w:tcPr>
          <w:p>
            <w:pPr>
              <w:spacing w:after="0" w:line="20" w:lineRule="exact"/>
              <w:rPr>
                <w:sz w:val="1"/>
                <w:szCs w:val="1"/>
                <w:color w:val="auto"/>
              </w:rPr>
            </w:pPr>
          </w:p>
        </w:tc>
        <w:tc>
          <w:tcPr>
            <w:tcW w:w="240" w:type="dxa"/>
            <w:vAlign w:val="bottom"/>
            <w:gridSpan w:val="3"/>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980" w:type="dxa"/>
            <w:vAlign w:val="bottom"/>
            <w:shd w:val="clear" w:color="auto" w:fill="0E32E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7"/>
              </w:rPr>
              <w:t>Item 7A.</w:t>
            </w:r>
          </w:p>
        </w:tc>
        <w:tc>
          <w:tcPr>
            <w:tcW w:w="400" w:type="dxa"/>
            <w:vAlign w:val="bottom"/>
            <w:gridSpan w:val="2"/>
          </w:tcPr>
          <w:p>
            <w:pPr>
              <w:spacing w:after="0"/>
              <w:rPr>
                <w:sz w:val="21"/>
                <w:szCs w:val="21"/>
                <w:color w:val="auto"/>
              </w:rPr>
            </w:pPr>
          </w:p>
        </w:tc>
        <w:tc>
          <w:tcPr>
            <w:tcW w:w="430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w w:val="97"/>
              </w:rPr>
              <w:t>Quantitative and Qualitative Disclosures About Market Risk</w:t>
            </w:r>
          </w:p>
        </w:tc>
        <w:tc>
          <w:tcPr>
            <w:tcW w:w="476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E32E1"/>
                <w:w w:val="77"/>
              </w:rPr>
              <w:t>87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tcBorders>
              <w:right w:val="single" w:sz="8" w:color="0E32E1"/>
            </w:tcBorders>
            <w:gridSpan w:val="2"/>
            <w:shd w:val="clear" w:color="auto" w:fill="0E32E1"/>
          </w:tcPr>
          <w:p>
            <w:pPr>
              <w:spacing w:after="0" w:line="20" w:lineRule="exact"/>
              <w:rPr>
                <w:sz w:val="1"/>
                <w:szCs w:val="1"/>
                <w:color w:val="auto"/>
              </w:rPr>
            </w:pPr>
          </w:p>
        </w:tc>
        <w:tc>
          <w:tcPr>
            <w:tcW w:w="1040" w:type="dxa"/>
            <w:vAlign w:val="bottom"/>
            <w:gridSpan w:val="2"/>
            <w:shd w:val="clear" w:color="auto" w:fill="0E32E1"/>
          </w:tcPr>
          <w:p>
            <w:pPr>
              <w:spacing w:after="0" w:line="20" w:lineRule="exact"/>
              <w:rPr>
                <w:sz w:val="1"/>
                <w:szCs w:val="1"/>
                <w:color w:val="auto"/>
              </w:rPr>
            </w:pPr>
          </w:p>
        </w:tc>
        <w:tc>
          <w:tcPr>
            <w:tcW w:w="28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20" w:type="dxa"/>
            <w:vAlign w:val="bottom"/>
            <w:gridSpan w:val="2"/>
            <w:shd w:val="clear" w:color="auto" w:fill="0E32E1"/>
          </w:tcPr>
          <w:p>
            <w:pPr>
              <w:spacing w:after="0" w:line="20" w:lineRule="exact"/>
              <w:rPr>
                <w:sz w:val="1"/>
                <w:szCs w:val="1"/>
                <w:color w:val="auto"/>
              </w:rPr>
            </w:pPr>
          </w:p>
        </w:tc>
        <w:tc>
          <w:tcPr>
            <w:tcW w:w="240" w:type="dxa"/>
            <w:vAlign w:val="bottom"/>
            <w:gridSpan w:val="3"/>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Item 8.</w:t>
            </w:r>
          </w:p>
        </w:tc>
        <w:tc>
          <w:tcPr>
            <w:tcW w:w="400" w:type="dxa"/>
            <w:vAlign w:val="bottom"/>
            <w:gridSpan w:val="2"/>
          </w:tcPr>
          <w:p>
            <w:pPr>
              <w:spacing w:after="0"/>
              <w:rPr>
                <w:sz w:val="21"/>
                <w:szCs w:val="21"/>
                <w:color w:val="auto"/>
              </w:rPr>
            </w:pPr>
          </w:p>
        </w:tc>
        <w:tc>
          <w:tcPr>
            <w:tcW w:w="430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Financial Statements and Supplementary Data</w:t>
            </w:r>
          </w:p>
        </w:tc>
        <w:tc>
          <w:tcPr>
            <w:tcW w:w="476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E32E1"/>
                <w:w w:val="77"/>
              </w:rPr>
              <w:t>88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9.</w:t>
            </w:r>
          </w:p>
        </w:tc>
        <w:tc>
          <w:tcPr>
            <w:tcW w:w="9060" w:type="dxa"/>
            <w:vAlign w:val="bottom"/>
            <w:gridSpan w:val="28"/>
          </w:tcPr>
          <w:p>
            <w:pPr>
              <w:spacing w:after="0"/>
              <w:rPr>
                <w:sz w:val="20"/>
                <w:szCs w:val="20"/>
                <w:color w:val="auto"/>
              </w:rPr>
            </w:pPr>
            <w:r>
              <w:rPr>
                <w:rFonts w:ascii="Times New Roman" w:cs="Times New Roman" w:eastAsia="Times New Roman" w:hAnsi="Times New Roman"/>
                <w:sz w:val="18"/>
                <w:szCs w:val="18"/>
                <w:color w:val="0E32E1"/>
              </w:rPr>
              <w:t>Changes in and Disagreements with Accountants on Accounting and Financial Disclosure</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980" w:type="dxa"/>
            <w:vAlign w:val="bottom"/>
            <w:shd w:val="clear" w:color="auto" w:fill="0E32E1"/>
          </w:tcPr>
          <w:p>
            <w:pPr>
              <w:spacing w:after="0" w:line="20" w:lineRule="exact"/>
              <w:rPr>
                <w:sz w:val="1"/>
                <w:szCs w:val="1"/>
                <w:color w:val="auto"/>
              </w:rPr>
            </w:pPr>
          </w:p>
        </w:tc>
        <w:tc>
          <w:tcPr>
            <w:tcW w:w="820" w:type="dxa"/>
            <w:vAlign w:val="bottom"/>
            <w:tcBorders>
              <w:left w:val="single" w:sz="8" w:color="0E32E1"/>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7"/>
              </w:rPr>
              <w:t>Item 9A.</w:t>
            </w:r>
          </w:p>
        </w:tc>
        <w:tc>
          <w:tcPr>
            <w:tcW w:w="400" w:type="dxa"/>
            <w:vAlign w:val="bottom"/>
            <w:gridSpan w:val="2"/>
          </w:tcPr>
          <w:p>
            <w:pPr>
              <w:spacing w:after="0"/>
              <w:rPr>
                <w:sz w:val="21"/>
                <w:szCs w:val="21"/>
                <w:color w:val="auto"/>
              </w:rPr>
            </w:pPr>
          </w:p>
        </w:tc>
        <w:tc>
          <w:tcPr>
            <w:tcW w:w="1740" w:type="dxa"/>
            <w:vAlign w:val="bottom"/>
            <w:gridSpan w:val="8"/>
          </w:tcPr>
          <w:p>
            <w:pPr>
              <w:spacing w:after="0"/>
              <w:rPr>
                <w:sz w:val="20"/>
                <w:szCs w:val="20"/>
                <w:color w:val="auto"/>
              </w:rPr>
            </w:pPr>
            <w:r>
              <w:rPr>
                <w:rFonts w:ascii="Times New Roman" w:cs="Times New Roman" w:eastAsia="Times New Roman" w:hAnsi="Times New Roman"/>
                <w:sz w:val="18"/>
                <w:szCs w:val="18"/>
                <w:color w:val="0E32E1"/>
                <w:w w:val="97"/>
              </w:rPr>
              <w:t>Controls and Procedures</w:t>
            </w:r>
          </w:p>
        </w:tc>
        <w:tc>
          <w:tcPr>
            <w:tcW w:w="7320" w:type="dxa"/>
            <w:vAlign w:val="bottom"/>
            <w:gridSpan w:val="20"/>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8"/>
              </w:rPr>
              <w:t>Item 9B.</w:t>
            </w:r>
          </w:p>
        </w:tc>
        <w:tc>
          <w:tcPr>
            <w:tcW w:w="400" w:type="dxa"/>
            <w:vAlign w:val="bottom"/>
            <w:gridSpan w:val="2"/>
          </w:tcPr>
          <w:p>
            <w:pPr>
              <w:spacing w:after="0"/>
              <w:rPr>
                <w:sz w:val="21"/>
                <w:szCs w:val="21"/>
                <w:color w:val="auto"/>
              </w:rPr>
            </w:pP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E32E1"/>
                <w:w w:val="95"/>
              </w:rPr>
              <w:t>Other Information</w:t>
            </w:r>
          </w:p>
        </w:tc>
        <w:tc>
          <w:tcPr>
            <w:tcW w:w="440" w:type="dxa"/>
            <w:vAlign w:val="bottom"/>
            <w:gridSpan w:val="2"/>
          </w:tcPr>
          <w:p>
            <w:pPr>
              <w:spacing w:after="0"/>
              <w:rPr>
                <w:sz w:val="21"/>
                <w:szCs w:val="21"/>
                <w:color w:val="auto"/>
              </w:rPr>
            </w:pPr>
          </w:p>
        </w:tc>
        <w:tc>
          <w:tcPr>
            <w:tcW w:w="7320" w:type="dxa"/>
            <w:vAlign w:val="bottom"/>
            <w:gridSpan w:val="20"/>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8"/>
              </w:rPr>
              <w:t>Item 9C.</w:t>
            </w:r>
          </w:p>
        </w:tc>
        <w:tc>
          <w:tcPr>
            <w:tcW w:w="400" w:type="dxa"/>
            <w:vAlign w:val="bottom"/>
            <w:gridSpan w:val="2"/>
          </w:tcPr>
          <w:p>
            <w:pPr>
              <w:spacing w:after="0"/>
              <w:rPr>
                <w:sz w:val="21"/>
                <w:szCs w:val="21"/>
                <w:color w:val="auto"/>
              </w:rPr>
            </w:pPr>
          </w:p>
        </w:tc>
        <w:tc>
          <w:tcPr>
            <w:tcW w:w="9060" w:type="dxa"/>
            <w:vAlign w:val="bottom"/>
            <w:gridSpan w:val="28"/>
          </w:tcPr>
          <w:p>
            <w:pPr>
              <w:spacing w:after="0"/>
              <w:rPr>
                <w:sz w:val="20"/>
                <w:szCs w:val="20"/>
                <w:color w:val="auto"/>
              </w:rPr>
            </w:pPr>
            <w:r>
              <w:rPr>
                <w:rFonts w:ascii="Times New Roman" w:cs="Times New Roman" w:eastAsia="Times New Roman" w:hAnsi="Times New Roman"/>
                <w:sz w:val="18"/>
                <w:szCs w:val="18"/>
                <w:color w:val="0E32E1"/>
              </w:rPr>
              <w:t>Disclosure Regarding Foreign Jurisdictions that Prevent Inspections</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130</w:t>
            </w:r>
          </w:p>
        </w:tc>
        <w:tc>
          <w:tcPr>
            <w:tcW w:w="0" w:type="dxa"/>
            <w:vAlign w:val="bottom"/>
          </w:tcPr>
          <w:p>
            <w:pPr>
              <w:spacing w:after="0"/>
              <w:rPr>
                <w:sz w:val="1"/>
                <w:szCs w:val="1"/>
                <w:color w:val="auto"/>
              </w:rPr>
            </w:pPr>
          </w:p>
        </w:tc>
      </w:tr>
      <w:tr>
        <w:trPr>
          <w:trHeight w:val="497"/>
        </w:trPr>
        <w:tc>
          <w:tcPr>
            <w:tcW w:w="100" w:type="dxa"/>
            <w:vAlign w:val="bottom"/>
          </w:tcPr>
          <w:p>
            <w:pPr>
              <w:spacing w:after="0"/>
              <w:rPr>
                <w:sz w:val="24"/>
                <w:szCs w:val="24"/>
                <w:color w:val="auto"/>
              </w:rPr>
            </w:pPr>
          </w:p>
        </w:tc>
        <w:tc>
          <w:tcPr>
            <w:tcW w:w="50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60" w:type="dxa"/>
            <w:vAlign w:val="bottom"/>
            <w:tcBorders>
              <w:top w:val="single" w:sz="8" w:color="0E32E1"/>
            </w:tcBorders>
          </w:tcPr>
          <w:p>
            <w:pPr>
              <w:spacing w:after="0"/>
              <w:rPr>
                <w:sz w:val="24"/>
                <w:szCs w:val="24"/>
                <w:color w:val="auto"/>
              </w:rPr>
            </w:pPr>
          </w:p>
        </w:tc>
        <w:tc>
          <w:tcPr>
            <w:tcW w:w="12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30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240" w:type="dxa"/>
            <w:vAlign w:val="bottom"/>
            <w:tcBorders>
              <w:top w:val="single" w:sz="8" w:color="0E32E1"/>
            </w:tcBorders>
          </w:tcPr>
          <w:p>
            <w:pPr>
              <w:spacing w:after="0"/>
              <w:rPr>
                <w:sz w:val="24"/>
                <w:szCs w:val="24"/>
                <w:color w:val="auto"/>
              </w:rPr>
            </w:pPr>
          </w:p>
        </w:tc>
        <w:tc>
          <w:tcPr>
            <w:tcW w:w="800" w:type="dxa"/>
            <w:vAlign w:val="bottom"/>
            <w:tcBorders>
              <w:top w:val="single" w:sz="8" w:color="0E32E1"/>
            </w:tcBorders>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160" w:type="dxa"/>
            <w:vAlign w:val="bottom"/>
            <w:tcBorders>
              <w:top w:val="single" w:sz="8" w:color="0E32E1"/>
            </w:tcBorders>
          </w:tcPr>
          <w:p>
            <w:pPr>
              <w:spacing w:after="0"/>
              <w:rPr>
                <w:sz w:val="24"/>
                <w:szCs w:val="24"/>
                <w:color w:val="auto"/>
              </w:rPr>
            </w:pPr>
          </w:p>
        </w:tc>
        <w:tc>
          <w:tcPr>
            <w:tcW w:w="420" w:type="dxa"/>
            <w:vAlign w:val="bottom"/>
            <w:tcBorders>
              <w:top w:val="single" w:sz="8" w:color="0E32E1"/>
            </w:tcBorders>
          </w:tcPr>
          <w:p>
            <w:pPr>
              <w:spacing w:after="0"/>
              <w:rPr>
                <w:sz w:val="24"/>
                <w:szCs w:val="24"/>
                <w:color w:val="auto"/>
              </w:rPr>
            </w:pPr>
          </w:p>
        </w:tc>
        <w:tc>
          <w:tcPr>
            <w:tcW w:w="620" w:type="dxa"/>
            <w:vAlign w:val="bottom"/>
            <w:tcBorders>
              <w:top w:val="single" w:sz="8" w:color="0E32E1"/>
              <w:bottom w:val="single" w:sz="8" w:color="0E32E1"/>
            </w:tcBorders>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0E32E1"/>
                <w:w w:val="97"/>
              </w:rPr>
              <w:t>Part III</w:t>
            </w:r>
          </w:p>
        </w:tc>
        <w:tc>
          <w:tcPr>
            <w:tcW w:w="500" w:type="dxa"/>
            <w:vAlign w:val="bottom"/>
            <w:tcBorders>
              <w:top w:val="single" w:sz="8" w:color="0E32E1"/>
            </w:tcBorders>
          </w:tcPr>
          <w:p>
            <w:pPr>
              <w:spacing w:after="0"/>
              <w:rPr>
                <w:sz w:val="24"/>
                <w:szCs w:val="24"/>
                <w:color w:val="auto"/>
              </w:rPr>
            </w:pPr>
          </w:p>
        </w:tc>
        <w:tc>
          <w:tcPr>
            <w:tcW w:w="426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93"/>
              </w:rPr>
              <w:t>Item 10.</w:t>
            </w:r>
          </w:p>
        </w:tc>
        <w:tc>
          <w:tcPr>
            <w:tcW w:w="400" w:type="dxa"/>
            <w:vAlign w:val="bottom"/>
            <w:gridSpan w:val="2"/>
          </w:tcPr>
          <w:p>
            <w:pPr>
              <w:spacing w:after="0"/>
              <w:rPr>
                <w:sz w:val="21"/>
                <w:szCs w:val="21"/>
                <w:color w:val="auto"/>
              </w:rPr>
            </w:pPr>
          </w:p>
        </w:tc>
        <w:tc>
          <w:tcPr>
            <w:tcW w:w="9060" w:type="dxa"/>
            <w:vAlign w:val="bottom"/>
            <w:gridSpan w:val="28"/>
          </w:tcPr>
          <w:p>
            <w:pPr>
              <w:spacing w:after="0"/>
              <w:rPr>
                <w:sz w:val="20"/>
                <w:szCs w:val="20"/>
                <w:color w:val="auto"/>
              </w:rPr>
            </w:pPr>
            <w:r>
              <w:rPr>
                <w:rFonts w:ascii="Times New Roman" w:cs="Times New Roman" w:eastAsia="Times New Roman" w:hAnsi="Times New Roman"/>
                <w:sz w:val="18"/>
                <w:szCs w:val="18"/>
                <w:color w:val="0E32E1"/>
              </w:rPr>
              <w:t>Directors, Executive Officers and Corporate Governance</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93"/>
              </w:rPr>
              <w:t>Item 11.</w:t>
            </w:r>
          </w:p>
        </w:tc>
        <w:tc>
          <w:tcPr>
            <w:tcW w:w="400" w:type="dxa"/>
            <w:vAlign w:val="bottom"/>
            <w:gridSpan w:val="2"/>
          </w:tcPr>
          <w:p>
            <w:pPr>
              <w:spacing w:after="0"/>
              <w:rPr>
                <w:sz w:val="21"/>
                <w:szCs w:val="21"/>
                <w:color w:val="auto"/>
              </w:rPr>
            </w:pP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color w:val="0E32E1"/>
                <w:w w:val="96"/>
              </w:rPr>
              <w:t>Executive Compensation</w:t>
            </w:r>
          </w:p>
        </w:tc>
        <w:tc>
          <w:tcPr>
            <w:tcW w:w="2240" w:type="dxa"/>
            <w:vAlign w:val="bottom"/>
            <w:gridSpan w:val="9"/>
          </w:tcPr>
          <w:p>
            <w:pPr>
              <w:spacing w:after="0"/>
              <w:rPr>
                <w:sz w:val="21"/>
                <w:szCs w:val="21"/>
                <w:color w:val="auto"/>
              </w:rPr>
            </w:pPr>
          </w:p>
        </w:tc>
        <w:tc>
          <w:tcPr>
            <w:tcW w:w="5040" w:type="dxa"/>
            <w:vAlign w:val="bottom"/>
            <w:gridSpan w:val="10"/>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93"/>
              </w:rPr>
              <w:t>Item 12.</w:t>
            </w:r>
          </w:p>
        </w:tc>
        <w:tc>
          <w:tcPr>
            <w:tcW w:w="400" w:type="dxa"/>
            <w:vAlign w:val="bottom"/>
            <w:gridSpan w:val="2"/>
          </w:tcPr>
          <w:p>
            <w:pPr>
              <w:spacing w:after="0"/>
              <w:rPr>
                <w:sz w:val="21"/>
                <w:szCs w:val="21"/>
                <w:color w:val="auto"/>
              </w:rPr>
            </w:pPr>
          </w:p>
        </w:tc>
        <w:tc>
          <w:tcPr>
            <w:tcW w:w="7160" w:type="dxa"/>
            <w:vAlign w:val="bottom"/>
            <w:gridSpan w:val="26"/>
          </w:tcPr>
          <w:p>
            <w:pPr>
              <w:spacing w:after="0"/>
              <w:rPr>
                <w:sz w:val="20"/>
                <w:szCs w:val="20"/>
                <w:color w:val="auto"/>
              </w:rPr>
            </w:pPr>
            <w:r>
              <w:rPr>
                <w:rFonts w:ascii="Times New Roman" w:cs="Times New Roman" w:eastAsia="Times New Roman" w:hAnsi="Times New Roman"/>
                <w:sz w:val="18"/>
                <w:szCs w:val="18"/>
                <w:color w:val="0E32E1"/>
                <w:w w:val="97"/>
              </w:rPr>
              <w:t>Security Ownership of Certain Beneficial Owners and Management and Related Stockholder Matters</w:t>
            </w:r>
          </w:p>
        </w:tc>
        <w:tc>
          <w:tcPr>
            <w:tcW w:w="1900" w:type="dxa"/>
            <w:vAlign w:val="bottom"/>
            <w:gridSpan w:val="2"/>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980" w:type="dxa"/>
            <w:vAlign w:val="bottom"/>
            <w:shd w:val="clear" w:color="auto" w:fill="0E32E1"/>
          </w:tcPr>
          <w:p>
            <w:pPr>
              <w:spacing w:after="0" w:line="20" w:lineRule="exact"/>
              <w:rPr>
                <w:sz w:val="1"/>
                <w:szCs w:val="1"/>
                <w:color w:val="auto"/>
              </w:rPr>
            </w:pPr>
          </w:p>
        </w:tc>
        <w:tc>
          <w:tcPr>
            <w:tcW w:w="820" w:type="dxa"/>
            <w:vAlign w:val="bottom"/>
            <w:tcBorders>
              <w:left w:val="single" w:sz="8" w:color="0E32E1"/>
            </w:tcBorders>
            <w:shd w:val="clear" w:color="auto" w:fill="0E32E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93"/>
              </w:rPr>
              <w:t>Item 13.</w:t>
            </w:r>
          </w:p>
        </w:tc>
        <w:tc>
          <w:tcPr>
            <w:tcW w:w="400" w:type="dxa"/>
            <w:vAlign w:val="bottom"/>
            <w:gridSpan w:val="2"/>
          </w:tcPr>
          <w:p>
            <w:pPr>
              <w:spacing w:after="0"/>
              <w:rPr>
                <w:sz w:val="21"/>
                <w:szCs w:val="21"/>
                <w:color w:val="auto"/>
              </w:rPr>
            </w:pPr>
          </w:p>
        </w:tc>
        <w:tc>
          <w:tcPr>
            <w:tcW w:w="536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w w:val="97"/>
              </w:rPr>
              <w:t>Certain Relationships and Related Transactions, and Director Independence</w:t>
            </w:r>
          </w:p>
        </w:tc>
        <w:tc>
          <w:tcPr>
            <w:tcW w:w="1800" w:type="dxa"/>
            <w:vAlign w:val="bottom"/>
            <w:gridSpan w:val="2"/>
          </w:tcPr>
          <w:p>
            <w:pPr>
              <w:spacing w:after="0"/>
              <w:rPr>
                <w:sz w:val="21"/>
                <w:szCs w:val="21"/>
                <w:color w:val="auto"/>
              </w:rPr>
            </w:pPr>
          </w:p>
        </w:tc>
        <w:tc>
          <w:tcPr>
            <w:tcW w:w="1900" w:type="dxa"/>
            <w:vAlign w:val="bottom"/>
            <w:gridSpan w:val="2"/>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93"/>
              </w:rPr>
              <w:t>Item 14.</w:t>
            </w:r>
          </w:p>
        </w:tc>
        <w:tc>
          <w:tcPr>
            <w:tcW w:w="400" w:type="dxa"/>
            <w:vAlign w:val="bottom"/>
            <w:gridSpan w:val="2"/>
          </w:tcPr>
          <w:p>
            <w:pPr>
              <w:spacing w:after="0"/>
              <w:rPr>
                <w:sz w:val="21"/>
                <w:szCs w:val="21"/>
                <w:color w:val="auto"/>
              </w:rPr>
            </w:pPr>
          </w:p>
        </w:tc>
        <w:tc>
          <w:tcPr>
            <w:tcW w:w="536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Principal Accounting Fees and Services</w:t>
            </w:r>
          </w:p>
        </w:tc>
        <w:tc>
          <w:tcPr>
            <w:tcW w:w="3700" w:type="dxa"/>
            <w:vAlign w:val="bottom"/>
            <w:gridSpan w:val="4"/>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131</w:t>
            </w:r>
          </w:p>
        </w:tc>
        <w:tc>
          <w:tcPr>
            <w:tcW w:w="0" w:type="dxa"/>
            <w:vAlign w:val="bottom"/>
          </w:tcPr>
          <w:p>
            <w:pPr>
              <w:spacing w:after="0"/>
              <w:rPr>
                <w:sz w:val="1"/>
                <w:szCs w:val="1"/>
                <w:color w:val="auto"/>
              </w:rPr>
            </w:pPr>
          </w:p>
        </w:tc>
      </w:tr>
      <w:tr>
        <w:trPr>
          <w:trHeight w:val="497"/>
        </w:trPr>
        <w:tc>
          <w:tcPr>
            <w:tcW w:w="100" w:type="dxa"/>
            <w:vAlign w:val="bottom"/>
          </w:tcPr>
          <w:p>
            <w:pPr>
              <w:spacing w:after="0"/>
              <w:rPr>
                <w:sz w:val="24"/>
                <w:szCs w:val="24"/>
                <w:color w:val="auto"/>
              </w:rPr>
            </w:pPr>
          </w:p>
        </w:tc>
        <w:tc>
          <w:tcPr>
            <w:tcW w:w="50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60" w:type="dxa"/>
            <w:vAlign w:val="bottom"/>
            <w:tcBorders>
              <w:top w:val="single" w:sz="8" w:color="0E32E1"/>
            </w:tcBorders>
          </w:tcPr>
          <w:p>
            <w:pPr>
              <w:spacing w:after="0"/>
              <w:rPr>
                <w:sz w:val="24"/>
                <w:szCs w:val="24"/>
                <w:color w:val="auto"/>
              </w:rPr>
            </w:pPr>
          </w:p>
        </w:tc>
        <w:tc>
          <w:tcPr>
            <w:tcW w:w="12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30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240" w:type="dxa"/>
            <w:vAlign w:val="bottom"/>
            <w:tcBorders>
              <w:top w:val="single" w:sz="8" w:color="0E32E1"/>
            </w:tcBorders>
          </w:tcPr>
          <w:p>
            <w:pPr>
              <w:spacing w:after="0"/>
              <w:rPr>
                <w:sz w:val="24"/>
                <w:szCs w:val="24"/>
                <w:color w:val="auto"/>
              </w:rPr>
            </w:pPr>
          </w:p>
        </w:tc>
        <w:tc>
          <w:tcPr>
            <w:tcW w:w="800" w:type="dxa"/>
            <w:vAlign w:val="bottom"/>
            <w:tcBorders>
              <w:top w:val="single" w:sz="8" w:color="0E32E1"/>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80" w:type="dxa"/>
            <w:vAlign w:val="bottom"/>
            <w:gridSpan w:val="13"/>
          </w:tcPr>
          <w:p>
            <w:pPr>
              <w:jc w:val="center"/>
              <w:ind w:right="4800"/>
              <w:spacing w:after="0"/>
              <w:rPr>
                <w:sz w:val="20"/>
                <w:szCs w:val="20"/>
                <w:color w:val="auto"/>
              </w:rPr>
            </w:pPr>
            <w:r>
              <w:rPr>
                <w:rFonts w:ascii="Times New Roman" w:cs="Times New Roman" w:eastAsia="Times New Roman" w:hAnsi="Times New Roman"/>
                <w:sz w:val="18"/>
                <w:szCs w:val="18"/>
                <w:b w:val="1"/>
                <w:bCs w:val="1"/>
                <w:color w:val="0E32E1"/>
                <w:w w:val="99"/>
              </w:rPr>
              <w:t>Part IV</w:t>
            </w:r>
          </w:p>
        </w:tc>
        <w:tc>
          <w:tcPr>
            <w:tcW w:w="48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93"/>
              </w:rPr>
              <w:t>Item 15.</w:t>
            </w:r>
          </w:p>
        </w:tc>
        <w:tc>
          <w:tcPr>
            <w:tcW w:w="400" w:type="dxa"/>
            <w:vAlign w:val="bottom"/>
            <w:gridSpan w:val="2"/>
          </w:tcPr>
          <w:p>
            <w:pPr>
              <w:spacing w:after="0"/>
              <w:rPr>
                <w:sz w:val="21"/>
                <w:szCs w:val="21"/>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rPr>
              <w:t>Exhibits and Financial Statement Schedules</w:t>
            </w:r>
          </w:p>
        </w:tc>
        <w:tc>
          <w:tcPr>
            <w:tcW w:w="560" w:type="dxa"/>
            <w:vAlign w:val="bottom"/>
            <w:tcBorders>
              <w:top w:val="single" w:sz="8" w:color="0E32E1"/>
            </w:tcBorders>
            <w:gridSpan w:val="5"/>
          </w:tcPr>
          <w:p>
            <w:pPr>
              <w:spacing w:after="0"/>
              <w:rPr>
                <w:sz w:val="21"/>
                <w:szCs w:val="21"/>
                <w:color w:val="auto"/>
              </w:rPr>
            </w:pPr>
          </w:p>
        </w:tc>
        <w:tc>
          <w:tcPr>
            <w:tcW w:w="4800" w:type="dxa"/>
            <w:vAlign w:val="bottom"/>
            <w:gridSpan w:val="7"/>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7"/>
            <w:shd w:val="clear" w:color="auto" w:fill="0E32E1"/>
          </w:tcPr>
          <w:p>
            <w:pPr>
              <w:spacing w:after="0" w:line="20" w:lineRule="exact"/>
              <w:rPr>
                <w:sz w:val="1"/>
                <w:szCs w:val="1"/>
                <w:color w:val="auto"/>
              </w:rPr>
            </w:pPr>
          </w:p>
        </w:tc>
        <w:tc>
          <w:tcPr>
            <w:tcW w:w="1580" w:type="dxa"/>
            <w:vAlign w:val="bottom"/>
            <w:gridSpan w:val="6"/>
            <w:shd w:val="clear" w:color="auto" w:fill="0E32E1"/>
          </w:tcPr>
          <w:p>
            <w:pPr>
              <w:spacing w:after="0" w:line="20" w:lineRule="exact"/>
              <w:rPr>
                <w:sz w:val="1"/>
                <w:szCs w:val="1"/>
                <w:color w:val="auto"/>
              </w:rPr>
            </w:pPr>
          </w:p>
        </w:tc>
        <w:tc>
          <w:tcPr>
            <w:tcW w:w="5960" w:type="dxa"/>
            <w:vAlign w:val="bottom"/>
            <w:gridSpan w:val="15"/>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93"/>
              </w:rPr>
              <w:t>Item 16.</w:t>
            </w:r>
          </w:p>
        </w:tc>
        <w:tc>
          <w:tcPr>
            <w:tcW w:w="400" w:type="dxa"/>
            <w:vAlign w:val="bottom"/>
            <w:gridSpan w:val="2"/>
          </w:tcPr>
          <w:p>
            <w:pPr>
              <w:spacing w:after="0"/>
              <w:rPr>
                <w:sz w:val="21"/>
                <w:szCs w:val="21"/>
                <w:color w:val="auto"/>
              </w:rPr>
            </w:pPr>
          </w:p>
        </w:tc>
        <w:tc>
          <w:tcPr>
            <w:tcW w:w="310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Form 10-K Summary</w:t>
            </w:r>
          </w:p>
        </w:tc>
        <w:tc>
          <w:tcPr>
            <w:tcW w:w="5960" w:type="dxa"/>
            <w:vAlign w:val="bottom"/>
            <w:gridSpan w:val="15"/>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E32E1"/>
              </w:rPr>
              <w:t>Signatures</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plans and objectives of management for future operations, and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34" w:lineRule="exact"/>
        <w:rPr>
          <w:sz w:val="20"/>
          <w:szCs w:val="20"/>
          <w:color w:val="auto"/>
        </w:rPr>
      </w:pPr>
    </w:p>
    <w:p>
      <w:pPr>
        <w:ind w:left="1280" w:hanging="320"/>
        <w:spacing w:after="0" w:line="27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 including statements relating to the portion of our remaining performance obligations that we expect to be recognized as revenue in future periods;</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expectations regarding our stock-based compensation;</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tax obligations and the realization of our U.S. and foreign deferred tax assets;</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C3 AI Software (as defined herein), which includes our C3 Agentic AI Platform, C3 AI Applications and C3 Generative AI;</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our ability to comply with, modified or new industry standards, laws and regulations applying to our business;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 for our C3 AI Software;</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C3 AI Software;</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addressable market opportunity for our C3 AI Software;</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our product releases;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pricing model;</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customer engagement;</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partner ecosystem;</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utilization of third parties;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performance in connection with our recent CEO transition;</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our announced reduction in global workforce, restructuring plan, and anticipated costs;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hanging="320"/>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uncertainties;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6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contained in Part I, Item 1A of this Annual Report on Form 10-K and those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SELECTED RISKS AFFECTING OUR BUSINESS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including the risks described in the section titled “Risk Factors” in Part I, Item 1A of this Annual Report on Form 10-K. Below is a summary of some of the risks and uncertainties as of the date of the filing of this Annual Report on Form 10-K, any one of which could materially adversely affect our business, financial condition, operating results, and prospects. You should read this summary together with the more detailed description of each risk factor contained below.</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66" w:lineRule="exact"/>
        <w:rPr>
          <w:sz w:val="20"/>
          <w:szCs w:val="20"/>
          <w:color w:val="auto"/>
        </w:rPr>
      </w:pPr>
    </w:p>
    <w:p>
      <w:pPr>
        <w:ind w:left="1280" w:hanging="320"/>
        <w:spacing w:after="0" w:line="274"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we anticipate our operating expenses will continue to increase, and we may not be able to achieve or maintain profitability in the future.</w:t>
      </w:r>
    </w:p>
    <w:p>
      <w:pPr>
        <w:spacing w:after="0" w:line="110"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limited number of customers have accounted for a substantial portion of our revenue. If existing customers do not renew their contracts with us, or if our relationships with our largest customers are impaired or terminated, our revenue and remaining performance obligations could decline, and our results of operations would be adversely impacted.</w:t>
      </w:r>
    </w:p>
    <w:p>
      <w:pPr>
        <w:spacing w:after="0" w:line="124" w:lineRule="exact"/>
        <w:rPr>
          <w:rFonts w:ascii="Times New Roman" w:cs="Times New Roman" w:eastAsia="Times New Roman" w:hAnsi="Times New Roman"/>
          <w:sz w:val="18"/>
          <w:szCs w:val="18"/>
          <w:color w:val="auto"/>
        </w:rPr>
      </w:pPr>
    </w:p>
    <w:p>
      <w:pPr>
        <w:ind w:left="1280" w:hanging="320"/>
        <w:spacing w:after="0" w:line="274"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attract new customers and on our existing customers purchasing additional subscriptions from us and renewing their existing subscriptions.</w:t>
      </w:r>
    </w:p>
    <w:p>
      <w:pPr>
        <w:spacing w:after="0" w:line="110" w:lineRule="exact"/>
        <w:rPr>
          <w:rFonts w:ascii="Times New Roman" w:cs="Times New Roman" w:eastAsia="Times New Roman" w:hAnsi="Times New Roman"/>
          <w:sz w:val="18"/>
          <w:szCs w:val="18"/>
          <w:color w:val="auto"/>
        </w:rPr>
      </w:pPr>
    </w:p>
    <w:p>
      <w:pPr>
        <w:ind w:left="1280" w:hanging="320"/>
        <w:spacing w:after="0" w:line="274"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respond to rapid technological changes, extend our C3 AI Software, or develop new features and functionality, our ability to remain competitive could be impaired.</w:t>
      </w:r>
    </w:p>
    <w:p>
      <w:pPr>
        <w:spacing w:after="0" w:line="110" w:lineRule="exact"/>
        <w:rPr>
          <w:rFonts w:ascii="Times New Roman" w:cs="Times New Roman" w:eastAsia="Times New Roman" w:hAnsi="Times New Roman"/>
          <w:sz w:val="18"/>
          <w:szCs w:val="18"/>
          <w:color w:val="auto"/>
        </w:rPr>
      </w:pPr>
    </w:p>
    <w:p>
      <w:pPr>
        <w:ind w:left="1280" w:hanging="320"/>
        <w:spacing w:after="0" w:line="274"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government entities and highly regulated organizations are subject to a number of challenges and risks, including U.S. federal government shutdowns.</w:t>
      </w:r>
    </w:p>
    <w:p>
      <w:pPr>
        <w:spacing w:after="0" w:line="150" w:lineRule="exact"/>
        <w:rPr>
          <w:rFonts w:ascii="Times New Roman" w:cs="Times New Roman" w:eastAsia="Times New Roman" w:hAnsi="Times New Roman"/>
          <w:sz w:val="18"/>
          <w:szCs w:val="18"/>
          <w:color w:val="auto"/>
        </w:rPr>
      </w:pPr>
    </w:p>
    <w:p>
      <w:pPr>
        <w:jc w:val="both"/>
        <w:ind w:left="1280" w:hanging="320"/>
        <w:spacing w:after="0" w:line="239" w:lineRule="auto"/>
        <w:tabs>
          <w:tab w:leader="none" w:pos="127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Because we derive substantially all of our revenue from subscriptions to our C3 AI Software and Center of Excellence support services, failure of Enterprise AI solutions in general and our C3 AI Software in particular to satisfy customer demands or to achieve increased market acceptance would adversely affect our business, results of operations, financial condition, and growth prospects.</w:t>
      </w:r>
    </w:p>
    <w:p>
      <w:pPr>
        <w:spacing w:after="0" w:line="182" w:lineRule="exact"/>
        <w:rPr>
          <w:rFonts w:ascii="Times New Roman" w:cs="Times New Roman" w:eastAsia="Times New Roman" w:hAnsi="Times New Roman"/>
          <w:sz w:val="21"/>
          <w:szCs w:val="21"/>
          <w:color w:val="auto"/>
        </w:rPr>
      </w:pPr>
    </w:p>
    <w:p>
      <w:pPr>
        <w:ind w:left="1280" w:hanging="320"/>
        <w:spacing w:after="0" w:line="237" w:lineRule="auto"/>
        <w:tabs>
          <w:tab w:leader="none" w:pos="127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Issues raised by the use of artificial intelligence (AI), including machine learning (ML), in our C3 Agentic AI Platform may result in reputational harm or liability or otherwise adversely affect our business, financial condition and results of operations.</w:t>
      </w:r>
    </w:p>
    <w:p>
      <w:pPr>
        <w:spacing w:after="0" w:line="179" w:lineRule="exact"/>
        <w:rPr>
          <w:rFonts w:ascii="Times New Roman" w:cs="Times New Roman" w:eastAsia="Times New Roman" w:hAnsi="Times New Roman"/>
          <w:sz w:val="21"/>
          <w:szCs w:val="21"/>
          <w:color w:val="auto"/>
        </w:rPr>
      </w:pPr>
    </w:p>
    <w:p>
      <w:pPr>
        <w:jc w:val="both"/>
        <w:ind w:left="1280" w:hanging="320"/>
        <w:spacing w:after="0" w:line="247" w:lineRule="auto"/>
        <w:tabs>
          <w:tab w:leader="none" w:pos="127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current C3 AI Software, as well as applications, features, and functionality that we may introduce in the future, may not be widely accepted by our customers, may receive negative attention or may require us to compensate or reimburse third parties, any of which may lower our margins and harm our business.</w:t>
      </w:r>
    </w:p>
    <w:p>
      <w:pPr>
        <w:spacing w:after="0" w:line="133" w:lineRule="exact"/>
        <w:rPr>
          <w:rFonts w:ascii="Times New Roman" w:cs="Times New Roman" w:eastAsia="Times New Roman" w:hAnsi="Times New Roman"/>
          <w:sz w:val="21"/>
          <w:szCs w:val="21"/>
          <w:color w:val="auto"/>
        </w:rPr>
      </w:pPr>
    </w:p>
    <w:p>
      <w:pPr>
        <w:ind w:left="1280" w:hanging="320"/>
        <w:spacing w:after="0" w:line="274"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could lose market share to our competitors, which could adversely affect our business, financial condition and results of operations.</w:t>
      </w:r>
    </w:p>
    <w:p>
      <w:pPr>
        <w:spacing w:after="0" w:line="110" w:lineRule="exact"/>
        <w:rPr>
          <w:rFonts w:ascii="Times New Roman" w:cs="Times New Roman" w:eastAsia="Times New Roman" w:hAnsi="Times New Roman"/>
          <w:sz w:val="18"/>
          <w:szCs w:val="18"/>
          <w:color w:val="auto"/>
        </w:rPr>
      </w:pPr>
    </w:p>
    <w:p>
      <w:pPr>
        <w:ind w:left="1280" w:hanging="320"/>
        <w:spacing w:after="0" w:line="274"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cycles can be long and unpredictable, particularly with respect to large subscriptions, and our sales efforts require considerable time and expense.</w:t>
      </w:r>
    </w:p>
    <w:p>
      <w:pPr>
        <w:spacing w:after="0" w:line="14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Changes in our subscription or pricing models could adversely affect our operating results.</w:t>
      </w:r>
    </w:p>
    <w:p>
      <w:pPr>
        <w:spacing w:after="0" w:line="179" w:lineRule="exact"/>
        <w:rPr>
          <w:rFonts w:ascii="Times New Roman" w:cs="Times New Roman" w:eastAsia="Times New Roman" w:hAnsi="Times New Roman"/>
          <w:sz w:val="21"/>
          <w:szCs w:val="21"/>
          <w:color w:val="auto"/>
        </w:rPr>
      </w:pPr>
    </w:p>
    <w:p>
      <w:pPr>
        <w:jc w:val="both"/>
        <w:ind w:left="1280" w:hanging="320"/>
        <w:spacing w:after="0" w:line="239" w:lineRule="auto"/>
        <w:tabs>
          <w:tab w:leader="none" w:pos="127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revenue depends in part on the success of our strategic relationships with third parties, including channel partners, and if we are unable to establish and maintain successful relationships with them, our business, operating results, and financial condition could be adversely affected.</w:t>
      </w:r>
    </w:p>
    <w:p>
      <w:pPr>
        <w:spacing w:after="0" w:line="142" w:lineRule="exact"/>
        <w:rPr>
          <w:rFonts w:ascii="Times New Roman" w:cs="Times New Roman" w:eastAsia="Times New Roman" w:hAnsi="Times New Roman"/>
          <w:sz w:val="21"/>
          <w:szCs w:val="21"/>
          <w:color w:val="auto"/>
        </w:rPr>
      </w:pPr>
    </w:p>
    <w:p>
      <w:pPr>
        <w:ind w:left="1280" w:hanging="320"/>
        <w:spacing w:after="0" w:line="274"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our C3 AI Software fails to grow as we expect, or if businesses fail to adopt our C3 AI Software, our business, operating results, and financial condition could be adversely affected.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hanging="320"/>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senior management may impact the successful execution of our business strategy.</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execute or achieve the expected benefits of our restructuring plan and other measures we may take in the future, and our efforts may adversely affect our business.</w:t>
      </w:r>
    </w:p>
    <w:p>
      <w:pPr>
        <w:spacing w:after="0" w:line="150" w:lineRule="exact"/>
        <w:rPr>
          <w:rFonts w:ascii="Times New Roman" w:cs="Times New Roman" w:eastAsia="Times New Roman" w:hAnsi="Times New Roman"/>
          <w:sz w:val="18"/>
          <w:szCs w:val="18"/>
          <w:color w:val="auto"/>
        </w:rPr>
      </w:pPr>
    </w:p>
    <w:p>
      <w:pPr>
        <w:ind w:left="1280" w:hanging="320"/>
        <w:spacing w:after="0" w:line="237" w:lineRule="auto"/>
        <w:tabs>
          <w:tab w:leader="none" w:pos="127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failure to effectively develop and invest in our marketing and sales capabilities could harm our ability to increase our customer base and achieve broader market acceptance of our C3 AI Software.</w:t>
      </w:r>
    </w:p>
    <w:p>
      <w:pPr>
        <w:spacing w:after="0" w:line="179" w:lineRule="exact"/>
        <w:rPr>
          <w:rFonts w:ascii="Times New Roman" w:cs="Times New Roman" w:eastAsia="Times New Roman" w:hAnsi="Times New Roman"/>
          <w:sz w:val="21"/>
          <w:szCs w:val="21"/>
          <w:color w:val="auto"/>
        </w:rPr>
      </w:pPr>
    </w:p>
    <w:p>
      <w:pPr>
        <w:ind w:left="1280" w:hanging="320"/>
        <w:spacing w:after="0" w:line="237" w:lineRule="auto"/>
        <w:tabs>
          <w:tab w:leader="none" w:pos="127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If we fail to develop, maintain, and enhance our brand and reputation cost-effectively, our business and financial condition may be adversely affected.</w:t>
      </w:r>
    </w:p>
    <w:p>
      <w:pPr>
        <w:spacing w:after="0" w:line="179" w:lineRule="exact"/>
        <w:rPr>
          <w:rFonts w:ascii="Times New Roman" w:cs="Times New Roman" w:eastAsia="Times New Roman" w:hAnsi="Times New Roman"/>
          <w:sz w:val="21"/>
          <w:szCs w:val="21"/>
          <w:color w:val="auto"/>
        </w:rPr>
      </w:pPr>
    </w:p>
    <w:p>
      <w:pPr>
        <w:ind w:left="1280" w:hanging="320"/>
        <w:spacing w:after="0" w:line="249" w:lineRule="auto"/>
        <w:tabs>
          <w:tab w:leader="none" w:pos="127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If we are unable to ensure that our C3 AI Software interoperates with a variety of software applications that are developed by others, including our partners, we may become less competitive and our business may be harmed.</w:t>
      </w:r>
    </w:p>
    <w:p>
      <w:pPr>
        <w:spacing w:after="0" w:line="170" w:lineRule="exact"/>
        <w:rPr>
          <w:rFonts w:ascii="Times New Roman" w:cs="Times New Roman" w:eastAsia="Times New Roman" w:hAnsi="Times New Roman"/>
          <w:sz w:val="21"/>
          <w:szCs w:val="21"/>
          <w:color w:val="auto"/>
        </w:rPr>
      </w:pPr>
    </w:p>
    <w:p>
      <w:pPr>
        <w:ind w:left="1280" w:hanging="320"/>
        <w:spacing w:after="0" w:line="237" w:lineRule="auto"/>
        <w:tabs>
          <w:tab w:leader="none" w:pos="127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ability to sell subscriptions to our C3 AI Software could be harmed by real or perceived material defects or errors in our C3 AI Software.</w:t>
      </w:r>
    </w:p>
    <w:p>
      <w:pPr>
        <w:spacing w:after="0" w:line="179" w:lineRule="exact"/>
        <w:rPr>
          <w:rFonts w:ascii="Times New Roman" w:cs="Times New Roman" w:eastAsia="Times New Roman" w:hAnsi="Times New Roman"/>
          <w:sz w:val="21"/>
          <w:szCs w:val="21"/>
          <w:color w:val="auto"/>
        </w:rPr>
      </w:pPr>
    </w:p>
    <w:p>
      <w:pPr>
        <w:ind w:left="1280" w:hanging="320"/>
        <w:spacing w:after="0" w:line="237" w:lineRule="auto"/>
        <w:tabs>
          <w:tab w:leader="none" w:pos="127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failure to attract and retain additional qualified personnel or to maintain our company culture could harm our business and prevent us from executing our business strategy.</w:t>
      </w:r>
    </w:p>
    <w:p>
      <w:pPr>
        <w:spacing w:after="0" w:line="179" w:lineRule="exact"/>
        <w:rPr>
          <w:rFonts w:ascii="Times New Roman" w:cs="Times New Roman" w:eastAsia="Times New Roman" w:hAnsi="Times New Roman"/>
          <w:sz w:val="21"/>
          <w:szCs w:val="21"/>
          <w:color w:val="auto"/>
        </w:rPr>
      </w:pPr>
    </w:p>
    <w:p>
      <w:pPr>
        <w:ind w:left="1280" w:hanging="320"/>
        <w:spacing w:after="0" w:line="237" w:lineRule="auto"/>
        <w:tabs>
          <w:tab w:leader="none" w:pos="127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annual and quarterly results and key metrics are likely to fluctuate significantly and may not fully reflect the underlying performance of our business.</w:t>
      </w:r>
    </w:p>
    <w:p>
      <w:pPr>
        <w:spacing w:after="0" w:line="169" w:lineRule="exact"/>
        <w:rPr>
          <w:rFonts w:ascii="Times New Roman" w:cs="Times New Roman" w:eastAsia="Times New Roman" w:hAnsi="Times New Roman"/>
          <w:sz w:val="21"/>
          <w:szCs w:val="21"/>
          <w:color w:val="auto"/>
        </w:rPr>
      </w:pPr>
    </w:p>
    <w:p>
      <w:pPr>
        <w:ind w:left="1280" w:hanging="320"/>
        <w:spacing w:after="0"/>
        <w:tabs>
          <w:tab w:leader="none" w:pos="12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performance metrics and certain operational data may not provide an accurate indication of our future or expected results.</w:t>
      </w:r>
    </w:p>
    <w:p>
      <w:pPr>
        <w:spacing w:after="0" w:line="179" w:lineRule="exact"/>
        <w:rPr>
          <w:rFonts w:ascii="Times New Roman" w:cs="Times New Roman" w:eastAsia="Times New Roman" w:hAnsi="Times New Roman"/>
          <w:sz w:val="21"/>
          <w:szCs w:val="21"/>
          <w:color w:val="auto"/>
        </w:rPr>
      </w:pPr>
    </w:p>
    <w:p>
      <w:pPr>
        <w:ind w:left="1280" w:hanging="320"/>
        <w:spacing w:after="0" w:line="249" w:lineRule="auto"/>
        <w:tabs>
          <w:tab w:leader="none" w:pos="127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generally recognize revenue from subscriptions to our C3 AI Software over the terms of such subscriptions. Consequently, increases or decreases in new sales may not be immediately reflected in our results of operations and may be difficult to discern.</w:t>
      </w:r>
    </w:p>
    <w:p>
      <w:pPr>
        <w:spacing w:after="0" w:line="170" w:lineRule="exact"/>
        <w:rPr>
          <w:rFonts w:ascii="Times New Roman" w:cs="Times New Roman" w:eastAsia="Times New Roman" w:hAnsi="Times New Roman"/>
          <w:sz w:val="21"/>
          <w:szCs w:val="21"/>
          <w:color w:val="auto"/>
        </w:rPr>
      </w:pPr>
    </w:p>
    <w:p>
      <w:pPr>
        <w:ind w:left="1280" w:hanging="320"/>
        <w:spacing w:after="0" w:line="237" w:lineRule="auto"/>
        <w:tabs>
          <w:tab w:leader="none" w:pos="127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If we fail to meet our service-level commitments under our customer agreements, we could be obligated to provide credits or face contract terminations, which could adversely affect our revenue, reputation, results of operations.</w:t>
      </w:r>
    </w:p>
    <w:p>
      <w:pPr>
        <w:spacing w:after="0" w:line="179" w:lineRule="exact"/>
        <w:rPr>
          <w:rFonts w:ascii="Times New Roman" w:cs="Times New Roman" w:eastAsia="Times New Roman" w:hAnsi="Times New Roman"/>
          <w:sz w:val="21"/>
          <w:szCs w:val="21"/>
          <w:color w:val="auto"/>
        </w:rPr>
      </w:pPr>
    </w:p>
    <w:p>
      <w:pPr>
        <w:ind w:left="1280" w:hanging="320"/>
        <w:spacing w:after="0" w:line="237" w:lineRule="auto"/>
        <w:tabs>
          <w:tab w:leader="none" w:pos="127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terms and conditions of certain multi-year, non-cancellable agreements could result in significant payments or penalties that could have a material adverse effect on our business, financial condition, and results of operations.</w:t>
      </w:r>
    </w:p>
    <w:p>
      <w:pPr>
        <w:spacing w:after="0" w:line="179" w:lineRule="exact"/>
        <w:rPr>
          <w:rFonts w:ascii="Times New Roman" w:cs="Times New Roman" w:eastAsia="Times New Roman" w:hAnsi="Times New Roman"/>
          <w:sz w:val="21"/>
          <w:szCs w:val="21"/>
          <w:color w:val="auto"/>
        </w:rPr>
      </w:pPr>
    </w:p>
    <w:p>
      <w:pPr>
        <w:jc w:val="both"/>
        <w:ind w:left="1280" w:hanging="320"/>
        <w:spacing w:after="0" w:line="242" w:lineRule="auto"/>
        <w:tabs>
          <w:tab w:leader="none" w:pos="127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and rules, contractual obligations, industry standards, policies, self-regulatory schemes, standards and other obligations related to data privacy and security. Our actual or perceived failure to comply with such obligations could lead to regulatory investigations or actions, litigation (including class claims) and mass arbitration demands, as well as potential fines and penalties, disruptions of our business operations, reputational harm; loss of revenue or profits, loss of customers or sales, and other adverse business consequences.</w:t>
      </w:r>
    </w:p>
    <w:p>
      <w:pPr>
        <w:spacing w:after="0" w:line="140" w:lineRule="exact"/>
        <w:rPr>
          <w:rFonts w:ascii="Times New Roman" w:cs="Times New Roman" w:eastAsia="Times New Roman" w:hAnsi="Times New Roman"/>
          <w:sz w:val="21"/>
          <w:szCs w:val="21"/>
          <w:color w:val="auto"/>
        </w:rPr>
      </w:pPr>
    </w:p>
    <w:p>
      <w:pPr>
        <w:jc w:val="both"/>
        <w:ind w:left="1280" w:hanging="320"/>
        <w:spacing w:after="0" w:line="259" w:lineRule="auto"/>
        <w:tabs>
          <w:tab w:leader="none" w:pos="1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right="1720" w:firstLine="954"/>
        <w:spacing w:after="0" w:line="430" w:lineRule="auto"/>
        <w:rPr>
          <w:sz w:val="20"/>
          <w:szCs w:val="20"/>
          <w:color w:val="auto"/>
        </w:rPr>
      </w:pPr>
      <w:r>
        <w:rPr>
          <w:rFonts w:ascii="Times New Roman" w:cs="Times New Roman" w:eastAsia="Times New Roman" w:hAnsi="Times New Roman"/>
          <w:sz w:val="18"/>
          <w:szCs w:val="18"/>
          <w:color w:val="auto"/>
        </w:rPr>
        <w:t xml:space="preserve">operations; reputational harm; loss of revenue or profits; loss of customers or sales; and other adverse consequences. </w:t>
      </w:r>
      <w:r>
        <w:rPr>
          <w:rFonts w:ascii="Times New Roman" w:cs="Times New Roman" w:eastAsia="Times New Roman" w:hAnsi="Times New Roman"/>
          <w:sz w:val="18"/>
          <w:szCs w:val="18"/>
          <w:b w:val="1"/>
          <w:bCs w:val="1"/>
          <w:color w:val="auto"/>
        </w:rPr>
        <w:t>Risks Related to Our International Operations</w:t>
      </w:r>
    </w:p>
    <w:p>
      <w:pPr>
        <w:ind w:left="1280" w:hanging="320"/>
        <w:spacing w:after="0" w:line="274" w:lineRule="auto"/>
        <w:tabs>
          <w:tab w:leader="none" w:pos="12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invest in our operations outside the United States, where we may be subject to increased business and economic risks that could harm our business.</w:t>
      </w:r>
    </w:p>
    <w:p>
      <w:pPr>
        <w:spacing w:after="0" w:line="110" w:lineRule="exact"/>
        <w:rPr>
          <w:rFonts w:ascii="Times New Roman" w:cs="Times New Roman" w:eastAsia="Times New Roman" w:hAnsi="Times New Roman"/>
          <w:sz w:val="18"/>
          <w:szCs w:val="18"/>
          <w:color w:val="auto"/>
        </w:rPr>
      </w:pPr>
    </w:p>
    <w:p>
      <w:pPr>
        <w:ind w:left="1280" w:hanging="320"/>
        <w:spacing w:after="0" w:line="274" w:lineRule="auto"/>
        <w:tabs>
          <w:tab w:leader="none" w:pos="12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impair our ability to compete in international markets or subject us to liability if we are not in compliance with applicable laws.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166" w:lineRule="exact"/>
        <w:rPr>
          <w:sz w:val="20"/>
          <w:szCs w:val="20"/>
          <w:color w:val="auto"/>
        </w:rPr>
      </w:pPr>
    </w:p>
    <w:p>
      <w:pPr>
        <w:ind w:left="1280" w:hanging="320"/>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exposure to greater than anticipated tax liabilities, which could harm our business.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66" w:lineRule="exact"/>
        <w:rPr>
          <w:sz w:val="20"/>
          <w:szCs w:val="20"/>
          <w:color w:val="auto"/>
        </w:rPr>
      </w:pPr>
    </w:p>
    <w:p>
      <w:pPr>
        <w:ind w:left="1280" w:hanging="320"/>
        <w:spacing w:after="0" w:line="274" w:lineRule="auto"/>
        <w:tabs>
          <w:tab w:leader="none" w:pos="12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may be in the future, party to intellectual property rights claims and other litigation matters, which, if resolved adversely, could harm our business.</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our intellectual property rights and proprietary information could diminish our brand and other intangible assets.</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third-party open-source software could negatively affect our ability to offer and sell subscriptions to our C3 AI Software and subject us to possible litigation.</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66" w:lineRule="exact"/>
        <w:rPr>
          <w:sz w:val="20"/>
          <w:szCs w:val="20"/>
          <w:color w:val="auto"/>
        </w:rPr>
      </w:pPr>
    </w:p>
    <w:p>
      <w:pPr>
        <w:ind w:left="1280" w:hanging="320"/>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may be volatile, and you could lose all or part of your investment.</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the holders of our Class B common stock, limiting your ability to influence corporate matters.</w:t>
      </w:r>
    </w:p>
    <w:p>
      <w:pPr>
        <w:spacing w:after="0" w:line="110" w:lineRule="exact"/>
        <w:rPr>
          <w:rFonts w:ascii="Times New Roman" w:cs="Times New Roman" w:eastAsia="Times New Roman" w:hAnsi="Times New Roman"/>
          <w:sz w:val="18"/>
          <w:szCs w:val="18"/>
          <w:color w:val="auto"/>
        </w:rPr>
      </w:pPr>
    </w:p>
    <w:p>
      <w:pPr>
        <w:ind w:left="1280" w:hanging="320"/>
        <w:spacing w:after="0" w:line="304" w:lineRule="auto"/>
        <w:tabs>
          <w:tab w:leader="none" w:pos="12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in our constituent documents and Delaware law may prevent or frustrate attempts by our stockholders to change our management or hinder efforts to acquire a controlling interest in us, and the market price of our Class A common stock may be lower as a result.</w:t>
      </w:r>
    </w:p>
    <w:p>
      <w:pPr>
        <w:spacing w:after="0" w:line="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66" w:lineRule="exact"/>
        <w:rPr>
          <w:sz w:val="20"/>
          <w:szCs w:val="20"/>
          <w:color w:val="auto"/>
        </w:rPr>
      </w:pPr>
    </w:p>
    <w:p>
      <w:pPr>
        <w:ind w:left="1280" w:hanging="320"/>
        <w:spacing w:after="0" w:line="274" w:lineRule="auto"/>
        <w:tabs>
          <w:tab w:leader="none" w:pos="12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0" w:lineRule="exact"/>
        <w:rPr>
          <w:rFonts w:ascii="Times New Roman" w:cs="Times New Roman" w:eastAsia="Times New Roman" w:hAnsi="Times New Roman"/>
          <w:sz w:val="18"/>
          <w:szCs w:val="18"/>
          <w:color w:val="auto"/>
        </w:rPr>
      </w:pPr>
    </w:p>
    <w:p>
      <w:pPr>
        <w:ind w:left="1280" w:hanging="320"/>
        <w:spacing w:after="0" w:line="274" w:lineRule="auto"/>
        <w:tabs>
          <w:tab w:leader="none" w:pos="12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 subjective assumptions, estimates and judgments by management related to complex accounting matters could adversely affect our financial results or financial condition.</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disrupted by catastrophic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C3 AI is the Enterprise AI application software company. C3 AI delivers a family of fully integrated products including the C3 Agentic AI Platform, an end-to-end platform for developing, deploying, and operating Enterprise AI applications; C3 AI Applications, a portfolio of industry-specific Enterprise AI applications that enable the digital transformation of organizations globally; and C3 Generative AI, a library of agentic AI applications to retrieve data, analyze information, surface insights, and orchestrate workflows to drive business value.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C3 Agentic AI Platform and C3 AI Applications — built with our patented model-driven architecture — enable organizations to simplify and accelerate Enterprise AI application development, deployment, and administration. Our C3 AI software platform also enables developers to rapidly build applications without having to write complex, lengthy, structured programming code to define, control, and integrate the many requisite data and microservices components to work together; we significantly reduce the effort and complexity of the Enterprise AI software engineering problem.</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Powered by C3 AI’s patented agent orchestration technology, C3 Generative AI enables autonomous agents to reflect, collaborate, and execute complex workflows — retrieving data, analyzing information, and delivering precise, actionable insights for high-value enterprise use cases across industries. C3 Generative AI delivers high-accuracy, domain-specific insights, and advanced reasoning across disparate enterprise and external data sources. C3 Generative AI is built natively into the C3 Agentic AI Platform and available with every C3 AI Application.</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Enterprise AI Software Solutions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built a solution that enables our customers to rapidly develop, deploy, and operate large-scale Enterprise AI applications. Customers can deploy C3 AI software on major public cloud infrastructures, private cloud or hybrid environments, or directly on their servers and processors. We provide our customers and partners with an antidote to AI vendor lock-in.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five core product areas, which we collectively refer to as our “C3 AI Software”:</w:t>
      </w:r>
    </w:p>
    <w:p>
      <w:pPr>
        <w:spacing w:after="0" w:line="162" w:lineRule="exact"/>
        <w:rPr>
          <w:sz w:val="20"/>
          <w:szCs w:val="20"/>
          <w:color w:val="auto"/>
        </w:rPr>
      </w:pPr>
    </w:p>
    <w:p>
      <w:pPr>
        <w:jc w:val="both"/>
        <w:ind w:left="320" w:hanging="314"/>
        <w:spacing w:after="0" w:line="256"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C3 Agentic AI Platform</w:t>
      </w:r>
      <w:r>
        <w:rPr>
          <w:rFonts w:ascii="Times New Roman" w:cs="Times New Roman" w:eastAsia="Times New Roman" w:hAnsi="Times New Roman"/>
          <w:sz w:val="18"/>
          <w:szCs w:val="18"/>
          <w:color w:val="auto"/>
        </w:rPr>
        <w:t>, our core technology, is a comprehensive, end-to-end application development and runtime environment that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 our customers to rapidly design, develop, and deploy Enterprise AI applications. The C3 Agentic AI Platform enables the creation of enterprise-grade AI agents that can autonomously perceive data, reason over complex systems, and take action to achieve defined business goals. These agents operate within secure, governed workflows and integrate seamlessly across the enterprise, delivering trusted, high-impact outcomes at scale.</w:t>
      </w:r>
    </w:p>
    <w:p>
      <w:pPr>
        <w:spacing w:after="0" w:line="123" w:lineRule="exact"/>
        <w:rPr>
          <w:rFonts w:ascii="Times New Roman" w:cs="Times New Roman" w:eastAsia="Times New Roman" w:hAnsi="Times New Roman"/>
          <w:sz w:val="18"/>
          <w:szCs w:val="18"/>
          <w:color w:val="auto"/>
        </w:rPr>
      </w:pPr>
    </w:p>
    <w:p>
      <w:pPr>
        <w:ind w:left="320" w:hanging="314"/>
        <w:spacing w:after="0" w:line="276"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Studio, </w:t>
      </w:r>
      <w:r>
        <w:rPr>
          <w:rFonts w:ascii="Times New Roman" w:cs="Times New Roman" w:eastAsia="Times New Roman" w:hAnsi="Times New Roman"/>
          <w:sz w:val="18"/>
          <w:szCs w:val="18"/>
          <w:color w:val="auto"/>
        </w:rPr>
        <w:t>is the integrated development environment in the C3 Agentic AI Platform that enables engineers, data scientists, and increasingly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analysts, to design, build, test, and deploy AI applications.</w:t>
      </w:r>
    </w:p>
    <w:p>
      <w:pPr>
        <w:spacing w:after="0" w:line="106" w:lineRule="exact"/>
        <w:rPr>
          <w:rFonts w:ascii="Times New Roman" w:cs="Times New Roman" w:eastAsia="Times New Roman" w:hAnsi="Times New Roman"/>
          <w:sz w:val="18"/>
          <w:szCs w:val="18"/>
          <w:color w:val="auto"/>
        </w:rPr>
      </w:pPr>
    </w:p>
    <w:p>
      <w:pPr>
        <w:ind w:left="320" w:hanging="314"/>
        <w:spacing w:after="0" w:line="276"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Applications, </w:t>
      </w:r>
      <w:r>
        <w:rPr>
          <w:rFonts w:ascii="Times New Roman" w:cs="Times New Roman" w:eastAsia="Times New Roman" w:hAnsi="Times New Roman"/>
          <w:sz w:val="18"/>
          <w:szCs w:val="18"/>
          <w:color w:val="auto"/>
        </w:rPr>
        <w:t>built using the C3 Agentic AI Platform, is a portfolio of pre-built, extensible, industry-specific and application-specific SaaS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AI applications that can be rapidly installed and deployed.</w:t>
      </w:r>
    </w:p>
    <w:p>
      <w:pPr>
        <w:spacing w:after="0" w:line="106" w:lineRule="exact"/>
        <w:rPr>
          <w:rFonts w:ascii="Times New Roman" w:cs="Times New Roman" w:eastAsia="Times New Roman" w:hAnsi="Times New Roman"/>
          <w:sz w:val="18"/>
          <w:szCs w:val="18"/>
          <w:color w:val="auto"/>
        </w:rPr>
      </w:pPr>
    </w:p>
    <w:p>
      <w:pPr>
        <w:ind w:left="320" w:hanging="314"/>
        <w:spacing w:after="0" w:line="276"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C3 Generative AI</w:t>
      </w:r>
      <w:r>
        <w:rPr>
          <w:rFonts w:ascii="Times New Roman" w:cs="Times New Roman" w:eastAsia="Times New Roman" w:hAnsi="Times New Roman"/>
          <w:sz w:val="18"/>
          <w:szCs w:val="18"/>
          <w:color w:val="auto"/>
        </w:rPr>
        <w:t>, combines the utility of LLMs, agentic AI, generative AI, reinforcement learning, natural language processing, and the C3 Agentic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to reflect, collaborate, and execute complex workflows.</w:t>
      </w:r>
    </w:p>
    <w:p>
      <w:pPr>
        <w:spacing w:after="0" w:line="106" w:lineRule="exact"/>
        <w:rPr>
          <w:rFonts w:ascii="Times New Roman" w:cs="Times New Roman" w:eastAsia="Times New Roman" w:hAnsi="Times New Roman"/>
          <w:sz w:val="18"/>
          <w:szCs w:val="18"/>
          <w:color w:val="auto"/>
        </w:rPr>
      </w:pPr>
    </w:p>
    <w:p>
      <w:pPr>
        <w:jc w:val="both"/>
        <w:ind w:left="320" w:hanging="314"/>
        <w:spacing w:after="0" w:line="256"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C3 Code</w:t>
      </w:r>
      <w:r>
        <w:rPr>
          <w:rFonts w:ascii="Times New Roman" w:cs="Times New Roman" w:eastAsia="Times New Roman" w:hAnsi="Times New Roman"/>
          <w:sz w:val="18"/>
          <w:szCs w:val="18"/>
          <w:color w:val="auto"/>
        </w:rPr>
        <w:t>, enables users to build, configure, and deploy a complete, production-grade Enterprise AI applications automatically — including data pipelines,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 models, business logic, security controls, and user interfaces — using natural language instructions. C3 Code orchestrates multiple AI agents working in parallel against an organization's enterprise data, designed to significantly reduce the time and specialized resources required to develop and deploy enterprise AI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How the Products Work Together</w:t>
      </w:r>
    </w:p>
    <w:p>
      <w:pPr>
        <w:spacing w:after="0" w:line="168"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C3 Agentic AI Platform is the infrastructure layer; all other products run on it and inherit its security, scalability, and data integration.</w:t>
      </w:r>
    </w:p>
    <w:p>
      <w:pPr>
        <w:spacing w:after="0" w:line="16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C3 AI Studio is the creation layer where engineers and analysts build, customize, and maintain applications.</w:t>
      </w:r>
    </w:p>
    <w:p>
      <w:pPr>
        <w:spacing w:after="0" w:line="16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C3 Code is the acceleration layer that replaces large amounts of manual work in Studio with automatically generated applications.</w:t>
      </w:r>
    </w:p>
    <w:p>
      <w:pPr>
        <w:spacing w:after="0" w:line="16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C3 AI Applications are the ready-made solutions layer, encoding C3.ai's accumulated 15 years of domain knowledge.</w:t>
      </w:r>
    </w:p>
    <w:p>
      <w:pPr>
        <w:spacing w:after="0" w:line="16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C3 Generative AI is the access layer — protected by our awarded AI Agents patent — letting any employee extract value from all the layers.</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Together, these five layers represent C3.ai's answer to the central challenge of Enterprise AI: how a large organization moves from raw data to reliable, governed, scalable AI applications that improve business outcomes — quickly, safely, and without building from scratch.</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C3 Agentic AI Platform</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C3 Agentic AI Platform is the core technology on which every C3 AI product runs — a Platform-as-a-Service analogous to the operating system of a smartphone: every application depends on it, but most users never see it directly. Its central innovation is the patented C3 AI Type System, a model-driven architecture. Rather than writing custom code to connect each enterprise data source, a developer describes the business objects they care about — an Asset, an Alert, a Work Order — and the platform generates all the integration plumbing automatically. We measure this to reduce application development time by roughly 25× versus building from scratch.</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C3 Agentic AI Platform uses a patented model-driven architecture to accelerate delivery and reduce the complexities of developing Enterprise AI applications. The C3 AI model-driven architecture provides an “abstraction layer,” that allows developers to build Enterprise AI applications by using conceptual models of all the elements an application requires, instead of writing lengthy code. We believe this provides significant benefits, including:</w:t>
      </w:r>
    </w:p>
    <w:p>
      <w:pPr>
        <w:spacing w:after="0" w:line="12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Scale AI Across the Business. </w:t>
      </w:r>
      <w:r>
        <w:rPr>
          <w:rFonts w:ascii="Times New Roman" w:cs="Times New Roman" w:eastAsia="Times New Roman" w:hAnsi="Times New Roman"/>
          <w:sz w:val="18"/>
          <w:szCs w:val="18"/>
          <w:color w:val="auto"/>
        </w:rPr>
        <w:t>Customers can use AI applications and models that optimize processes for every product, asset, customer, or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all regions and businesses;</w:t>
      </w:r>
    </w:p>
    <w:p>
      <w:pPr>
        <w:spacing w:after="0" w:line="107"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Deliver Results Faster. </w:t>
      </w:r>
      <w:r>
        <w:rPr>
          <w:rFonts w:ascii="Times New Roman" w:cs="Times New Roman" w:eastAsia="Times New Roman" w:hAnsi="Times New Roman"/>
          <w:sz w:val="18"/>
          <w:szCs w:val="18"/>
          <w:color w:val="auto"/>
        </w:rPr>
        <w:t>Customers can deploy AI applications and see results within two quarters and rapidly roll out additional applications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w:t>
      </w:r>
    </w:p>
    <w:p>
      <w:pPr>
        <w:spacing w:after="0" w:line="10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Generate Meaningful Value. </w:t>
      </w:r>
      <w:r>
        <w:rPr>
          <w:rFonts w:ascii="Times New Roman" w:cs="Times New Roman" w:eastAsia="Times New Roman" w:hAnsi="Times New Roman"/>
          <w:sz w:val="18"/>
          <w:szCs w:val="18"/>
          <w:color w:val="auto"/>
        </w:rPr>
        <w:t>Customers can unlock sustained value, up to hundreds of millions to billions of dollars per year, from reduced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revenue, and higher margins; and</w:t>
      </w:r>
    </w:p>
    <w:p>
      <w:pPr>
        <w:spacing w:after="0" w:line="10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Govern AI with Confidence. </w:t>
      </w:r>
      <w:r>
        <w:rPr>
          <w:rFonts w:ascii="Times New Roman" w:cs="Times New Roman" w:eastAsia="Times New Roman" w:hAnsi="Times New Roman"/>
          <w:sz w:val="18"/>
          <w:szCs w:val="18"/>
          <w:color w:val="auto"/>
        </w:rPr>
        <w:t>Customers can ensure systematic, enterprise-wide governance of AI with our unified platform that offers data lineage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governance.</w:t>
      </w:r>
    </w:p>
    <w:p>
      <w:pPr>
        <w:spacing w:after="0" w:line="10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C3 Agentic AI Platform enables us and our customers to develop Enterprise AI applications by using conceptual models of all the elements required by the application — including data objects (e.g., customer, order, contract), computing resources (e.g., database, storage, messaging), data processing services (e.g., stream processing, batch processing), AI and ML services (e.g., model training, model pipeline management) — instead of having to write complex, lengthy code. This approach vastly reduces technical complexity for developers and the amount of code they need to write. The C3 Agentic AI Platform provides comprehensive capabilities to rapidly develop, deploy, and operate Enterprise AI applications at scale, including:</w:t>
      </w:r>
    </w:p>
    <w:p>
      <w:pPr>
        <w:spacing w:after="0" w:line="132"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unification across hundreds of enterprise systems and industrial sensors simultaneously.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AI/ML lifecycle management for training, testing, deploying, monitoring, and retraining models at industrial scale.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Agentic AI orchestration coordinating multiple autonomous software agents through multi-step workflows.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Cloud-agnostic deployment on Azure, AWS, GCP, or on-premises FedRAMP-authorized government clouds.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Enterprise-grade governance with role-based access, audit trails, and model explainability for regulated industries.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C3 AI Studio</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C3 AI Studio is the integrated development environment engineers, data scientists, and increasingly business analysts use to design, build, test, and deploy applications on the platform. It is the equivalent of Microsoft Word for writing documents, except here the document is an enterprise AI application. By enabling less-technical staff to build applications, and by embedding a generative AI assistant for professional developers, Studio compresses time from business problem to deployed solution - a key driver of customer satisfaction and renewal rates. Key components of C3 AI Studio include:</w:t>
      </w:r>
    </w:p>
    <w:p>
      <w:pPr>
        <w:spacing w:after="0" w:line="125"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Visual Studio Code Extension. </w:t>
      </w:r>
      <w:r>
        <w:rPr>
          <w:rFonts w:ascii="Times New Roman" w:cs="Times New Roman" w:eastAsia="Times New Roman" w:hAnsi="Times New Roman"/>
          <w:sz w:val="18"/>
          <w:szCs w:val="18"/>
          <w:color w:val="auto"/>
        </w:rPr>
        <w:t>A dedicated Visual Studio Code extension that enables developers and data scientists to work within a familiar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environment (IDE), enriched with C3.ai-specific tooling and autocomplete.</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Application Canvas. </w:t>
      </w:r>
      <w:r>
        <w:rPr>
          <w:rFonts w:ascii="Times New Roman" w:cs="Times New Roman" w:eastAsia="Times New Roman" w:hAnsi="Times New Roman"/>
          <w:sz w:val="18"/>
          <w:szCs w:val="18"/>
          <w:color w:val="auto"/>
        </w:rPr>
        <w:t>Low-code drag-and-drop design surface allowing non-engineers to build applications.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C3 Generative AI. </w:t>
      </w:r>
      <w:r>
        <w:rPr>
          <w:rFonts w:ascii="Times New Roman" w:cs="Times New Roman" w:eastAsia="Times New Roman" w:hAnsi="Times New Roman"/>
          <w:sz w:val="18"/>
          <w:szCs w:val="18"/>
          <w:color w:val="auto"/>
        </w:rPr>
        <w:t>Generative AI capabilities that allow users to describe desired application behaviors in natural language.</w:t>
      </w:r>
    </w:p>
    <w:p>
      <w:pPr>
        <w:spacing w:after="0" w:line="16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Data Studio and Auto Machine Learning (ML). </w:t>
      </w:r>
      <w:r>
        <w:rPr>
          <w:rFonts w:ascii="Times New Roman" w:cs="Times New Roman" w:eastAsia="Times New Roman" w:hAnsi="Times New Roman"/>
          <w:sz w:val="18"/>
          <w:szCs w:val="18"/>
          <w:color w:val="auto"/>
        </w:rPr>
        <w:t>Integrated data profiling, cleansing, and connectivity tools, together with automated machine learning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designed to accelerate the development and deployment of predictive models.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C3 AI Applications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C3 AI Applications are pre-packaged, industry-specific AI products that customers license and deploy without building AI capabilities from scratch — analogous to buying a professionally designed home rather than building from raw materials. Every application runs on the platform and is maintained in Studio, so platform improvements automatically flow to all applications and new generative AI capabilities can be added rapidly.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Asset Performance</w:t>
      </w:r>
    </w:p>
    <w:p>
      <w:pPr>
        <w:spacing w:after="0" w:line="16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C3 AI applications for asset performance improve asset reliability, reduce downtime, and increase process efficiency. C3 AI customers use these applications to identify and predict asset performance risks, intervene before downtime occurs, and maximize asset performance.</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application offer a flexible and scalable AI approach with better precision than alternatives. C3 AI’s value proposition within reliability emphasizes its (1) complementary approach to existing asset management and data historian systems, (2) detailed asset hierarchy modeling, including asset templates and failure mode libraries, (3) flexible AI pipelines that leverage best-in-class ML frameworks with AI explainability, and (4) comprehensive user workflows to action AI recommendations, with bidirectional integrations to work management and operations systems.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C3 AI offers five discrete applications for asset performance:</w:t>
      </w:r>
    </w:p>
    <w:p>
      <w:pPr>
        <w:spacing w:after="0" w:line="162"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Reliability </w:t>
      </w:r>
      <w:r>
        <w:rPr>
          <w:rFonts w:ascii="Times New Roman" w:cs="Times New Roman" w:eastAsia="Times New Roman" w:hAnsi="Times New Roman"/>
          <w:sz w:val="18"/>
          <w:szCs w:val="18"/>
          <w:color w:val="auto"/>
        </w:rPr>
        <w:t>increases operations, process, and equipment uptime by anticipating equipment risks and failures.</w:t>
      </w:r>
    </w:p>
    <w:p>
      <w:pPr>
        <w:spacing w:after="0" w:line="164"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Process Optimization </w:t>
      </w:r>
      <w:r>
        <w:rPr>
          <w:rFonts w:ascii="Times New Roman" w:cs="Times New Roman" w:eastAsia="Times New Roman" w:hAnsi="Times New Roman"/>
          <w:sz w:val="18"/>
          <w:szCs w:val="18"/>
          <w:color w:val="auto"/>
        </w:rPr>
        <w:t>improves production rate and product quality with AI-optimized process control parameters in complex batch, semi-batch, or process manufacturing.</w:t>
      </w:r>
    </w:p>
    <w:p>
      <w:pPr>
        <w:spacing w:after="0" w:line="106"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Energy Management </w:t>
      </w:r>
      <w:r>
        <w:rPr>
          <w:rFonts w:ascii="Times New Roman" w:cs="Times New Roman" w:eastAsia="Times New Roman" w:hAnsi="Times New Roman"/>
          <w:sz w:val="18"/>
          <w:szCs w:val="18"/>
          <w:color w:val="auto"/>
        </w:rPr>
        <w:t>helps operations teams achieve targets for energy cost, GHG emissions, water consumption, and waste reduction.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models energy efficiency and emissions at every level of industrial processes from the individual equipment up to the facility as well as SKU-level product carbon footprints.</w:t>
      </w:r>
    </w:p>
    <w:p>
      <w:pPr>
        <w:spacing w:after="0" w:line="119"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Asset Connect </w:t>
      </w:r>
      <w:r>
        <w:rPr>
          <w:rFonts w:ascii="Times New Roman" w:cs="Times New Roman" w:eastAsia="Times New Roman" w:hAnsi="Times New Roman"/>
          <w:sz w:val="18"/>
          <w:szCs w:val="18"/>
          <w:color w:val="auto"/>
        </w:rPr>
        <w:t>enables industrial and manufacturing teams to rapidly create digital representations of physical assets and contextualize data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 scalable AI foundation.</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Field Services </w:t>
      </w:r>
      <w:r>
        <w:rPr>
          <w:rFonts w:ascii="Times New Roman" w:cs="Times New Roman" w:eastAsia="Times New Roman" w:hAnsi="Times New Roman"/>
          <w:sz w:val="18"/>
          <w:szCs w:val="18"/>
          <w:color w:val="auto"/>
        </w:rPr>
        <w:t>helps field teams to restore and maintain critical assets safely and efficiently in complex industrial environments in a mobile-first AI module.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Supply Chain</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C3 AI applications for supply chain significantly improve resiliency and efficiency with proactive risk mitigation and advanced optimization. C3 AI’s value proposition in supply chain emphasizes its (1) strength in data unification for enterprise and external data to enable near-real-time global visibility of all goods, orders, and transportation, (2) detailed part-level tracking across the supply chain, (3) advanced AI to preemptively detect and mitigate risks, optimize processes, and avoid disruptions, and (4) fully complementary approach with enterprise resource planning, or ERP, systems (e.g., SAP ERP) and supply chain planning tools (e.g., SAP IBP, Logility).</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Customers rely on these applications to rapidly improve business outcomes while providing flexibility in how they manage their entire supply chain software ecosystem. One large global manufacturing C3 AI customer uses C3 AI’s production scheduling software to support facilities using mainframe systems, continuing to use the same C3 AI Software while the underlying systems are upgraded to SAP ERP, highlighting the versatility and future-proofing of the model-driven architecture.</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C3 AI offers six applications for supply chain:</w:t>
      </w:r>
    </w:p>
    <w:p>
      <w:pPr>
        <w:spacing w:after="0" w:line="162"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Supply Network Risk </w:t>
      </w:r>
      <w:r>
        <w:rPr>
          <w:rFonts w:ascii="Times New Roman" w:cs="Times New Roman" w:eastAsia="Times New Roman" w:hAnsi="Times New Roman"/>
          <w:sz w:val="18"/>
          <w:szCs w:val="18"/>
          <w:color w:val="auto"/>
        </w:rPr>
        <w:t>identifies emerging inbound and outbound risks across the network.</w:t>
      </w:r>
    </w:p>
    <w:p>
      <w:pPr>
        <w:spacing w:after="0" w:line="164"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Inventory Optimization </w:t>
      </w:r>
      <w:r>
        <w:rPr>
          <w:rFonts w:ascii="Times New Roman" w:cs="Times New Roman" w:eastAsia="Times New Roman" w:hAnsi="Times New Roman"/>
          <w:sz w:val="18"/>
          <w:szCs w:val="18"/>
          <w:color w:val="auto"/>
        </w:rPr>
        <w:t>analyzes variability across demand, supply, and production and optimizes inventory levels of all goods to eliminate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inventory.</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Demand Forecasting </w:t>
      </w:r>
      <w:r>
        <w:rPr>
          <w:rFonts w:ascii="Times New Roman" w:cs="Times New Roman" w:eastAsia="Times New Roman" w:hAnsi="Times New Roman"/>
          <w:sz w:val="18"/>
          <w:szCs w:val="18"/>
          <w:color w:val="auto"/>
        </w:rPr>
        <w:t>provides AI-based demand segmentation and granular, precision demand forecasts by capturing all high-value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signals from enterprise and external data sources.</w:t>
      </w:r>
    </w:p>
    <w:p>
      <w:pPr>
        <w:spacing w:after="0" w:line="10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Production Schedule Optimization </w:t>
      </w:r>
      <w:r>
        <w:rPr>
          <w:rFonts w:ascii="Times New Roman" w:cs="Times New Roman" w:eastAsia="Times New Roman" w:hAnsi="Times New Roman"/>
          <w:sz w:val="18"/>
          <w:szCs w:val="18"/>
          <w:color w:val="auto"/>
        </w:rPr>
        <w:t>improves production efficiency using a holistic view of demand, supply, manufacturing, and distribution.</w:t>
      </w:r>
    </w:p>
    <w:p>
      <w:pPr>
        <w:spacing w:after="0" w:line="164"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Sourcing Optimization </w:t>
      </w:r>
      <w:r>
        <w:rPr>
          <w:rFonts w:ascii="Times New Roman" w:cs="Times New Roman" w:eastAsia="Times New Roman" w:hAnsi="Times New Roman"/>
          <w:sz w:val="18"/>
          <w:szCs w:val="18"/>
          <w:color w:val="auto"/>
        </w:rPr>
        <w:t>reduces sourcing costs by detecting pricing anomalies and proactively monitoring all sourcing activity,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feedback and other information provided from our customers.</w:t>
      </w:r>
    </w:p>
    <w:p>
      <w:pPr>
        <w:spacing w:after="0" w:line="106" w:lineRule="exact"/>
        <w:rPr>
          <w:rFonts w:ascii="Times New Roman" w:cs="Times New Roman" w:eastAsia="Times New Roman" w:hAnsi="Times New Roman"/>
          <w:sz w:val="18"/>
          <w:szCs w:val="18"/>
          <w:color w:val="auto"/>
        </w:rPr>
      </w:pPr>
    </w:p>
    <w:p>
      <w:pPr>
        <w:ind w:left="320" w:right="260" w:firstLine="4"/>
        <w:spacing w:after="0" w:line="431" w:lineRule="auto"/>
        <w:tabs>
          <w:tab w:leader="none" w:pos="6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Supply Chain Orchestration </w:t>
      </w:r>
      <w:r>
        <w:rPr>
          <w:rFonts w:ascii="Times New Roman" w:cs="Times New Roman" w:eastAsia="Times New Roman" w:hAnsi="Times New Roman"/>
          <w:sz w:val="18"/>
          <w:szCs w:val="18"/>
          <w:color w:val="auto"/>
        </w:rPr>
        <w:t>provides supply chain planners and leaders with real-time, end-to-end visibility and advanced decision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Defense &amp; Intelligence</w:t>
      </w:r>
    </w:p>
    <w:p>
      <w:pPr>
        <w:spacing w:after="0" w:line="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C3 AI application for Defense &amp; Intelligence help maximize mission capabilities. C3 AI customers span the U.S. Department of War, or the DoW, (including branches such as the U.S. Air Force), the Missile Defense Agency, and the DoW’s Chief Digital and Artificial Intelligence Office. C3 AI offers a core set of products adaptable for each agency’s needs.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C3 AI differentiates on scalability of AI/ML and user workflows to solve critical missions. C3 AI’s defense &amp; intelligence customers solve the following core needs with C3 AI: (1) rapid, multi-source data ingestion (e.g., structured, image, video, text), (2) efficient and scalable application of AI, ML, and deep learning techniques to provide novel insights, and (3) user-driven workflows that support investigative analyses, collaboration, and what-if scenario management.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C3 AI offers four applications for defense and intelligence:</w:t>
      </w:r>
    </w:p>
    <w:p>
      <w:pPr>
        <w:spacing w:after="0" w:line="162" w:lineRule="exact"/>
        <w:rPr>
          <w:sz w:val="20"/>
          <w:szCs w:val="20"/>
          <w:color w:val="auto"/>
        </w:rPr>
      </w:pPr>
    </w:p>
    <w:p>
      <w:pPr>
        <w:ind w:left="640" w:hanging="316"/>
        <w:spacing w:after="0" w:line="27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C3 AI Readiness</w:t>
      </w:r>
      <w:r>
        <w:rPr>
          <w:rFonts w:ascii="Times New Roman" w:cs="Times New Roman" w:eastAsia="Times New Roman" w:hAnsi="Times New Roman"/>
          <w:sz w:val="18"/>
          <w:szCs w:val="18"/>
          <w:color w:val="auto"/>
        </w:rPr>
        <w:t>, today configured across over 15 aircraft platforms, applies AI and advanced ML to help reduce unscheduled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preposition spare parts, and increase mission capability.</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Intelligence Analysis </w:t>
      </w:r>
      <w:r>
        <w:rPr>
          <w:rFonts w:ascii="Times New Roman" w:cs="Times New Roman" w:eastAsia="Times New Roman" w:hAnsi="Times New Roman"/>
          <w:sz w:val="18"/>
          <w:szCs w:val="18"/>
          <w:color w:val="auto"/>
        </w:rPr>
        <w:t>accelerates investigative timelines with encrypted, obfuscated, federated search on people and relationships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near real time, configurable machine learning pipelines for entities and sentiments.</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Decision Advantage </w:t>
      </w:r>
      <w:r>
        <w:rPr>
          <w:rFonts w:ascii="Times New Roman" w:cs="Times New Roman" w:eastAsia="Times New Roman" w:hAnsi="Times New Roman"/>
          <w:sz w:val="18"/>
          <w:szCs w:val="18"/>
          <w:color w:val="auto"/>
        </w:rPr>
        <w:t>improves domain awareness and force management by synthesizing multiple intelligence sources in near real-time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enabling commanders and other decision makers with AI insights.</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C3 AI Contested Logistics </w:t>
      </w:r>
      <w:r>
        <w:rPr>
          <w:rFonts w:ascii="Times New Roman" w:cs="Times New Roman" w:eastAsia="Times New Roman" w:hAnsi="Times New Roman"/>
          <w:sz w:val="18"/>
          <w:szCs w:val="18"/>
          <w:color w:val="auto"/>
        </w:rPr>
        <w:t>ensures supply network resilience and availability in contested environments with extensive planning tools, near real-time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and mission support, and AI assisted risk mitigation and contingency planning.</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Property Appraisal</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C3 AI Property Appraisal brings the power of Enterprise AI to state and local governments, helping maximize tax revenues by providing highly precise property appraisals. C3 AI Residential Property Appraisal and C3 AI Commercial Property Appraisal provide data unification across numerous disparate systems and create highly defensible property valuations, reducing the cost and time of real property appraisal.</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C3 Generative AI and C3 Agentic AI</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C3 Generative AI brings ChatGPT-style conversational intelligence to the enterprise, with the critical difference that answers are grounded in the customer's own proprietary data, not just general internet knowledge. A refinery engineer can ask why a pump is behaving erratically and receive a coherent, source-cited answer in seconds, synthesized from sensor readings, work orders, OEM manuals, and inspection reports — a task that previously required hours of expert manual data gathering.</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C3 Generative AI is a unified knowledge source that enables enterprise users to rapidly locate, retrieve, and act on enterprise data and insights through an intuitive search and chat interface. By combining state-of-the-art foundational large language models (LLMs), deep learning retrieval models, and the C3 Agentic AI Platform, C3 Generative AI serves as a deep domain knowledge source to support information retrieval across disparate datasets and improve decision-making.</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C3 Generative AI helps users orchestrate AI agents to retrieve data, analyze information, surface insights, and initiate workflows for demanding, high value enterprise use cases that require accurate and reliable performance. C3 AI provides over 30 Generative AI applications across industries, business processes, and enterprise systems.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C3 Generative AI is built natively into the C3 Agentic AI Platform and can be embedded into any C3 AI Application, enabling enterprise users to interact with their data, applications, and workflows through natural language search, chat, and conversational interfaces.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C3 Generative AI is built to support demanding enterprise requirements. Unlike the conventional approach of fine-tuning LLMs with enterprise data, by separating the LLM from enterprise data, C3 Generative AI can provide deterministic responses with full traceability to the exact source, support granular enterprise access control requirements, and reduce the risk of LLM-caused information leakage.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C3 Generative AI works in concert with C3 Agentic AI to extend these capabilities from information retrieval to autonomous action. C3 AI Agentic Process Automation provides intelligent, reliable automation for enterprise processes with minimal human intervention. Going beyond scripted rules, C3 AI Agentic Process Automation combines rules-based automation with the reasoning capabilities of AI agents to encapsulate entire business and operational processes. Agentic workflows can be declared using natural language, with no code required, and can be executed on a schedule, on-demand, or on-event.</w:t>
      </w:r>
    </w:p>
    <w:p>
      <w:pPr>
        <w:spacing w:after="0" w:line="1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Powered by C3 AI’s patented agent orchestration technology, C3 Generative AI enables autonomous agents to reflect, collaborate, and execute complex, multi-step workflows across disparate enterprise and external data sources. The C3 AI Dynamic Planning Agent can be deployed into any application context to coordinate with other agents and solve complex tasks, while specialized agents — such as the C3 AI Deep Research Agent for long-form work like document generation — orchestrate effort across multiple agents to accelerate high-value outcomes.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C3 Generative AI is unique in the market, offering:</w:t>
      </w:r>
    </w:p>
    <w:p>
      <w:pPr>
        <w:spacing w:after="0" w:line="164"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LLM-agnostic architecture: Customers can choose or switch among OpenAI, Google, and other models without rebuilding applications.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Retrieval-Augmented Generation (RAG): C3 AI's proprietary technique that grounds every answer in source documents with citations, preventing hallucination.</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Agents (Patented): Autonomous software workers that plan and execute multi-step tasks. The awarded patent protects the orchestration architecture.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Enterprise-grade guardrails: Role-based access controls ensure users see only authorized data, even through a conversational interface.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Omni-modal parsing, extracts high-quality content and metadata from wide array of unstructured formats — including presentations, spreadsheets, rich text, audio, and video — transforming them into a structured knowledge graph.</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C3 AI Dynamic Planning Agent with multi-agent collaboration allows the C3 AI’s planning agent to perform multi-step reasoning across all data types, coordinate with other agents to solve complex tasks and workflows.</w:t>
      </w:r>
    </w:p>
    <w:p>
      <w:pPr>
        <w:spacing w:after="0" w:line="110"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 agent and tool authoring streamlines developer experience, enables users to rapidly create or enhance agents by integrating new tools in minutes, without the need for system upgrades.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On-the-fly Custom Visualizations generates context specific visualizations from natural language queries.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Streamlined omni-modal data integration through a visual administrative interface, allowing queries across multiple sources such as Snowflake, Oracle, Databricks, and others, and documents in Amazon S3, Google Cloud, and others.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fine-tuned foundation models for more capable, accurate, and faster structured data queries.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support for questions and answers in over 130 languages.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configuration of LLMs and retrievers with no code, including automatic updates to related retrieval configurations, baseline prompts, and orchestration parameters.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support for querying images and data tables embedded in documents.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accuracy with automated topic modeling and extraction of metadata from data contained in documents.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all core product features in air-gapped environments.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orchestration for complex queries involving multiple LLMs and retrieval tools.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C3 Generative AI co-pilot LLM to accelerate the productivity of developers and data scientists on the C3 Agentic AI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extensibility to meet the unique requirement of the enterprise.</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C3 Code</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C3 Code is the most dramatic leap forward in our product history. C3 Code is the Company’s agentic development environment embedded within the C3 AI Studio on the C3 Agentic AI Platform. It enables users to build, configure, and deploy a complete, production-grade Enterprise AI applications automatically — including data pipelines, AI models, business logic, security controls, and user interfaces — using natural language instructions. C3 Code orchestrates multiple AI agents working in parallel against an organization's enterprise data, designed to significantly reduce the time and specialized resources required to develop and deploy enterprise AI applications.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C3 Code is built on C3 AI’s patented agent-orchestration technology — the same foundational intellectual property that underpins C3 Generative AI — providing defensible protection around the autonomous, multi-agent capabilities common to both products. C3 Code works as follows:</w:t>
      </w:r>
    </w:p>
    <w:p>
      <w:pPr>
        <w:spacing w:after="0" w:line="110"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user describes the application needed (e.g., "Analyze my global in-process inventory and show me where my most critical shortages are").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C3 Code's agents interpret the request against the customer's enterprise data context — ERP, supply chain, logistics feeds.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agents work simultaneously: one builds the data model, one configures the ML pipeline, one builds the user interface, one sets up security and access controls.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hours a production-grade application is generated — with live data integration, dashboards, AI scoring, and role-based access — ready for technical review and deployment.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C3 Code differs from general-purpose AI coding tools like GitHub Copilot in two ways. First, it starts from pre-built Application Packages encoding deep knowledge of how real enterprises operate in manufacturing, energy, and defense — so generated code reflects industrial workflows, not generic software patterns. Second, the applications it produces are deployed through C3.ai's enterprise pipelines with security, audit trails, and governance built in from the start; the generated code is fully portable and customers are not locked to any specific AI model or cloud provider.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Lighthouse Customers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market-entry strategy has been to establish high-value customer engagements with large global early adopters, or lighthouse customers, across Europe, Asia, and the United States spanning a range of industries. These lighthouse customers serve as proof points for other potential customers in their respective industries. We have established strategic relationships with large multinational corporations and government entities and commonly enter into enterprise-wide agreements spanning multiple operating units or divisions.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core of this strategy is to deliver high-value outcomes at scale across multiple industries, including manufacturing, defense, oil and gas, utilities, chemicals, healthcare, life sciences, and government. We structure these engagements as initial production deployments, or IPDs, to initiate and expand customer relationships across sectors. The U.S. Federal government, including defense, intelligence community, and civilian agency customers, has emerged as a significant and growing segment of our business. Our partner ecosystem, including Microsoft, Amazon Web Services, McKinsey &amp; Company, Baker Hughes, Booz Allen Hamilton, and more, serves as a primary channel for customer acquisition and expansion.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High-Value Outcomes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enabling the digital transformation of many of the world’s leading organizations and, in the process, helping them to attain short time-to-value and exceptionally high economic returns. At some companies, based on feedback and other information provided from our customers, we estimate our solutions have helped return billions of dollars in economic benefit. We have focused on executing a more selective number of IPD agreements, reflecting our strategic focus on engagements with a higher probability of delivering targeted economic value to customers and a greater likelihood of conversion into production contracts.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Rapid Time to Value</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key to our market success and our primary competitive differentiator is our ability to leverage the C3 Agentic AI Platform, C3 AI Applications, and C3 Generative AI to bring high-value Enterprise AI applications into production use rapidly. With C3 Code and its agentic development capabilities, users can now describe a use case, feature, or application in natural language and have production-grade Enterprise AI applications designed, built, configured, and deployed in a fraction of the time previously required – in some cases within hours rather than weeks.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AI Sales Cycle</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typical sales cycle begins with one or more product and technical presentations about C3 AI, leading to a mapping of our capabilities to customer use cases. This process is increasingly initiated and advanced through our partner ecosystem. Following use case mapping, we typically sign a paid IPD agreement for the C3 Agentic AI Platform, a C3 AI Application or C3 Generative AI, and C3 AI Center of Excellence (COE) including support services, generally lasting up to six months. During that period, we work with the customer to deploy a production-level C3 AI Application. Our customer base includes large organizations across oil and gas, power and utilities, aerospace and defense, industrial products, life sciences, financial services, and government sectors, including U.S. Federal agencies.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Following a successful IPD, customers may continue to license the C3 AI Application and the C3 Agentic AI Platform for a consumption-based fee arrangement or enter into a time-certain multi-period commitment that may include consumption charges. Over time, our customers typically expand usage by adding users, expanding their use of the initial application to another use cases, purchasing additional C3 AI Applications for a subscription fee and by developing their own AI applications on the C3 Agentic AI Platform, which increases consumption-based fees as usage scales. C3 AI continues to support our customers through software updates and COE support services, as needed.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Ecosystem</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C3 AI’s Enterprise AI expertise and technology combined with our partners’ deep domain expertise enhances our solutions to joint customers. We have made significant progress establishing and extending productive partnerships. Our partner ecosystem is effective at opening new doors with new customers and expanding product offerings with existing customers.</w:t>
      </w:r>
    </w:p>
    <w:p>
      <w:pPr>
        <w:spacing w:after="0" w:line="12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C3 AI and Microsoft </w:t>
      </w:r>
      <w:r>
        <w:rPr>
          <w:rFonts w:ascii="Times New Roman" w:cs="Times New Roman" w:eastAsia="Times New Roman" w:hAnsi="Times New Roman"/>
          <w:sz w:val="18"/>
          <w:szCs w:val="18"/>
          <w:color w:val="auto"/>
        </w:rPr>
        <w:t>maintain a multi-year global alliance to accelerate Enterprise AI adoption. The partnership encompasses deep collaboration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innovation and integration, marketing and sales, and customer success, with a shared focus on critical industries including manufacturing, healthcare, energy, and defense. C3 AI and Microsoft have aligned their global sales teams and field organizations to streamline enterprise engagements, enable joint account planning and co-selling, and expand adoption at scale. C3 AI products are integrated into Microsoft’s commercial marketplace incentive programs, allowing Azure sellers to receive quota retirement and compensation when transacting C3 AI solutions. All C3 AI Applications are available in the Azure Marketplace.</w:t>
      </w:r>
    </w:p>
    <w:p>
      <w:pPr>
        <w:spacing w:after="0" w:line="13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C3 AI and AWS </w:t>
      </w:r>
      <w:r>
        <w:rPr>
          <w:rFonts w:ascii="Times New Roman" w:cs="Times New Roman" w:eastAsia="Times New Roman" w:hAnsi="Times New Roman"/>
          <w:sz w:val="18"/>
          <w:szCs w:val="18"/>
          <w:color w:val="auto"/>
        </w:rPr>
        <w:t>maintain a multi-year strategic collaboration agreement focused on accelerating Enterprise AI solution delivery and expanding go-to-market efforts across a variety of industries.</w:t>
      </w:r>
    </w:p>
    <w:p>
      <w:pPr>
        <w:spacing w:after="0" w:line="10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C3 AI and Google Cloud </w:t>
      </w:r>
      <w:r>
        <w:rPr>
          <w:rFonts w:ascii="Times New Roman" w:cs="Times New Roman" w:eastAsia="Times New Roman" w:hAnsi="Times New Roman"/>
          <w:sz w:val="18"/>
          <w:szCs w:val="18"/>
          <w:color w:val="auto"/>
        </w:rPr>
        <w:t>maintain a global partnership that encompasses joint selling activities and integration between C3 AI Applications and Google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Cloud services. All C3 AI Applications have been optimized to run in the Google Cloud Platform environment and are available in the Google Cloud Marketplace.</w:t>
      </w:r>
    </w:p>
    <w:p>
      <w:pPr>
        <w:spacing w:after="0" w:line="12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C3 AI and McKinsey &amp; Company </w:t>
      </w:r>
      <w:r>
        <w:rPr>
          <w:rFonts w:ascii="Times New Roman" w:cs="Times New Roman" w:eastAsia="Times New Roman" w:hAnsi="Times New Roman"/>
          <w:sz w:val="18"/>
          <w:szCs w:val="18"/>
          <w:color w:val="auto"/>
        </w:rPr>
        <w:t>maintain a strategic collaboration to accelerate Enterprise AI transformations at scale. The alliance combines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McKinsey's AI practice, QuantumBlack, with C3 AI's Enterprise AI software to help clients realize operational improvements and unlock new growth opportunities through agentic AI.</w:t>
      </w:r>
    </w:p>
    <w:p>
      <w:pPr>
        <w:spacing w:after="0" w:line="12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C3 AI and Booz Allen </w:t>
      </w:r>
      <w:r>
        <w:rPr>
          <w:rFonts w:ascii="Times New Roman" w:cs="Times New Roman" w:eastAsia="Times New Roman" w:hAnsi="Times New Roman"/>
          <w:sz w:val="18"/>
          <w:szCs w:val="18"/>
          <w:color w:val="auto"/>
        </w:rPr>
        <w:t>maintain a strategic partnership focused on delivering AI solutions to the government, defense, and intelligence sectors.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jointly go to market with the C3 Agentic AI Platform and suite of pre-built C3 AI Applications, and have closed multiple engagements with the Department of War's Chief Digital and Artificial Intelligence Office and other federal organizations.</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C3 AI and Baker Hughes </w:t>
      </w:r>
      <w:r>
        <w:rPr>
          <w:rFonts w:ascii="Times New Roman" w:cs="Times New Roman" w:eastAsia="Times New Roman" w:hAnsi="Times New Roman"/>
          <w:sz w:val="18"/>
          <w:szCs w:val="18"/>
          <w:color w:val="auto"/>
        </w:rPr>
        <w:t>maintain a multi-year strategic partnership under which Baker Hughes serves as reseller of C3 AI software in the oil and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and a non-exclusive reseller in other industries. The partnership was most recently renewed and expanded in April 2025, reinforcing joint co-selling efforts, co-investment in AI solutions, and scaled deployments focused on improving production efficiency, reducing downtime, and increasing operational visibility across assets.</w:t>
      </w:r>
    </w:p>
    <w:p>
      <w:pPr>
        <w:spacing w:after="0" w:line="12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C3 AI and Fractal </w:t>
      </w:r>
      <w:r>
        <w:rPr>
          <w:rFonts w:ascii="Times New Roman" w:cs="Times New Roman" w:eastAsia="Times New Roman" w:hAnsi="Times New Roman"/>
          <w:sz w:val="18"/>
          <w:szCs w:val="18"/>
          <w:color w:val="auto"/>
        </w:rPr>
        <w:t>maintain a services and go-to-market partnership encompassing customer service engagements, co-marketing, and co-selling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Fractal has committed to building a dedicated C3 AI practice of trained engineers and data scientists. The partnership was most recently extended in April 2026, continuing joint efforts to implement, extend, and scale C3 AI solutions for customers.</w:t>
      </w:r>
    </w:p>
    <w:p>
      <w:pPr>
        <w:spacing w:after="0" w:line="12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C3 AI and Cathexis </w:t>
      </w:r>
      <w:r>
        <w:rPr>
          <w:rFonts w:ascii="Times New Roman" w:cs="Times New Roman" w:eastAsia="Times New Roman" w:hAnsi="Times New Roman"/>
          <w:sz w:val="18"/>
          <w:szCs w:val="18"/>
          <w:color w:val="auto"/>
        </w:rPr>
        <w:t>maintain a partnership focused on accelerating the delivery of AI applications for the U.S. Intelligence Community,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expanding team of dedicated Cathexis staff supporting joint selling and delivery efforts. The partnership was most recently extended in April 2026, continuing joint efforts to implement, extend, and scale C3 AI solutions for customers.</w:t>
      </w:r>
    </w:p>
    <w:p>
      <w:pPr>
        <w:spacing w:after="0" w:line="12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C3 AI and Capgemini </w:t>
      </w:r>
      <w:r>
        <w:rPr>
          <w:rFonts w:ascii="Times New Roman" w:cs="Times New Roman" w:eastAsia="Times New Roman" w:hAnsi="Times New Roman"/>
          <w:sz w:val="18"/>
          <w:szCs w:val="18"/>
          <w:color w:val="auto"/>
        </w:rPr>
        <w:t>maintain a partnership under which Capgemini has established a dedicated global C3 AI practice to deliver scalable Enterprise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for joint clients across industries.</w:t>
      </w:r>
    </w:p>
    <w:p>
      <w:pPr>
        <w:spacing w:after="0" w:line="10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C3 AI and PwC </w:t>
      </w:r>
      <w:r>
        <w:rPr>
          <w:rFonts w:ascii="Times New Roman" w:cs="Times New Roman" w:eastAsia="Times New Roman" w:hAnsi="Times New Roman"/>
          <w:sz w:val="18"/>
          <w:szCs w:val="18"/>
          <w:color w:val="auto"/>
        </w:rPr>
        <w:t>maintain a strategic alliance to deploy AI-powered business transformation at enterprise scale. The alliance combines PwC's consulting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implementation capabilities with C3 AI's prebuilt AI applications, with an initial focus on manufacturing, energy, and financial services.</w:t>
      </w:r>
    </w:p>
    <w:p>
      <w:pPr>
        <w:spacing w:after="0" w:line="10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C3 AI and Cognizant </w:t>
      </w:r>
      <w:r>
        <w:rPr>
          <w:rFonts w:ascii="Times New Roman" w:cs="Times New Roman" w:eastAsia="Times New Roman" w:hAnsi="Times New Roman"/>
          <w:sz w:val="18"/>
          <w:szCs w:val="18"/>
          <w:color w:val="auto"/>
        </w:rPr>
        <w:t>maintain a strategic alliance to deploy and scale Enterprise AI across industries, with an initial focus on healthcare and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Model</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sales organization is organized both geographically and in vertical market sales units that cooperate to sell to and service customers. We have a highly leveraged go-to-market model comprised of a global field sales force combined with significant alliance partnerships. Each of our strategic partners — including Microsoft, AWS, Google Cloud, McKinsey &amp; Company, and Baker Hughes — has a large installed customer base with strong, established relationships, and a large global sales force that vastly extends our market coverage. We form specific sales targets and goals with each partner, enabling us to quickly and efficiently engage in customer accounts.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Early on, we focused on the oil and gas, federal, aerospace and defense, energy and utilities, manufacturing, and financial services sectors, as those industries were early adopters in Enterprise AI. We have since expanded into state and local governments, agriculture and forestry, pharmaceuticals, chemicals, professional services, telecommunications, logistics and transportation, and hospitals and healthcare and are seeing increased industry diversity in our sales pipeline and initial production deployment engagements. Our goal is to rapidly move down-market in the coming years to serve the small and medium business segments of each industry.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revenue consists of software subscription and professional services revenue. The substantial majority of our revenue is generated from subscriptions to our software.</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subscription revenue is primarily comprised of software licenses, software-as-a-service offerings, stand-ready COE support services, initial production deployments of our C3 AI Applications or Generative AI, and runtime and hosting fees. Licensing of our software grants our customers the right to use our software, either on C3-hosted environments, on their own cloud instance or their internal hardware infrastructure, over the contractual term. We offer a premium stand-ready service through our COE. Sales of our software-as-a-service offerings include a right to use our software over the contractual term. Customers may pay a usage-based runtime fee for our C3 AI Software for specified levels of capacity. Our subscriptions also include our maintenance and support services, which include critical and continuous updates to the software that are integral to maintaining the intended utility of the software over the contractual term. We also provide software licenses that do not require maintenance and support services, for which revenue is recognized when the control of the software is transferred to the customer.</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Within subscription revenue, we include revenue from contracts with customers that are based on our consumption-based pricing model. C3 AI generally engages with customers through a paid “Initial Production Deployment” phase of generally up-to six months that may include developer access to the C3 Agentic AI Platform, one or more C3 AI Applications or C3 Generative AI and COE support services with typically unlimited runtime. Following the initial production deployment period, customers either pay a monthly fee and consumption charges using vCPU and vGPU hours as the metric to calculate payment or enter into a time-certain multi-period commitment that may include consumption charges. We also charge the customer any hosting fees incurred by us for hosting in our own cloud instance.</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professional services primarily include prioritized engineering services, paid implementation services, consulting and training. We maintain a professional services organization that offers resources, methodologies, and experience to help customers develop and deploy enterprise-scale AI applications. Our services are complemented by those of our partners. Our professional services strategy is to quickly train our customers to develop, customize, and deploy applications independently of us, rapidly making them self-sufficient.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Prioritized engineering services are undertaken at the request of customers to accelerate the development of software features in C3 AI Software products.</w:t>
      </w:r>
    </w:p>
    <w:p>
      <w:pPr>
        <w:spacing w:after="0" w:line="17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C3 AI consulting and implementation services help ensure successful customer outcomes throughout the application development and deployment phases, including setup and configuration, ML model development and tuning, and integration of multiple complex source systems.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instances where a large or continuing professional services presence may be desired or necessary, we generally rely upon our partner ecosystem to provide those services. This enables us to maintain high gross margins and allows us the flexibility to rapidly deploy trained professional services personnel at large scale throughout the world.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Our multichannel marketing function is focused on market education, thought leadership, account-based marketing, and demand generation. We engage the market through digital, print, and social media, virtual and physical events, including C3 Transform, our annual international user, executive, and AI thought leadership conference, and other livestreamed events featuring C3 AI customers, C3 AI partners, and C3 AI experts in AI, ML, and data science. Our Chief Executive Officer and Chairman, Tom Siebel — a recognized technology thought leader and author of the 2019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best seller, </w:t>
      </w:r>
      <w:r>
        <w:rPr>
          <w:rFonts w:ascii="Times New Roman" w:cs="Times New Roman" w:eastAsia="Times New Roman" w:hAnsi="Times New Roman"/>
          <w:sz w:val="18"/>
          <w:szCs w:val="18"/>
          <w:i w:val="1"/>
          <w:iCs w:val="1"/>
          <w:color w:val="auto"/>
        </w:rPr>
        <w:t>Digital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Transformation: Survive and Thrive in an Era of Mass Extinction </w:t>
      </w:r>
      <w:r>
        <w:rPr>
          <w:rFonts w:ascii="Times New Roman" w:cs="Times New Roman" w:eastAsia="Times New Roman" w:hAnsi="Times New Roman"/>
          <w:sz w:val="18"/>
          <w:szCs w:val="18"/>
          <w:color w:val="auto"/>
        </w:rPr>
        <w:t>—has been a frequent industry keynote speaker and is often interviewed by leading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t>
      </w:r>
      <w:r>
        <w:rPr>
          <w:rFonts w:ascii="Times New Roman" w:cs="Times New Roman" w:eastAsia="Times New Roman" w:hAnsi="Times New Roman"/>
          <w:sz w:val="18"/>
          <w:szCs w:val="18"/>
          <w:i w:val="1"/>
          <w:iCs w:val="1"/>
          <w:color w:val="auto"/>
        </w:rPr>
        <w:t>The Wall Street Journal, The Financial Times, The Economist, Fortune, Forbes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CNBC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BloombergTV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Yahoo! Finance</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 Human Capital</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strongest asset is unquestionably the human capital that we have been able to attract, retain, and motivate. We attract exceptionally talented, highly educated, experienced, motivated employees.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built a culture of high performance based on four core values:</w:t>
      </w:r>
    </w:p>
    <w:p>
      <w:pPr>
        <w:spacing w:after="0" w:line="162" w:lineRule="exact"/>
        <w:rPr>
          <w:sz w:val="20"/>
          <w:szCs w:val="20"/>
          <w:color w:val="auto"/>
        </w:rPr>
      </w:pPr>
    </w:p>
    <w:p>
      <w:pPr>
        <w:ind w:left="640" w:hanging="316"/>
        <w:spacing w:after="0" w:line="27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and Innovation Propelling Growth. </w:t>
      </w:r>
      <w:r>
        <w:rPr>
          <w:rFonts w:ascii="Times New Roman" w:cs="Times New Roman" w:eastAsia="Times New Roman" w:hAnsi="Times New Roman"/>
          <w:sz w:val="18"/>
          <w:szCs w:val="18"/>
          <w:color w:val="auto"/>
        </w:rPr>
        <w:t>We self-select for people who love to work hard, think with rigor, speak with purpose, and act to achieve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 things.</w:t>
      </w:r>
    </w:p>
    <w:p>
      <w:pPr>
        <w:spacing w:after="0" w:line="10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Natural Curiosity to Solve the Impossible. </w:t>
      </w:r>
      <w:r>
        <w:rPr>
          <w:rFonts w:ascii="Times New Roman" w:cs="Times New Roman" w:eastAsia="Times New Roman" w:hAnsi="Times New Roman"/>
          <w:sz w:val="18"/>
          <w:szCs w:val="18"/>
          <w:color w:val="auto"/>
        </w:rPr>
        <w:t>We are self-learners, always seeking knowledge to accelerate innovation.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Professional Integrity Governing All Endeavors. </w:t>
      </w:r>
      <w:r>
        <w:rPr>
          <w:rFonts w:ascii="Times New Roman" w:cs="Times New Roman" w:eastAsia="Times New Roman" w:hAnsi="Times New Roman"/>
          <w:sz w:val="18"/>
          <w:szCs w:val="18"/>
          <w:color w:val="auto"/>
        </w:rPr>
        <w:t>We comport ourselves with unwavering ethical integrity, respect, and courtesy.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Collective Intelligence. </w:t>
      </w:r>
      <w:r>
        <w:rPr>
          <w:rFonts w:ascii="Times New Roman" w:cs="Times New Roman" w:eastAsia="Times New Roman" w:hAnsi="Times New Roman"/>
          <w:sz w:val="18"/>
          <w:szCs w:val="18"/>
          <w:color w:val="auto"/>
        </w:rPr>
        <w:t>We believe the unity of our team is substantially greater than the sum of its parts.</w:t>
      </w:r>
    </w:p>
    <w:p>
      <w:pPr>
        <w:spacing w:after="0" w:line="166" w:lineRule="exact"/>
        <w:rPr>
          <w:sz w:val="20"/>
          <w:szCs w:val="20"/>
          <w:color w:val="auto"/>
        </w:rPr>
      </w:pPr>
    </w:p>
    <w:p>
      <w:pPr>
        <w:ind w:right="1760" w:firstLine="318"/>
        <w:spacing w:after="0" w:line="430" w:lineRule="auto"/>
        <w:rPr>
          <w:sz w:val="20"/>
          <w:szCs w:val="20"/>
          <w:color w:val="auto"/>
        </w:rPr>
      </w:pPr>
      <w:r>
        <w:rPr>
          <w:rFonts w:ascii="Times New Roman" w:cs="Times New Roman" w:eastAsia="Times New Roman" w:hAnsi="Times New Roman"/>
          <w:sz w:val="18"/>
          <w:szCs w:val="18"/>
          <w:color w:val="auto"/>
        </w:rPr>
        <w:t xml:space="preserve">As of April 30, 2026, we had 764 full-time employees, with 582 based in the United States and 182 in our international locations. </w:t>
      </w:r>
      <w:r>
        <w:rPr>
          <w:rFonts w:ascii="Times New Roman" w:cs="Times New Roman" w:eastAsia="Times New Roman" w:hAnsi="Times New Roman"/>
          <w:sz w:val="18"/>
          <w:szCs w:val="18"/>
          <w:b w:val="1"/>
          <w:bCs w:val="1"/>
          <w:color w:val="auto"/>
        </w:rPr>
        <w:t>Our Culture of High Performance</w:t>
      </w: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dedicated to achieving our mission to accelerate digital transformation of organizations globally by enabling the deployment of Enterprise AI at scale. Our people are domain experts in their respective fields. We are individuals with exceptional education and professional backgrounds. We are uncompromising in the quality of our work product. We build relationships with our customers grounded upon the highest levels of business ethics and professionalism, with a laser focus on customer success. We execute with precision.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Recognized Enterprise AI Industry Leadership</w:t>
      </w:r>
    </w:p>
    <w:p>
      <w:pPr>
        <w:spacing w:after="0" w:line="166"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7"/>
          <w:szCs w:val="17"/>
          <w:color w:val="auto"/>
        </w:rPr>
        <w:t>We believe we are broadly recognized as a leader in Enterprise AI with many other industry recognitions, including Verdantix (2025), The Financial Times’ The Americas’ Fastest Growing Companies (2025), and have been named to the Constellation ShortList</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7"/>
          <w:szCs w:val="17"/>
          <w:color w:val="auto"/>
        </w:rPr>
        <w:t xml:space="preserve"> for Cloud-Based Data Science &amp; Machine Learning Platforms (2025), the Constellation ShortList</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7"/>
          <w:szCs w:val="17"/>
          <w:color w:val="auto"/>
        </w:rPr>
        <w:t xml:space="preserve"> for Cloud-Based Data Science &amp; Machine Learning Platforms (2024), Constellation ShortList™ for Artificial Intelligence &amp; Machine Learning Cloud Platforms (2024), Constellation ShortList™ for Artificial Intelligence &amp; Machine Learning best-of-Breed Platforms (2024), a Leader in the Forrester Wave</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7"/>
          <w:szCs w:val="17"/>
          <w:color w:val="auto"/>
        </w:rPr>
        <w:t>: AI/ML Platforms (2024), Fortune 50 AI Innovators (2023), IDC MarketScape: Solutions for Industrial Platforms and Applications in Energy (2021) CNBC Disruptor 50 (2020), BloombergNEF Pioneer (2020), and Forbes Cloud 100 (2020).</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Sustainable Competitive Advantage: C3 AI Model-Driven Architecture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core technology is a cohesive family of integrated software services developed over a decade, engineered with a proprietary model-driven architecture, that provides all the software services and microservices necessary and sufficient to rapidly develop and deploy Enterprise AI applications.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AI applications developed with the C3 Agentic AI Platform can leverage any open-source software solutions and all of the cloud services of AWS, Microsoft Azure, Google Cloud, and can operate on any of these cloud platforms, on-premises, or in a hybrid cloud.</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Compared to the structured programming approach that most organizations typically attempt, our model-driven architecture with declarative programming accelerates development by a factor of 26, while reducing the amount of code that must be written by up to 99%.</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big data and application demands of enterprise-scale AI applications require numerous underlying interdependent elements. These include enterprise data, extraprise data, sensor data, data persistence services, data streaming services, messaging services, analytics services, ML services, security services, data visualization, application development services, application monitoring services, and scores to hundreds more. With a traditional structured programming approach, developers spend significant time and effort to write extensive code to define, manage, connect, and control each element. This often results in overwhelming complexity and highly brittle applications that can break any time an underlying element is changed or updated — we believe this is a primary reason why the vast majority of AI efforts have not been deployed into production at enterprise scale.</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By contrast, our model-driven architecture provides an abstraction layer, that allows our partners and our customers, as well as our internal C3 AI developers, to build or customize Enterprise AI applications by using conceptual models of all the elements an application requires. C3 AI provides a library of tens of thousands of prebuilt conceptual models that can be easily modified and extended, and developers can efficiently create their own models as well. These prebuilt, extensible models encompass a vast range of business objects (e.g., customer, order, contract), physical systems and subsystems (e.g., engine, boiler, chiller, compressor), computing resources and services (e.g., database, stream processing) — virtually anything an application requires can be represented as a model in our model-driven architecture. To ensure ongoing operability of our thousands of prebuilt and extensible models on different underlying infrastructure (e.g., AWS, Google Cloud, Microsoft Azure), our automated testing continuously executes approximately 60,000 tests and security scans with each change or update we make to our software or infrastructure.</w:t>
      </w:r>
    </w:p>
    <w:p>
      <w:pPr>
        <w:spacing w:after="0" w:line="13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Leveraging this model-driven architecture, application developers and data scientists can focus on delivering immediate value, without the need to manage the complex interdependencies of the underlying elements. These conceptual models can be reused by many applications, thereby accelerating development of new applications.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our model-driven architecture and declarative programming approach provides significant competitive advantage both by enabling our customers and partners to successfully develop and deploy Enterprise AI applications faster, and by providing the foundation for C3 AI to rapidly extend our portfolio of cross-industry and industry-specific applications.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significance of this architectural advantage is best understood against the backdrop of how enterprise computing has evolved. Over the last four decades, the IT industry has transitioned from mainframe computing to handheld computing. The software industry has transitioned from custom applications based on mainframe standards to applications developed on a relational database foundation, to enterprise application software, to SaaS and mobile apps, and now to the agentic AI-enabled enterprise, in which autonomous AI agents increasingly initiate and execute work across the organization.</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challenges that must be addressed to enable today’s Enterprise AI applications are nontrivial, as are the array of capabilities and services necessary for building and operating these applications at scale. To develop an effective Enterprise AI application, it is necessary to ingest and aggregate data from a variety of enterprise information systems, sensors, markets, and products to provide a complete view of the enterprise. In addition, the data need to be processed at the rate they arrive, in a highly secure and resilient system that addresses persistence, event processing, ML, and visualization. This requires a massive, horizontally scalable elastic distributed processing capability offered only by modern cloud platforms and supercomputer systems. The resultant data persistence requirements are staggering.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understand this challenge, consider just a few of the requirements needed to support Enterprise AI applications:</w:t>
      </w:r>
    </w:p>
    <w:p>
      <w:pPr>
        <w:spacing w:after="0" w:line="162"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Data Integration</w:t>
      </w:r>
      <w:r>
        <w:rPr>
          <w:rFonts w:ascii="Times New Roman" w:cs="Times New Roman" w:eastAsia="Times New Roman" w:hAnsi="Times New Roman"/>
          <w:sz w:val="17"/>
          <w:szCs w:val="17"/>
          <w:color w:val="auto"/>
        </w:rPr>
        <w:t>. A prerequisite to AI at industrial scale is the availability of a unified, federated image of all the data contained in the multitude of</w:t>
      </w:r>
    </w:p>
    <w:p>
      <w:pPr>
        <w:spacing w:after="0" w:line="37" w:lineRule="exact"/>
        <w:rPr>
          <w:rFonts w:ascii="Times New Roman" w:cs="Times New Roman" w:eastAsia="Times New Roman" w:hAnsi="Times New Roman"/>
          <w:sz w:val="17"/>
          <w:szCs w:val="17"/>
          <w:color w:val="auto"/>
        </w:rPr>
      </w:pPr>
    </w:p>
    <w:p>
      <w:pPr>
        <w:ind w:left="640" w:firstLine="2"/>
        <w:spacing w:after="0" w:line="251" w:lineRule="auto"/>
        <w:tabs>
          <w:tab w:leader="none" w:pos="90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data, including enterprise information systems (e.g., ERP, CRM, SCADA, HR, MRP) and sensor IoT networks; and (2) external data, including weather, terrain, satellite imagery, social media, trade data, biometrics, pricing, and market data.</w:t>
      </w:r>
    </w:p>
    <w:p>
      <w:pPr>
        <w:spacing w:after="0" w:line="128"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Persistence</w:t>
      </w:r>
      <w:r>
        <w:rPr>
          <w:rFonts w:ascii="Times New Roman" w:cs="Times New Roman" w:eastAsia="Times New Roman" w:hAnsi="Times New Roman"/>
          <w:sz w:val="18"/>
          <w:szCs w:val="18"/>
          <w:color w:val="auto"/>
        </w:rPr>
        <w:t>. The data aggregated and processed includes every type of structured and unstructured data imaginable, including personally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information, images, text, video, telemetry, voice, and network topologies. As there is no one size fits all database optimized for all these data types, there is a need for a multiple database technologies.</w:t>
      </w:r>
    </w:p>
    <w:p>
      <w:pPr>
        <w:spacing w:after="0" w:line="119" w:lineRule="exact"/>
        <w:rPr>
          <w:rFonts w:ascii="Times New Roman" w:cs="Times New Roman" w:eastAsia="Times New Roman" w:hAnsi="Times New Roman"/>
          <w:sz w:val="18"/>
          <w:szCs w:val="18"/>
          <w:color w:val="auto"/>
        </w:rPr>
      </w:pPr>
    </w:p>
    <w:p>
      <w:pPr>
        <w:jc w:val="both"/>
        <w:ind w:left="640" w:hanging="316"/>
        <w:spacing w:after="0" w:line="283"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Platform Services</w:t>
      </w:r>
      <w:r>
        <w:rPr>
          <w:rFonts w:ascii="Times New Roman" w:cs="Times New Roman" w:eastAsia="Times New Roman" w:hAnsi="Times New Roman"/>
          <w:sz w:val="17"/>
          <w:szCs w:val="17"/>
          <w:color w:val="auto"/>
        </w:rPr>
        <w:t>. A myriad of sophisticated platform services are necessary for any Enterprise AI or IoT application. Examples include access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data encryption in motion, encryption at rest, ETL, queuing, pipeline management, autoscaling, multitenancy, authentication, authorization, cybersecurity, time-series services, normalization, data privacy, GDPR privacy compliance, NERC-CIP compliance, and SOC2 compliance.</w:t>
      </w:r>
    </w:p>
    <w:p>
      <w:pPr>
        <w:spacing w:after="0" w:line="103" w:lineRule="exact"/>
        <w:rPr>
          <w:rFonts w:ascii="Times New Roman" w:cs="Times New Roman" w:eastAsia="Times New Roman" w:hAnsi="Times New Roman"/>
          <w:sz w:val="17"/>
          <w:szCs w:val="17"/>
          <w:color w:val="auto"/>
        </w:rPr>
      </w:pPr>
    </w:p>
    <w:p>
      <w:pPr>
        <w:jc w:val="both"/>
        <w:ind w:left="640" w:hanging="316"/>
        <w:spacing w:after="0" w:line="26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Analytics Processing</w:t>
      </w:r>
      <w:r>
        <w:rPr>
          <w:rFonts w:ascii="Times New Roman" w:cs="Times New Roman" w:eastAsia="Times New Roman" w:hAnsi="Times New Roman"/>
          <w:sz w:val="18"/>
          <w:szCs w:val="18"/>
          <w:color w:val="auto"/>
        </w:rPr>
        <w:t>. The volumes and velocity of data acquisition in such systems are blinding and the types of data and analytics requirements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highly divergent, requiring a range of analytics processing services. These include continuous analytics processing, MapReduce, batch processing, stream processing, and recursive processing.</w:t>
      </w:r>
    </w:p>
    <w:p>
      <w:pPr>
        <w:spacing w:after="0" w:line="119"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Machine Learning Services</w:t>
      </w:r>
      <w:r>
        <w:rPr>
          <w:rFonts w:ascii="Times New Roman" w:cs="Times New Roman" w:eastAsia="Times New Roman" w:hAnsi="Times New Roman"/>
          <w:sz w:val="18"/>
          <w:szCs w:val="18"/>
          <w:color w:val="auto"/>
        </w:rPr>
        <w:t>. The whole point of these systems is to enable data scientists to develop and deploy ML models. There is a range of tools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to enable that, including Jupyter Notebooks, R Studio, Azure ML, Amazon Sagemaker, and Google Vertex AI. Increasingly important is an extensible curation of ML libraries such as PyTorch, TensorFlow, Keras, Hugging Face transformers, and XGBoost. An effective AI and IoT platform needs to support them all.</w:t>
      </w:r>
    </w:p>
    <w:p>
      <w:pPr>
        <w:spacing w:after="0" w:line="123"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Visualization Tools</w:t>
      </w:r>
      <w:r>
        <w:rPr>
          <w:rFonts w:ascii="Times New Roman" w:cs="Times New Roman" w:eastAsia="Times New Roman" w:hAnsi="Times New Roman"/>
          <w:sz w:val="18"/>
          <w:szCs w:val="18"/>
          <w:color w:val="auto"/>
        </w:rPr>
        <w:t>. Any viable AI architecture needs to enable a rich and varied set of data visualization tools including Microsoft Power 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Google Data Studio, Looker, Tableau, and others.</w:t>
      </w:r>
    </w:p>
    <w:p>
      <w:pPr>
        <w:spacing w:after="0" w:line="106" w:lineRule="exact"/>
        <w:rPr>
          <w:rFonts w:ascii="Times New Roman" w:cs="Times New Roman" w:eastAsia="Times New Roman" w:hAnsi="Times New Roman"/>
          <w:sz w:val="18"/>
          <w:szCs w:val="18"/>
          <w:color w:val="auto"/>
        </w:rPr>
      </w:pPr>
    </w:p>
    <w:p>
      <w:pPr>
        <w:jc w:val="both"/>
        <w:ind w:left="640" w:hanging="316"/>
        <w:spacing w:after="0" w:line="283"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Developer Tools and UI Frameworks. </w:t>
      </w:r>
      <w:r>
        <w:rPr>
          <w:rFonts w:ascii="Times New Roman" w:cs="Times New Roman" w:eastAsia="Times New Roman" w:hAnsi="Times New Roman"/>
          <w:sz w:val="17"/>
          <w:szCs w:val="17"/>
          <w:color w:val="auto"/>
        </w:rPr>
        <w:t>An organization’s IT development and data science teams each have adopted and become comfortable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set of application development frameworks and user interface development tools. An AI and IoT platform must support all of these tools — including Visual Studio, Jupyter Lab, JetBrains IDEs, React, Angular, and VueJS — or it will be rejected as unusable by the IT development teams.</w:t>
      </w:r>
    </w:p>
    <w:p>
      <w:pPr>
        <w:spacing w:after="0" w:line="103" w:lineRule="exact"/>
        <w:rPr>
          <w:rFonts w:ascii="Times New Roman" w:cs="Times New Roman" w:eastAsia="Times New Roman" w:hAnsi="Times New Roman"/>
          <w:sz w:val="17"/>
          <w:szCs w:val="17"/>
          <w:color w:val="auto"/>
        </w:rPr>
      </w:pPr>
    </w:p>
    <w:p>
      <w:pPr>
        <w:jc w:val="both"/>
        <w:ind w:left="640" w:hanging="316"/>
        <w:spacing w:after="0" w:line="275"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Open, Extensible, Future-Proof. </w:t>
      </w:r>
      <w:r>
        <w:rPr>
          <w:rFonts w:ascii="Times New Roman" w:cs="Times New Roman" w:eastAsia="Times New Roman" w:hAnsi="Times New Roman"/>
          <w:sz w:val="17"/>
          <w:szCs w:val="17"/>
          <w:color w:val="auto"/>
        </w:rPr>
        <w:t>The current pace of software and algorithm innovation is accelerating. An AI and IoT platform architecture must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 the capability to replace any components with next-generation improvements; in the era of generative AI, that means the constant stream of newly released and ever-more-powerful LLMs. Moreover, the platform must enable the incorporation of any new open source or proprietary software innovations without adversely affecting the functionality or performance of an organization’s existing applications. This is a level-zero requirement.</w:t>
      </w:r>
    </w:p>
    <w:p>
      <w:pPr>
        <w:spacing w:after="0" w:line="113"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The C3 Agentic AI Platform — built with model-driven architecture — has been refined, tested, and proven in some of the most demanding industries and production environments from electric utilities and manufacturing to oil and gas and defense, comprising petabyte-scale datasets from thousands of vastly disparate source systems, massive volumes of high-frequency time series data from millions of devices, and hundreds of thousands of ML models.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Competitive IP Advantage</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enjoy a rich patent portfolio that is a substantial competitive advantage, both offensive and defensive, in the Enterprise AI market - most notably, U.S. patents (No. 10,817,530, No. 10,824,634 and No. 11,954,112) which were granted for systems and methods for data processing and enterprise AI applications. C3 AI was also awarded a foundational U.S. patent (US 12,111,859) for generative AI agents. Key patented technologies include AI Orchestrator, Autonomy, Multimodal Model Integration, Natural Language Summarization, and Traceability and Security.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patent portfolio covers the key capabilities of our model-driven architecture that are the foundation of our highly differentiated technology. This includes methods, systems, and devices for data aggregation and unification, times-series data processing, data abstraction, ML implementation, generative AI and much more.</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April 30, 2026, our technology is currently protected by a broad patent portfolio, with 33 issued patents in the United States, 30 issued counterpart patents in a number of international jurisdictions, over 31 patent applications pending in the United States, and 74 patent applications pending internationally. Our issued patents expire beginning in 2031 through 2043. We continually review our development efforts to assess the existence and patentability of new intellectual property.</w:t>
      </w:r>
    </w:p>
    <w:p>
      <w:pPr>
        <w:spacing w:after="0" w:line="12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Intellectual property is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However, we believe that factors such as the technological and creative skills of our personnel, creation of new services, features and functionality, and frequent enhancements to our platform are more essential to establishing and maintaining our technology leadership position. See the section titled “Risk Factors - Risks Related to Our Intellectual Property” in Part I, Item 1A in this Annual Report on Form 10-K for a discussion of the risks associated with our intellectual property.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Awash in “AI Platforms”</w:t>
      </w:r>
    </w:p>
    <w:p>
      <w:pPr>
        <w:spacing w:after="0" w:line="16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Today the market is awash in AI solutions that provide component parts to design, develop, provision, and operate Enterprise AI applications, including Cassandra, Cloudera, DataStax, AWS IoT, and Hadoop. AWS, Microsoft Azure, and Google Cloud each offer an elastic cloud computing platform and an increasingly innovative library of microservices that can be used for data aggregation, ETL, queuing, data streaming, MapReduce, continuous analytics processing, ML services, and data visualization. An array of open-source software offerings cater to data management, machine learning services, and analytics. While these products are useful, we believe that none offers the scope of utility necessary and sufficient to rapidly design, develop and deploy Enterprise AI applications, nor the model-driven agentic foundation required to orchestrate and operate autonomous AI agents at enterprise scale.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It Yourself” Enterprise AI?</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Early in any software innovation cycle, companies often try to build the new technology themselves. As with the introduction of ERP and CRM software in prior cycles, many IT organizations first attempt to internally develop a general-purpose Enterprise AI and IoT platform, using open source software combined with microservices from cloud providers like AWS and Google Cloud.</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organization then assembles hundreds to thousands of programmers, often distributed worldwide, who use structured programming and APIs to stitch these disparate programs, data sources, sensors, ML models, development tools, and user interfaces into a unified platform for building and deploying enterprise-scale AI and IoT applications.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complexity of such a system is much greater than developing a CRM or ERP system. There are a number of problems with this approach:</w:t>
      </w:r>
    </w:p>
    <w:p>
      <w:pPr>
        <w:spacing w:after="0" w:line="162" w:lineRule="exact"/>
        <w:rPr>
          <w:sz w:val="20"/>
          <w:szCs w:val="20"/>
          <w:color w:val="auto"/>
        </w:rPr>
      </w:pPr>
    </w:p>
    <w:p>
      <w:pPr>
        <w:jc w:val="both"/>
        <w:ind w:left="640" w:hanging="316"/>
        <w:spacing w:after="0" w:line="236"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Complexity. </w:t>
      </w:r>
      <w:r>
        <w:rPr>
          <w:rFonts w:ascii="Times New Roman" w:cs="Times New Roman" w:eastAsia="Times New Roman" w:hAnsi="Times New Roman"/>
          <w:sz w:val="18"/>
          <w:szCs w:val="18"/>
          <w:color w:val="auto"/>
        </w:rPr>
        <w:t>Using structured programming, the number of software API connections that one needs to establish, harden, test, and verify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system can, in our estimation, approach the order of 10</w:t>
      </w:r>
      <w:r>
        <w:rPr>
          <w:rFonts w:ascii="Times New Roman" w:cs="Times New Roman" w:eastAsia="Times New Roman" w:hAnsi="Times New Roman"/>
          <w:sz w:val="22"/>
          <w:szCs w:val="22"/>
          <w:color w:val="auto"/>
          <w:vertAlign w:val="superscript"/>
        </w:rPr>
        <w:t>13</w:t>
      </w:r>
      <w:r>
        <w:rPr>
          <w:rFonts w:ascii="Times New Roman" w:cs="Times New Roman" w:eastAsia="Times New Roman" w:hAnsi="Times New Roman"/>
          <w:sz w:val="18"/>
          <w:szCs w:val="18"/>
          <w:color w:val="auto"/>
        </w:rPr>
        <w:t>. The developers of the system need to individually and collectively grasp that level of complexity to get it to work.</w:t>
      </w:r>
    </w:p>
    <w:p>
      <w:pPr>
        <w:spacing w:after="0" w:line="141" w:lineRule="exact"/>
        <w:rPr>
          <w:rFonts w:ascii="Times New Roman" w:cs="Times New Roman" w:eastAsia="Times New Roman" w:hAnsi="Times New Roman"/>
          <w:sz w:val="18"/>
          <w:szCs w:val="18"/>
          <w:color w:val="auto"/>
        </w:rPr>
      </w:pPr>
    </w:p>
    <w:p>
      <w:pPr>
        <w:jc w:val="both"/>
        <w:ind w:left="6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number of programmers capable of dealing with that level of complexity is quite small. Aside from the platform developers, the application developers and data scientists also need to understand the complexity of the architecture and all the underlying data and process dependencies in order to develop any application.</w:t>
      </w:r>
    </w:p>
    <w:p>
      <w:pPr>
        <w:spacing w:after="0" w:line="122"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Brittleness</w:t>
      </w:r>
      <w:r>
        <w:rPr>
          <w:rFonts w:ascii="Times New Roman" w:cs="Times New Roman" w:eastAsia="Times New Roman" w:hAnsi="Times New Roman"/>
          <w:sz w:val="18"/>
          <w:szCs w:val="18"/>
          <w:color w:val="auto"/>
        </w:rPr>
        <w:t>. Spaghetti-code applications of this nature are highly dependent upon each and every component working properly. If one developer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introduces a bug into any one of the open source components, all applications developed with that platform may cease to function.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640" w:hanging="316"/>
        <w:spacing w:after="0" w:line="261"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Proof</w:t>
      </w:r>
      <w:r>
        <w:rPr>
          <w:rFonts w:ascii="Times New Roman" w:cs="Times New Roman" w:eastAsia="Times New Roman" w:hAnsi="Times New Roman"/>
          <w:sz w:val="18"/>
          <w:szCs w:val="18"/>
          <w:color w:val="auto"/>
        </w:rPr>
        <w:t>. As new libraries, faster databases, and new ML techniques become available, those new utilities need to be available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Consequently, every application that was built on the platform will likely need to be reprogrammed in order to function correctly. This may take months to years.</w:t>
      </w:r>
    </w:p>
    <w:p>
      <w:pPr>
        <w:spacing w:after="0" w:line="119"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Integration. </w:t>
      </w:r>
      <w:r>
        <w:rPr>
          <w:rFonts w:ascii="Times New Roman" w:cs="Times New Roman" w:eastAsia="Times New Roman" w:hAnsi="Times New Roman"/>
          <w:sz w:val="18"/>
          <w:szCs w:val="18"/>
          <w:color w:val="auto"/>
        </w:rPr>
        <w:t>An integrated, federated common object data model is essential, yet a structured, API-driven approach can require hundreds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person-years to build one for a large corporation. This is the primary reason tens to hundreds of millions of dollars are spent and, years later, no applications are deployed — a pattern of failure common across the Fortune 500.</w:t>
      </w:r>
    </w:p>
    <w:p>
      <w:pPr>
        <w:spacing w:after="0" w:line="121" w:lineRule="exact"/>
        <w:rPr>
          <w:rFonts w:ascii="Times New Roman" w:cs="Times New Roman" w:eastAsia="Times New Roman" w:hAnsi="Times New Roman"/>
          <w:sz w:val="18"/>
          <w:szCs w:val="18"/>
          <w:color w:val="auto"/>
        </w:rPr>
      </w:pPr>
    </w:p>
    <w:p>
      <w:pPr>
        <w:jc w:val="both"/>
        <w:ind w:left="6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challenges only multiply in the agentic era, where building and operating autonomous AI agents adds orchestration, governance, and traceability demands that a do-it-yourself architecture cannot sustain. Data security compounds the difficulty: enterprise-grade access control, encryption, data isolation, and compliance controls must be applied consistently across every component, yet in a do-it-yourself architecture they are bolted on after the fact and only as strong as the weakest integration — a risk magnified as autonomous agents act on sensitive data with limited human oversight.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C3 Agentic AI Platform: Model-Driven Architecture</w:t>
      </w:r>
    </w:p>
    <w:p>
      <w:pPr>
        <w:spacing w:after="0" w:line="163"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Model-driven architecture emerged in the early 21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century in response to the growing complexity of enterprise application development. Although structured programming remains the state of the art for many applications, it breaks down at the complexity and scale of modern Enterprise AI and IoT applications. The C3 Agentic AI Platform is designed and built with a model-driven architecture to overcome that limitation.</w:t>
      </w:r>
    </w:p>
    <w:p>
      <w:pPr>
        <w:spacing w:after="0" w:line="14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Central to the architecture is the “model,” an abstraction layer that simplifies the programming problem. Rather than manage the data types, interconnections, and processes associated with a given entity (such as a customer, tractor, doctor, or fuel type), the developer simply addresses that entity’s model, which abstracts all of the underlying data, interrelationships, APIs, associations, and processes used to manipulate it.</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Virtually anything can be represented as a model, including databases, natural language processing engines, and image recognition systems. Models also support inheritance: a “relational database” model can stand in for any relational system such as Oracle, Postgres, Aurora, Spanner, or SQL Server, while a “key-value store” model can incorporate Cassandra, HBase, Cosmos DB, or DynamoDB.</w:t>
      </w:r>
    </w:p>
    <w:p>
      <w:pPr>
        <w:spacing w:after="0" w:line="125" w:lineRule="exact"/>
        <w:rPr>
          <w:sz w:val="20"/>
          <w:szCs w:val="20"/>
          <w:color w:val="auto"/>
        </w:rPr>
      </w:pPr>
    </w:p>
    <w:p>
      <w:pPr>
        <w:jc w:val="both"/>
        <w:ind w:right="140" w:firstLine="318"/>
        <w:spacing w:after="0" w:line="259" w:lineRule="auto"/>
        <w:rPr>
          <w:sz w:val="20"/>
          <w:szCs w:val="20"/>
          <w:color w:val="auto"/>
        </w:rPr>
      </w:pPr>
      <w:r>
        <w:rPr>
          <w:rFonts w:ascii="Times New Roman" w:cs="Times New Roman" w:eastAsia="Times New Roman" w:hAnsi="Times New Roman"/>
          <w:sz w:val="18"/>
          <w:szCs w:val="18"/>
          <w:color w:val="auto"/>
        </w:rPr>
        <w:t>The platform delivers workflow-enabled AI solutions with advanced data fusion, governance, and scalable AI/ML operations. Unlike legacy stacks that bolt on AI capabilities, it has been purpose-built and refined over 15 years to rapidly develop and deploy enterprise-grade AI applications, leveraging the full AI technology stack, including silicon, cloud infrastructure services, and foundation models, for performance and flexibility.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AI Reduces Complexity, Simplifies Development</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Through its model-driven architecture, the C3 Agentic AI Platform provides an abstraction layer and semantics to represent the application, freeing the programmer from data mapping, API syntax, and the mechanics of computational processes such as ETL, queuing, pipeline management, and encryption.</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effective object model uses abstract models as placeholders to which a programmer links an appropriate implementation: a relational database model to Postgres, a report writer model to MicroStrategy, or a data visualization model to Tableau. As new open source or proprietary solutions become available, the object model library can simply be extended to incorporate them.</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model-driven architecture also future-proofs applications built on the platform: its modular design lets new, upgraded, or enhanced services be integrated readily, so organizations can take advantage of improved offerings as they become available.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Independence: Multi-Cloud and Polyglot Cloud Deployment</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Enterprises today often have a multi-cloud strategy. While corporate leaders are eagerly embracing the cloud, they are also very concerned about cloud vendor lock-in. They want to be able to continually negotiate. They want to deploy different applications in clouds from different vendors, and they want to be free to move applications from one cloud vendor to another.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Multi-cloud deployment is therefore an additional requirement of a modern model-driven software platform that is fully supported by the C3 Agentic AI Platform. Applications developed with the C3 Agentic AI Platform can run without modification on any cloud and on bare metal behind the firewall in a hybrid cloud environment.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requirement for the new AI technology stack — that the C3 Agentic AI Platform delivers — is polyglot cloud deployment capability: the ability to mix various services from multiple cloud providers and to easily swap and replace those services. The cloud vendors provide the market a great service by enabling instant access to virtually unlimited horizontally scalable computing capacity and effectively infinite storage capacity at exceptionally low cost. As the cloud vendors aggressively compete with one another on price, the cost of cloud computing and storage is consistently decreasing.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Agentic AI Platform: A Tested, Proven, and Patented AI Suite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model-driven approach to developing Enterprise AI applications using the C3 Agentic AI Platform has been tested and proven in dozens of large-scale, real-world deployments at some of the world’s largest organizations.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platform enables these and other leading organizations to develop and operate Enterprise AI applications at scale, with a fraction of the effort and resources other approaches require. Applications built on it are flexible, easily upgraded, and portable across cloud platforms with little or no modification, future-proofing customers’ investment in Enterprise AI and IoT development.</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C3 AI was the first to file and receive a core patent for Agentic AI and its orchestration in enterprise applications. The platform supports high-accuracy, omni-model agentic capabilities for retrieval, reasoning, and decision-making, including our Dynamic Planning Agent, which performs multi-step data retrieval, reasoning, visualization, and action execution across diverse data types. This orchestration is powered by C3 AI’s metadata-based Object Models, which provide semantic understanding of enterprise data. Once data are integrated into C3 AI Objects, customers can use pre-built agents and tools to interact with, reason over, and act on the data, or integrate their own agents and tools within our framework.</w:t>
      </w:r>
    </w:p>
    <w:p>
      <w:pPr>
        <w:spacing w:after="0" w:line="13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platform is LLM-agnostic and seamlessly supports both commercial and open-source LLMs, offering customers the flexibility to choose models that best meet their needs.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main sources of current and potential competition fall into several categories:</w:t>
      </w:r>
    </w:p>
    <w:p>
      <w:pPr>
        <w:spacing w:after="0" w:line="164"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IT organizations that attempt to develop internal solutions for their enterprises;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enterprise and point solution software providers;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open-source software providers with data management, ML, and analytics offerings;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cloud providers offering discrete tools and micro-services with data management, ML, and analytics functionality;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integrators that develop and provide custom software solutions;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data management product providers; and</w:t>
      </w:r>
    </w:p>
    <w:p>
      <w:pPr>
        <w:spacing w:after="0" w:line="164"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and technology partners who may also offer our competitors’ technology or otherwise partner with them, including our strategic partners who may offer a substantially similar solution based on a competitor’s technology or internally developed technology that is competitive with ours.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primary competition is largely do-it-yourself, company-specific AI platforms built by internal IT organizations, typically by integrating internally developed tools, open source solutions, point solutions from independent software vendors, and components from AWS, Microsoft Azure, or Google Cloud, often managed as professional service projects by firms such as Accenture, Capgemini, Lockheed Martin, Booz Allen Hamilton, among others. These projects are costly and time-consuming, frequently fail, and, when successful, usually take years to realize economic return. Increasingly, these do-it-yourself efforts also incorporate frontier AI coding tools, which generate application code from natural-language descriptions but do not by themselves provide an end-to-end foundation for enterprise-scale Enterprise AI. Most of our customers have tried and failed at one or more such bespoke efforts, sometimes at great expense, before turning to C3 AI.</w:t>
      </w:r>
    </w:p>
    <w:p>
      <w:pPr>
        <w:spacing w:after="0" w:line="134"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We believe no platform is directly competitive with the full end-to-end, model-driven scope of the C3 Agentic AI Platform, although a number of providers offer overlapping capabilities. The offerings formerly positioned as functionally equivalent, GE Predix and IBM Watson, were multibillion-dollar efforts backed by massive promotional campaigns, yet we no longer encounter them in competitive situations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investing in the expansion of our direct enterprise sales and service organization both geographically and across vertical markets to expand the use of C3 AI solutions within existing customers and establish new customer relationships.</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consumption-based pricing model helps us better meet the needs of our customers by making it easier and less costly to adopt our products and services. With the consumption-based pricing model, customers start with initial production deployments which provide developers access to the C3 Agentic AI Platform and C3 AI Applications, together with COE support services, for up to six months. After completing a successful initial production deployment, our customers may continue to license the C3 AI Application and the C3 Agentic AI Platform for a consumption-based fee or enter into a time-certain multi-period commitment that may include consumption charges.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After we help our customers solve their initial use cases, they frequently identify incremental opportunities within their operations and expand their use of our products. The increased engagement is measured by a combination of increased vCPU/vGPU usage, increased C3 AI Software subscriptions and subscriptions to the C3 Agentic AI Platform for in-house AI application development.</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Demand for agentic AI is a key part of our growth strategy. Customers are increasingly adopting the C3 Agentic AI Platform and its agentic capabilities to build and operate autonomous AI agents across their operations, and we are working through a substantial pipeline of related opportunities. Our solutions are available on the Microsoft Azure, AWS, and Google Cloud marketplaces.</w:t>
      </w:r>
    </w:p>
    <w:p>
      <w:pPr>
        <w:spacing w:after="0" w:line="125" w:lineRule="exact"/>
        <w:rPr>
          <w:sz w:val="20"/>
          <w:szCs w:val="20"/>
          <w:color w:val="auto"/>
        </w:rPr>
      </w:pPr>
    </w:p>
    <w:p>
      <w:pPr>
        <w:ind w:right="600" w:firstLine="318"/>
        <w:spacing w:after="0" w:line="304" w:lineRule="auto"/>
        <w:rPr>
          <w:sz w:val="20"/>
          <w:szCs w:val="20"/>
          <w:color w:val="auto"/>
        </w:rPr>
      </w:pPr>
      <w:r>
        <w:rPr>
          <w:rFonts w:ascii="Times New Roman" w:cs="Times New Roman" w:eastAsia="Times New Roman" w:hAnsi="Times New Roman"/>
          <w:sz w:val="17"/>
          <w:szCs w:val="17"/>
          <w:color w:val="auto"/>
        </w:rPr>
        <w:t>We continue to invest heavily in research and development to maintain technology leadership. Our product roadmap includes a wide range of new functions and products to be released in the coming years that we expect to contribute to revenue growth with both new and existing customers.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Evolution of C3 AI</w:t>
      </w:r>
    </w:p>
    <w:p>
      <w:pPr>
        <w:spacing w:after="0" w:line="16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Like many of the world’s leading technology companies, C3 AI has changed and expanded its branding and product portfolios to achieve market leadership.</w:t>
      </w:r>
    </w:p>
    <w:p>
      <w:pPr>
        <w:spacing w:after="0" w:line="11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January of 2009, we founded C3, Inc with the purpose of developing and marketing a software platform and family of software products that would enable companies to exploit the power of elastic cloud computing, big data, IoT, and predictive analytics.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color w:val="auto"/>
        </w:rPr>
        <w:t>When we founded C3 AI, we believed the market for elastic cloud computing, IoT, big data, and predictive analytics software was destined to be large. That proved true. However, in 2009 the market was nascent, and the specific applications and markets were unknown. Based on Forrester’s report on the Public Cloud Market Outlook, in 2008, the global public cloud market was less than $20 billion; in 2023, it was expected to approach $500 billion. In 2008, there were less than 1 billion IoT devices worldwide;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in 2023, that number was expected to exceed 55 billion based on the IDC report published in 2023. In 2008, AI software - as we think about it today - did not exist. This year the AI software market is expected to exceed $450 billion based on the IDC report. We believe that by any standard that constitutes explosive growth.</w:t>
      </w:r>
    </w:p>
    <w:p>
      <w:pPr>
        <w:spacing w:after="0" w:line="141"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color w:val="auto"/>
        </w:rPr>
        <w:t xml:space="preserve">When we consider mega-market developments like the internet, the smartphone, and AI, it is impossible to anticipate </w:t>
      </w:r>
      <w:r>
        <w:rPr>
          <w:rFonts w:ascii="Times New Roman" w:cs="Times New Roman" w:eastAsia="Times New Roman" w:hAnsi="Times New Roman"/>
          <w:sz w:val="17"/>
          <w:szCs w:val="17"/>
          <w:i w:val="1"/>
          <w:iCs w:val="1"/>
          <w:color w:val="auto"/>
        </w:rPr>
        <w:t>a priori</w:t>
      </w:r>
      <w:r>
        <w:rPr>
          <w:rFonts w:ascii="Times New Roman" w:cs="Times New Roman" w:eastAsia="Times New Roman" w:hAnsi="Times New Roman"/>
          <w:sz w:val="17"/>
          <w:szCs w:val="17"/>
          <w:color w:val="auto"/>
        </w:rPr>
        <w:t xml:space="preserve"> exactly how these markets will develop. With the advent of the Mosaic internet browser in 1993, who could have anticipated Amazon and Google? With the founding of Apple Computer Company in 1976, who could have anticipated the iPhone? The Apple Store? Apple TV? iTunes? These mega-markets develop in unanticipated ways.</w:t>
      </w:r>
    </w:p>
    <w:p>
      <w:pPr>
        <w:spacing w:after="0" w:line="10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Enterprise AI is a mega-market event. As this market has developed, C3 AI has expanded its market offerings and continually expanding its market position to address the ever-expanding opportunity.</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C3: 2009 - 2012</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founded C3 in January of 2009 and developed some of the core components of what is now the C3 AI Platform within the first year. There was much discussion and interest in the 2008 – 2011 timeframe about what we now consider sustainability initiatives, including clean tech, energy management, LEED certification, and cap and trade vs. carbon offsets; and as a result, we decided to focus our first use case on energy management. That proved to be a good decision.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2010 we released our first product, C3 Energy Management.</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From 2010 – 2012, we closed several large agreements with a large global industrial company, one of the world’s largest chemical companies, two large utilities, and one of the world’s largest high-tech companies.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C3 Energy: 2013-2015</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2012, C3 engaged McKinsey &amp; Co. to conduct a study and make recommendations for maximizing growth including optimal company positioning and an associated pricing and product strategy. In the first two decades of the 21st century, utility companies were in the process of spending $2 trillion globally to upgrade their grid infrastructures with IoT devices, enabling the advent of the smart grid. Utilities were early adopters of IoT.</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McKinsey analysis recommended that there was a significant opportunity for C3 to expand its business by applying its energy management and energy efficiency solutions to utilities at grid scale in addition to selling to enterprises.</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Adopting the McKinsey recommendations, C3 expanded its market position, rebranded as C3 Energy, and in addition to its prior solutions, C3 Energy offered a family of predictive analytics solutions - which were reliant on emerging AI techniques including machine learning, supervised learning, and unsupervised learning. Built to address the utility value chains of power generation, transmission, distribution, and consumption, these solutions optimize the operation of large and complex power grid infrastructures. The C3 Energy utility software products expanded to include C3 AMI Operations, C3 Revenue Protection, C3 Predictive Analytics, C3 Revenue Production, and C3 Reliability.</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Many customers also licensed our core C3 Platform that they could use to develop their own predictive analytics application and/or to develop derivative works of the C3 Energy applications.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It was during this period that the company formed its data science division to develop and apply AI techniques to our applications including machine learning, predictive analytics, supervised learning, and unsupervised learning.</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this period, the company began to offer its products to the oil and gas industry including its AI Predictive Maintenance application for oil pumps, offshore oil rigs, LNG production facilities, etc. The company continued to offer its products for energy management and energy efficiency to utility companies based on per customer pricing and to enterprises based on expected value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1682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24" w:lineRule="exact"/>
        <w:rPr>
          <w:sz w:val="20"/>
          <w:szCs w:val="20"/>
          <w:color w:val="auto"/>
        </w:rPr>
      </w:pPr>
    </w:p>
    <w:p>
      <w:pPr>
        <w:ind w:left="5540" w:right="4860" w:hanging="5216"/>
        <w:spacing w:after="0" w:line="949" w:lineRule="auto"/>
        <w:tabs>
          <w:tab w:leader="none" w:pos="43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https://www.statista.com/statistics/764026/number-of-iot-devices-in-use-worldwide/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-318770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This expansion into energy markets proved successful as the company booked approximately $83 million in contracts and recognized $63.9 million in revenue during this period.</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C3 IoT: 2016 – 2018</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By 2016, we were seeing significant expansion in the cloud computing market and the proliferation of IoT sensors was expanding dramatically across many industries. We were increasingly approached by manufacturing companies, financial services companies, oil and gas companies, and the U.S. Department of War to deploy the same types of AI applications that we had successfully deployed in enterprises and utilities including AI Predictive Maintenance, AI Fraud Detection, AI Inventory Optimization, and C3 Energy Management.</w:t>
      </w:r>
    </w:p>
    <w:p>
      <w:pPr>
        <w:spacing w:after="0" w:line="12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At that time, the common expression for these types of applications was “IoT,” and we appropriately rebranded the company as C3 IoT to communicate to the market that we were again expanding our market offerings from primarily one vertical market (energy) to a broadening range of markets.</w:t>
      </w:r>
    </w:p>
    <w:p>
      <w:pPr>
        <w:spacing w:after="0" w:line="8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response to this increased demand, the company tailored its core applications to meet the needs of those industries. As such, in addition to the C3 Platform, we offered market-specific versions of all our applications including AI Predictive Maintenance, AI Inventory Optimization, and AI Energy Management for the utility, oil and gas, defense, and financial services industries. In addition, the company introduced the concept of 4-to-16-week product trials as part of the sales process.</w:t>
      </w:r>
    </w:p>
    <w:p>
      <w:pPr>
        <w:spacing w:after="0" w:line="124"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This market and product line expansion again proved successful as the company booked</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approximately $203 million in contracts and recognized $120.4 million in revenue from 2016 – 2018.</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C3 AI: 2019 – Present</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the market for cloud computing, big data, IoT, and predictive analytics continued to expand, the market perception of IoT - as expressed in the literature, technical conferences, the academy, and in customer expectations - changed. While IoT had previously been considered at the confluence of sensor devices and AI applications, it was clear that IoT was becoming a concept increasingly centered on the devices - the IoT sensors themselves - with the AI applications considered a separate category. As this developed, the C3 IoT brand became confusing to the market, as many customers had the impression that the company was primarily in the business of manufacturing IoT sensors and devices.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eliminate this market confusion, we rebranded the company C3 AI, clearly communicating that we were in the computer software business.</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products and services that the company offered since its inception, C3 AI again expanded its product offerings to include industry-specific production applications such as utility, oil &amp; gas, state and local governments, financial services, manufacturing, health, and communications, and U.S. defense and intelligence, among others. Across industries, we introduced a number of AI application products that serve all vertical markets including C3 AI Asset Performance, C3 AI Supply Chain, C3 AI Defense and Intelligence, C3 Generative AI, among others.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Again, this market expansion proved successful, enabling C3 AI to book over $2.0 billion in additional contracts and recognize $1.9 billion in revenue from 2019 – 2026.</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C3 AI was well ahead of its time in predicting the scale of the opportunity in enterprise AI applications. We began when the market was nascent, and as the market has developed and expanded, we have expanded our branding and our market offerings to meet market expectations.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consumer and data protection, and taxes, could have a material impact on our business in subsequent periods. For more information on the potential impacts of government regulations affecting our business, see the section titled “Risk Factors” contained in Part I, Item 1A of this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website address is located at www.c3.ai, and our investor relations website is located at ir.c3.ai. We file electronically with the SEC our annual reports on Form 10-K, quarterly reports on Form 10-Q, current reports on Form 8-K, and amendments to those reports filed or furnished pursuant to Section 13(a) or 15(d) of the Exchange Act. We make available on our investor relations website, free of charge, copies of these reports and other information as soon as reasonably practicable after we electronically file such material with, or furnish it to, the SEC. These filings with the SEC are also available on the SEC’s website located at www.sec.gov.</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announce material information to the public through a variety of means, including filings with the SEC, press releases, public conference calls, our website (c3.ai), the investor relations section of our website (ir.c3.ai), X (formerly Twitter) (@C3_AI), and LinkedIn (@C3-AI-Enterprise-AI) accounts. We use these channels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Further, corporate governance information, including our corporate governance guidelines, code of business conduct and ethics, and committee charters, is also available on our investor relations website.</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content of or accessible through our websites or our social media channels are not incorporated by reference into this Annual Report on Form 10-K or in any other report or document we file with the SEC, and any references to our websites or social media channels are inactive textual references only.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Annual Report on Form 10-K, including the section titled “Item 7. Management’s Discussion and Analysis of Financial Condition and Results of Operations” and our consolidated financial statements and related notes.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C3 AI Software (which includes our C3 Agentic AI Platform, C3 AI Applications and C3 Generative AI), reputation, brand, financial condition, results of operations, and prospects. In such event, the market price of our Class A common stock could decline, and you could lose all or part of your investment.</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62"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we anticipate our operating expenses will continue to increase, and we may not be able to achieve or maintain profitability in the future.</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incurred net losses in each period since our founding in 2009. We generated net losses of approximately $470.4 million, $288.7 million, and $279.7 million for the fiscal years ended April 30, 2026, 2025, and 2024 respectively. As a result, we had an accumulated deficit of $1.8 billion as of April 30, 2026. We expect to continue to incur net losses for the foreseeable future. These losses and accumulated deficit reflect the substantial investments we made to acquire new customers, commercialize our C3 AI Software, and continue to develop our C3 AI Software. We do not know whether or when we will generate sufficient revenue to achieve or maintain profitability in the future. We also expect our costs and expenses to increase in future periods, which could negatively affect our future results of operations if our revenue does not increase or declines. In particular, we intend to continue to expend significant funds to further develop our C3 AI Software and business, including: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our research and development team and in the development of new features and enhancements of our C3 AI Software, including the hiring of additional development staff, and fees paid to third parties for related enhancements;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sales, marketing, and services, including investments in our sales force and our customer service team, increasing our customer base, increasing market awareness of our C3 AI Software, and development of new technologies;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our operations and infrastructure;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employees.</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also face increased compliance costs associated with growth, the expansion of our customer base, and being a public company. Our efforts to grow our business may be costlier than we expect, our revenue may continue to decline or growth may be slower than we expect, and we may not be able to increase our revenue enough to offset our increased operating expenses. We may incur significant losses in the future for a number of reasons, such as the other risks described herein, unforeseen expenses, difficulties, complications or delays, and other unknown events. If we are unable to achieve and sustain profitability, the value of our business and Class A common stock may significantly decrease.</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Further, in future periods, our revenue may be adversely impacted due to a number of factors, including a reduction in demand for our C3 AI Software, reduction in consumption of our C3 AI Software, increased competition, contraction of our overall market, our inability to accurately forecast demand for our C3 AI Software, or our failure, for any reason, to capitalize on growth opportunities. We experienced a decline in revenue and an increase in operating losses in the fiscal year 2026 as compared to the prior fiscal year. The results were attributed, in part, to disruption from a comprehensive restructuring of our global sales and services organizations, our Chief Executive Officer (“CEO”) and Chairman’s unanticipated health limitations and unsatisfactory execution by our global sales and services organizations.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will be harmed.</w:t>
      </w:r>
    </w:p>
    <w:p>
      <w:pPr>
        <w:spacing w:after="0" w:line="133"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Historically, a limited number of customers have accounted for a substantial portion of our revenue. If existing customers do not renew their contracts with us, or if our relationships with our largest customers are impaired or terminated, our revenue and remaining performance obligations could decline, and our results of operations would be adversely impacted.</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Certain of our customers, including customers that, at the time, represented a significant portion of our business, have in the past reduced their spend with us or decided to not renew their subscriptions with us, which has reduced our anticipated future payments or revenue from these customers. It is not possible for us to predict the future level of demand from our larger customers for our C3 AI Software. In addition, our average total subscription contract value is decreasing, and we expect it to continue to decrease as we expand our customer base beyond a small number of large customers to a larger number of smaller customers.</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customers generally have no obligation to renew, upgrade, or expand their subscriptions with us after the terms of their existing subscriptions expire. In addition, our customers may opt to decrease their usage of our C3 AI Software. As a result, we cannot provide assurance that our customers will renew, upgrade, or expand their subscriptions with us, if they renew at all. If one or more of our customers elect not to renew their subscriptions with us, or if our customers renew their subscriptions with us for shorter time periods, or if our customers decrease their usage of our C3 AI Software, or if our customers otherwise seek to renegotiate terms of their existing agreements on terms less favorable to us, our business and results of operations would be adversely affected and our revenue and remaining performance obligations could decline. This adverse impact would be even more pronounced for customers that represent a material portion of our revenue or business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new customers and on our existing customers purchasing additional subscriptions from us and renewing their existing subscriptions.</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C3 AI Software. Although demand for data management, ML, analytics, and AI platforms and applications has grown in recent years, the market for these platforms and applications continues to evolve. Numerous factors may impede our ability to add new customers, including but not limited to, our failure to compete effectively against alternative products or services, to attract and effectively train new sales and marketing personnel, to develop or expand relationships with partners and resellers, to successfully innovate and deploy new applications and other solutions, to provide a quality customer experience and customer support, or to ensure the effectiveness of our marketing programs. If we are not able to attract new customers, it will have an adverse effect on our business, financial condition and results of operations.</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our future success depends on our ability to sell additional subscriptions for our C3 AI Software to our existing customers. Our customers generally have no contractual obligation to renew, upgrade, or expand their subscriptions after the terms of their existing subscriptions expire. Similarly, after completing an initial production deployment or trial customers do not have an obligation to continue to license our products, and we may not be able to convert initial production deployment customers into customers purchasing ongoing subscriptions or continue with a monthly consumption-based fee. In addition, our customers may opt to decrease their usage of our C3 AI Software. Given our limited experience with customer renewals of our AI products and services, we may not be able to accurately predict customer renewal rates. Our customers’ renewal and expansion commitments may decline or fluctuate as a result of a number of factors, including, but not limited to, their satisfaction with our C3 AI Software and our customer support, the frequency and severity of software and implementation errors or other reliability issues, the pricing of our subscriptions or competing solutions, changes in their IT budget, the effects of global economic conditions, and our customers’ financial circumstances, including their ability to maintain or expand their spending levels. In order for us to maintain or improve our results of operations, it is important that our customers renew or expand their subscriptions with us. If our customers do not purchase additional subscriptions, increase their usage of our software, or renew their subscriptions with us, our business, financial condition, and results of operations may be harmed.</w:t>
      </w:r>
    </w:p>
    <w:p>
      <w:pPr>
        <w:spacing w:after="0" w:line="13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have limited historical experience with supporting or selling to smaller, non-enterprise customers. We intend to grow our customer base and further contribute to our overall growth by introducing product offerings with a lower entry price point. However, by broadening our customer base to include smaller or mid-size customers, we will be faced with risks that may not be present or that are present to a lesser extent with respect to sales to large organizations. Because of our limited experience in supporting or selling to smaller, non-enterprise customers, we may be unsuccessful in our efforts to get future smaller customers to renew or expand their subscriptions to our offerings. If such customers do not renew their agreements or renew on less favorable terms or for less usage, our revenue may grow more slowly than expected or decline, and our business, financial condition, and results of operations may be harmed.</w:t>
      </w:r>
    </w:p>
    <w:p>
      <w:pPr>
        <w:spacing w:after="0" w:line="11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Achieving renewal or expansion of usage and subscriptions may require us to engage increasingly in sophisticated and costly sales and support efforts that may not result in additional sales. In addition, the rate at which our customers expand the deployment of our C3 AI Software depends on a number of factors. If our efforts to expand our relationships with our customers are not successful, our business, financial condition, and results of operations may be harmed.</w:t>
      </w:r>
    </w:p>
    <w:p>
      <w:pPr>
        <w:spacing w:after="0" w:line="102"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respond to rapid technological changes, extend our C3 AI Software, or develop new features and functionality, our ability to remain competitive could be impaired.</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market for our C3 AI Software is characterized by rapid technological change and frequent new platform and application introductions and enhancements, changing customer demands, and evolving industry standards. The introduction of platforms and applications embodying new technologies can quickly make existing platforms and applications obsolete and unmarketable. Data management, ML, and analytics platforms and applications are inherently complex, and it can take a long time and require significant research and development expenditures to develop and test new or enhanced platforms and applications. The success of any enhancements or improvements to our existing C3 AI Software or any new applications depends on several factors, including timely completion, competitive pricing, adequate quality testing, integration with existing technologies, and overall market acceptance.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ability to grow our customer base and generate revenue from customers will depend heavily on our ability to enhance and improve our C3 AI Software, to develop additional functionality and use cases, introduce new features and applications and interoperate across an increasing range of devices, operating systems, and third-party applications. Our customers may require features and capabilities that our current C3 AI Software does not have or may face use cases that our current C3 AI Software does not address. We invest significantly in research and development, and our goal is to focus our spending on measures that improve quality and ease of adoption and create organic customer demand for our C3 AI Software. When we develop a new enhancement or improvement to our C3 AI Software, we typically incur expenses and expend resources upfront to develop, market and promote the new enhancement and improvement. Therefore, when we develop and introduce new enhancements and improvements to our C3 AI Software, they must achieve high levels of market acceptance in order to justify the amount of our investment in developing and bringing them to market. There is no assurance that our enhancements to our C3 AI Software or our new application experiences, functionality, use cases, features, or capabilities will be compelling to our customers or gain market acceptance. If our research and development investments do not accurately anticipate customer demand, or if we fail to develop our C3 AI Software in a manner that satisfies customer preferences in a secure, timely and cost-effective manner, we may fail to retain our existing customers or increase demand for our C3 AI Software.</w:t>
      </w:r>
    </w:p>
    <w:p>
      <w:pPr>
        <w:spacing w:after="0" w:line="13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Moreover, even if we introduce new capabilities in our C3 AI Software, we may experience a decline in revenue from sales of our existing C3 AI Software that is not offset by revenue from the new C3 AI Software capabilities and applications. For example, customers may delay ordering subscriptions of new C3 AI Software capabilities or applications to permit them to make a more thorough evaluation of the C3 AI Software or until industry and marketplace reviews become widely available. Some customers may hesitate to migrate to new C3 AI Software due to concerns regarding the complexity of migration and suite or application infancy issues on performance. In addition, we may lose existing customers who choose a competitor’s AI platforms and applications rather than migrate to our new C3 AI Software capabilities and applications. This could result in a temporary or permanent revenue shortfall and adversely affect our business.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Any failure of our C3 AI Software to operate effectively with future infrastructure platforms and technologies could reduce the demand for our C3 AI Software. If we are unable to respond to these changes in a timely and cost-effective manner, our C3 AI Software may become less marketable, less competitive, or obsolete, and our business may be adversely affected.</w:t>
      </w:r>
    </w:p>
    <w:p>
      <w:pPr>
        <w:spacing w:after="0" w:line="12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introduction of new AI platforms and applications by competitors or the development of entirely new technologies to replace existing offerings could make our C3 AI Software obsolete or adversely affect our business, results of operations, and financial condition. We may experience difficulties with software development, design, or marketing that could delay or prevent our development, introduction, or implementation of new C3 AI Software experiences, features, or capabilities. We have in the past experienced delays in our internally planned release dates of new features and capabilities, and there can be no assurance that new C3 AI Software features or capabilities will be released according to schedule. Any delays could result in adverse publicity, loss of revenue or market acceptance, or claims by customers brought against us, all of which could harm our business. Moreover, new productivity features for our C3 AI Software may require substantial investment, and we have no assurance that such investments will be successful. If customers do not widely adopt our new C3 AI Software features and capabilities, we may not be able to realize a return on our investment. If we are unable to develop, license, or acquire new features and capabilities to our C3 AI Software on a timely and cost-effective basis, or if such enhancements do not achieve market acceptance, our business could be harmed.</w:t>
      </w:r>
    </w:p>
    <w:p>
      <w:pPr>
        <w:spacing w:after="0" w:line="136"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 including U.S. federal government shutdowns.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sell to U.S. federal, state, local, and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 consuming, often requiring significant upfront time and expense without any assurance that these efforts will generate a sale. Government demand and payment for our products and services have been and may be impacted by public sector budgetary cycles and funding reductions or delays, such as an extended federal government shutdown, which have and may adversely affect public sector demand for our products and services and the timing of payment of our products and services. Government contracting requirements may change and restrict our ability to sell into the government sector. Government demand and payment for our C3 AI Software is affected by public sector budgetary cycles and funding authorizations, with funding reductions or delays adversely affecting public sector demand for our C3 AI Software.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may be less favorable than terms agreed with other customers. In our experience, government entities often require shorter term subscriptions than our private sector customers due to budget cycles, making one-year subscriptions not uncommon. Government entities and highly regulated organizations typically have longer implementation cycles, sometimes require acceptance provisions that can lead to a delay in revenue recognition, can have more complex IT and data environments, and may expect greater payment flexibility from vendors.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Contracts with governmental entities may also include preferential pricing terms, such as “most favored customer” pricing. In the event that we are successful in being awarded a government contract, the award may be subject to appeals, disputes, or litigation, including but not limited to bid protests by unsuccessful bidders.</w:t>
      </w:r>
    </w:p>
    <w:p>
      <w:pPr>
        <w:spacing w:after="0" w:line="12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divert management time, or limit our ability to continue selling our products and services to our government customers. These laws and regulations may impose other added costs on our business, and failure to comply with these or other applicable regulations and requirements, including non-compliance in the past, could lead to claims for damages from our partners, downward contract price adjustments or refund obligations, civil or criminal penalties, and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results of operations, financial condition, public perception and growth prospects.</w:t>
      </w:r>
    </w:p>
    <w:p>
      <w:pPr>
        <w:spacing w:after="0" w:line="14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Governmental and highly regulated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 All these factors can add further risk to business conducted with these customers. If sales expected from a government entity or highly regulated organization for a particular period are not realized in that period or at all, our business, financial condition, results of operations, and growth prospects could be materially and adversely affected.</w:t>
      </w:r>
    </w:p>
    <w:p>
      <w:pPr>
        <w:spacing w:after="0" w:line="128"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we derive substantially all of our revenue from subscriptions to our C3 AI Software and Center of Excellence support services, failure of Enterprise AI solutions in general and our C3 AI Software in particular to satisfy customer demands or to achieve increased market acceptance would adversely affect our business, results of operations, financial condition, and growth prospects.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derive and expect to continue for the foreseeable future to derive substantially all of our revenue from subscriptions to our C3 AI Software and Center of Excellence support services. As such, the market acceptance of Enterprise AI solutions in general, and our C3 AI Software in particular, are critical to our continued success. Market acceptance of an Enterprise AI solution depends in part on market awareness of the benefits that Enterprise AI can provide over legacy products, emerging point products, and manual processes. In addition, in order for cloud-based Enterprise AI solutions to be widely accepted, organizations must overcome any concerns with placing sensitive information on a cloud-based platform. Demand for our C3 AI Software in particular is affected by a number of other factors, some of which are beyond our control. These factors include continued market acceptance of our C3 AI Software, the pace at which existing customers realize benefits from the use of our C3 AI Software and decide to expand deployment of our C3 AI Software across their business, the timing of development and release of new products by our competitors, technological change, reliability and security, the pace at which enterprises undergo digital transformation, and developments in data privacy regulations. We expect that the needs of our customers will continue to rapidly change and increase in complexity. We will need to improve the functionality and performance of our C3 AI Software continually to meet those rapidly changing, complex demands. If we are unable to continue to meet customer demands or to achieve more widespread market acceptance of Enterprise AI solutions in general or our C3 AI Software in particular, our business operations, financial results, and growth prospects will be materially and adversely affected.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Issues raised by the use of AI, including ML, in our C3 Agentic AI Platform may result in reputational harm or liability or otherwise adversely affect our business, financial condition and results of operations.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AI is enabled by or integrated into some of the C3 Agentic AI Platform, including C3 Generative AI, and is a significant and growing element of our business. As with many developing technologies, AI presents risks and challenges that could affect its further development, adoption, and use, and therefore our business. AI algorithms may be flawed. Datasets in AI training, development, or operations may be insufficient, of poor quality, or reflect unwanted forms of bias. Inappropriate or controversial data practices by, or practices reflecting inherent biases of, data scientists, engineers, and end users of our systems could impair the acceptance of AI solutions. Third-party AI capabilities that can be integrated with our platforms could also produce false or “hallucinatory” inferences about customer data or enterprises, or other information or subject matter. If the recommendations, forecasts, or analyses that AI applications assist in producing are deficient or inaccurate, we could be subjected to competitive harm, potential legal liability, and brand or reputational harm. Some AI scenarios present ethical issues, and the enablement or integration of AI into our platforms may subject us to new or heightened legal, regulatory, ethical, or other challenges.</w:t>
      </w:r>
    </w:p>
    <w:p>
      <w:pPr>
        <w:spacing w:after="0" w:line="13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Our use of artificial intelligence, or AI, and machine learning, or ML, technologies, collectively, AI/ML technologies, may also subject us or our customers to certain privacy and data security laws, as well as increasing regulation and scrutiny. There is increasing U.S. and foreign activity in the regulation of AI and other similar uses of technology. In Europe, the EU AI Act entered into force on August 1, 2024 and will become fully applicable on August 2, 2026, with some provisions already applying from February 2025. We do not engage in developing or providing AI systems or general-purpose AI models that would qualify as “prohibited AI practices”. However, if we or our customers are classified as developing or using “high-risk” AI systems, or general-purpose AI models, including general-purpose AI models with systemic risk, the EU AI Act could impose more restrictions and obligations. This could increase the costs and burdens to us and our customers, delay or halt deployment of new products and services, and may reduce the number of new customers, negatively impacting our business and financial results. Under the EU AI Act, non-compliant companies may be subject to administrative fines of up to 35 million Euros or 7% of a company’s total worldwide annual turnover for the preceding financial year, whichever is the higher. Moreover, in the United Kingdom, the government has confirmed its position that existing regulators are to implement certain specific principles (safety, security and robustness; transparency and explainability; fairness; accountability and governance; contestability and redress), within those regulators’ existing remits, to guide and inform the responsible development and use of AI/ML within their relevant sectors/competences. We expect other jurisdictions will adopt similar laws. In the United States, several states and localities have enacted measures related to the use of AI and ML in products and services. We may have to change our business practices to comply with such obligations. For example, our employees and personnel use generative AI technologies to perform their work.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4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also use AI and ML technologies in our products and services. Our use of this technology could result in additional compliance costs, regulatory investigations and actions, and consumer lawsuits. Depending on how these AI laws and regulations are interpreted, we may have to make changes to our business practices and products, including our C3 AI Software, to comply with such obligations. These obligations may increase the cost of research and development in AI/ML, make it harder for us to conduct our business using AI/ML, lead to regulatory fines or penalties, require us retrain our AI/ML, or prevent or limit our use of AI/ML. Additionally, certain privacy laws extend rights to consumers (such as the right to delete certain personal data) and regulate automated decision making, which may be incompatible with our use of AI/ML. Further, under privacy and data security laws as well as other obligations, we may be required to obtain certain consents to process personal data and our inability or failure to do so could result in adverse consequences.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With the rise of agentic AI, there is an increased risk that use of this form of AI technology could result in violations of data privacy laws to the extent an AI agent processes personal data autonomously without providing appropriate notice or obtaining requisite consent or in circumstances where data privacy laws impose restrictions on or disclosures related to the use of AI tools or automated decision-making tools that are unable to be met based on how the AI agent operates. There is also a risk that agentic AI’s interaction with systems, data, external websites, APIs and platforms may violate restrictions on access, privacy regulations, computer fraud and abuse laws, third-party contracts and terms of service. Agentic AI tools may also make decisions or take actions that may lead to the disclosure of personal data in violation of data privacy laws.</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Furthermore, there is increasing regulation and scrutiny over the outputs of AI/ML tools and their potential impacts on end-users. In particular, California Senate Bill 243 requires operators of companion chatbots to take certain measures to bolster transparency and user safety, including ensuring end-users know that the companion chatbot is artificially generated and not human and maintaining a protocol for preventing the production of suicidal ideation, suicide, or self-harm content to the user. Even to the extent such laws may not be directly applicable to us, they may be applicable to our customers, and we may in turn face contractual obligations that require us to take measures to ensure our AI/ML tools are capable of complying with requirements under the laws. These obligations could increase the cost of research and development in AI/ML, make it harder for us to conduct our business using AI/ML, or require us retrain our AI/ML.</w:t>
      </w:r>
    </w:p>
    <w:p>
      <w:pPr>
        <w:spacing w:after="0" w:line="13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C3 AI Software, as well as applications, features, and functionality that we may introduce in the future, may not be widely accepted by our customers, may receive negative attention or may require us to compensate or reimburse third parties, any of which may lower our margins and harm our business.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ability to engage, retain, and increase our base of customers and to increase our revenue will depend on our ability to successfully create new applications, features, and functionality, both independently and together with third parties. We may introduce significant changes to our existing C3 AI Software or develop and introduce new and unproven applications, including technologies with which we have little or no prior development or operating experience. These new applications and updates may fail to engage, retain, and increase our base of customers or may suffer from lag in adoption. New applications may initially suffer from performance and quality issues that may negatively impact our ability to market and sell such applications to new and existing customers. The short- and long-term impact of any major change to our C3 AI Software, or the introduction of new applications, is particularly difficult to predict. If new or enhanced applications fail to engage, retain, and increase our base of customers, we may fail to generate sufficient revenue, operating margin, or other value to justify our investments in such applications, any of which may harm our business.</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we are required to compensate or reimburse third parties in connection with certain sales of our current C3 AI Software as part of our partner relationships. New applications, features and functionality that we introduce in the future or new partner relationships may increase the amount of compensation or reimbursement we pay to third parties. Any future requirement or increase in the rate that we compensate or reimburse third parties would lower our profit margins and harm our business.</w:t>
      </w:r>
    </w:p>
    <w:p>
      <w:pPr>
        <w:spacing w:after="0" w:line="123"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market for our products is intensely competitive and characterized by rapid changes in technology, customer requirements, and industry standards, and frequent new platform and application introductions and improvements. We anticipate continued competitive challenges from current competitors who address different aspects of our offerings. We also expect competitive challenges from new entrants into the industry. If we are unable to anticipate or effectively react to these competitive challenges, our competitive position could weaken, and we could experience a decline in our growth rate and revenue that could adversely affect our business and results of operations.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main sources of current and potential competition fall into several categories:</w:t>
      </w:r>
    </w:p>
    <w:p>
      <w:pPr>
        <w:spacing w:after="0" w:line="125" w:lineRule="exact"/>
        <w:rPr>
          <w:sz w:val="20"/>
          <w:szCs w:val="20"/>
          <w:color w:val="auto"/>
        </w:rPr>
      </w:pPr>
    </w:p>
    <w:p>
      <w:pPr>
        <w:ind w:left="640" w:hanging="316"/>
        <w:spacing w:after="0" w:line="207" w:lineRule="exact"/>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IT organizations that develop internal solutions and provide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support for their enterprises;</w:t>
      </w:r>
    </w:p>
    <w:p>
      <w:pPr>
        <w:spacing w:after="0" w:line="20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enterprise and point solution software providers;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developing their own AI features and technologies, including AI features and technologies that may be similar or superior to our technologies or more cost-effective to develop and deploy;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open-source software providers with data management, ML, and analytics offerings;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cloud providers offering discrete tools and micro-services with data management, ML, and analytics functionality;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integrators that develop and provide custom software solutions;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data management product providers; and</w:t>
      </w:r>
    </w:p>
    <w:p>
      <w:pPr>
        <w:spacing w:after="0" w:line="164"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and technology partners who may also offer our competitors’ technology or otherwise partner with them, including our strategic partners who may offer a substantially similar solution based on a competitor’s technology or internally developed technology that is competitive with ours.</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Many of our existing competitors have, and some of our potential competitors could have, substantial competitive advantages such as:</w:t>
      </w:r>
    </w:p>
    <w:p>
      <w:pPr>
        <w:spacing w:after="0" w:line="164"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longer operating histories, and larger customer bases;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 and the capacity to leverage their sales efforts and marketing expenditures across a broader portfolio of products;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otherwise more established relationships with technology, channel, and distribution partners and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wider geographic presence or greater access to larger customer bases;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focus in specific geographies or industries;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research and development costs;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 and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 to provide support, make acquisitions, hire talent, and develop and introduce new products.</w:t>
      </w:r>
    </w:p>
    <w:p>
      <w:pPr>
        <w:spacing w:after="0" w:line="1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Some of our larger competitors have substantially broader and more diverse platform and application offerings and may be able to leverage their relationships with distribution partners and customers based on other products or incorporate functionality into existing products to gain business in a manner that discourages potential customers from subscribing to our C3 AI Software, including by selling at zero or negative margins, bundling with other offerings, or offering closed technology platforms. Potential customers may also prefer to purchase from their existing suppliers rather than a new supplier regardless of platform or application performance or features. As a result, even if the features of our C3 AI Software are superior, potential customers may not purchase our offerings. These larger competitors often have broader product lines and market focus or greater resources and may therefore not be as susceptible to economic downturns or other significant reductions in capital spending by customers. If we are unable to sufficiently differentiate our solutions from the integrated or bundled products of our competitors, such as by offering enhanced functionality, performance or value, we may see a decrease in demand for our offerings, which could adversely affect our business, operating results, and financial condition.</w:t>
      </w:r>
    </w:p>
    <w:p>
      <w:pPr>
        <w:spacing w:after="0" w:line="96" w:lineRule="exact"/>
        <w:rPr>
          <w:sz w:val="20"/>
          <w:szCs w:val="20"/>
          <w:color w:val="auto"/>
        </w:rPr>
      </w:pPr>
    </w:p>
    <w:p>
      <w:pPr>
        <w:jc w:val="both"/>
        <w:ind w:firstLine="318"/>
        <w:spacing w:after="0" w:line="224" w:lineRule="exact"/>
        <w:rPr>
          <w:sz w:val="20"/>
          <w:szCs w:val="20"/>
          <w:color w:val="auto"/>
        </w:rPr>
      </w:pPr>
      <w:r>
        <w:rPr>
          <w:rFonts w:ascii="Times New Roman" w:cs="Times New Roman" w:eastAsia="Times New Roman" w:hAnsi="Times New Roman"/>
          <w:sz w:val="18"/>
          <w:szCs w:val="18"/>
          <w:color w:val="auto"/>
        </w:rPr>
        <w:t>Moreover, new innovative start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companies, and larger companies that are making significant investments in research and development, have and may continue to introduce products that have greater performance or functionality, are easier to implement or use, or incorporate technological advances that we have not yet developed or implemented, or have and may continue to invent similar or superior technologies that compete with ours. Our current and potential competitors have also established and may establish new cooperative relationships among themselves or with third parties that may further enhance their resources.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20" w:lineRule="exact"/>
        <w:rPr>
          <w:sz w:val="20"/>
          <w:szCs w:val="20"/>
          <w:color w:val="auto"/>
        </w:rPr>
      </w:pPr>
      <w:r>
        <w:rPr>
          <w:rFonts w:ascii="Times New Roman" w:cs="Times New Roman" w:eastAsia="Times New Roman" w:hAnsi="Times New Roman"/>
          <w:sz w:val="18"/>
          <w:szCs w:val="18"/>
          <w:color w:val="auto"/>
        </w:rPr>
        <w:t>Some of our competitors have made or could make acquisitions of businesses that allow them to offer more competitive and comprehensive solutions. As a result of such acquisitions, our current or potential competitors may be able to accelerate the adoption of new technologies that better address customer needs, devote greater resources to bring these platforms and applications to market, initiate or withstand substantial price competition, or develop and expand their product and service offerings more quickly than we can. These competitive pressures in our market or our failure to compete effectively may result in fewer orders, reduced revenue and gross margins, and loss of market share. In addition, it is possible that industry consolidation may impact customers’ perceptions of the viability of smaller or even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 software firms and consequently customers’ willingness to purchase from such firms.</w:t>
      </w:r>
    </w:p>
    <w:p>
      <w:pPr>
        <w:spacing w:after="0" w:line="1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may not compete successfully against our current or potential competitors. If we are unable to compete successfully, or if competing successfully requires us to take costly actions in response to the actions of our competitors, our business, financial condition, and results of operations could be adversely affected. In addition, companies competing with us may have an entirely different pricing or distribution model. Increased competition could result in fewer customer orders, price reductions, reduced operating margins, and loss of market share. Further, we may be required to make substantial additional investments in research, development, marketing, and sales in order to respond to such competitive threats, and we cannot assure you that we will be able to compete successfully in the future.</w:t>
      </w:r>
    </w:p>
    <w:p>
      <w:pPr>
        <w:spacing w:after="0" w:line="128" w:lineRule="exact"/>
        <w:rPr>
          <w:sz w:val="20"/>
          <w:szCs w:val="20"/>
          <w:color w:val="auto"/>
        </w:rPr>
      </w:pPr>
    </w:p>
    <w:p>
      <w:pPr>
        <w:jc w:val="both"/>
        <w:ind w:right="2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particularly with respect to large subscriptions, and our sales efforts require considerable time and expense.</w:t>
      </w:r>
    </w:p>
    <w:p>
      <w:pPr>
        <w:spacing w:after="0" w:line="107" w:lineRule="exact"/>
        <w:rPr>
          <w:sz w:val="20"/>
          <w:szCs w:val="20"/>
          <w:color w:val="auto"/>
        </w:rPr>
      </w:pPr>
    </w:p>
    <w:p>
      <w:pPr>
        <w:jc w:val="both"/>
        <w:ind w:firstLine="318"/>
        <w:spacing w:after="0" w:line="214" w:lineRule="exact"/>
        <w:rPr>
          <w:sz w:val="20"/>
          <w:szCs w:val="20"/>
          <w:color w:val="auto"/>
        </w:rPr>
      </w:pPr>
      <w:r>
        <w:rPr>
          <w:rFonts w:ascii="Times New Roman" w:cs="Times New Roman" w:eastAsia="Times New Roman" w:hAnsi="Times New Roman"/>
          <w:sz w:val="18"/>
          <w:szCs w:val="18"/>
          <w:color w:val="auto"/>
        </w:rPr>
        <w:t>Our results of operations may fluctuate, in part, because of the complexity of customer problems that our C3 AI Software addresses, the resource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intensive nature of our sales efforts, the length and variability of the sales cycle for our C3 AI Software, and the difficulty in making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adjustments to our operating expenses. The timing of our sales is difficult to predict. The length of our sales cycle can vary substantially from customer to customer and can extend over a number of years for some customers. Our sales efforts involve educating our customers about the use, technical capabilities, and benefits of our C3 AI Software. Customers often undertake a prolonged evaluation process, which frequently involves not only our C3 AI Software but also those of other companies. In addition, the size of potential customers may lead to longer sales cycles. For instance, we invest resources into sales to large organizations and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C3 AI Software. Large organizations may demand additional features, support services, and pricing concessions or require additional security management or control features. Some organizations may also require an on-premise solution rather than a cloud solution, which potentially requires additional implementation time and potentially a longer sales cycle. We may spend substantial time, effort and money on sales efforts to large organizations without any assurance that our efforts will produce any sales or that these customers will deploy our C3 AI Software widely enough across their organization to justify our substantial upfront investment. As a result, it is difficult to predict exactly when, or even if, we will make a sale to a potential customer or if we can increase sales to our existing customers.</w:t>
      </w:r>
    </w:p>
    <w:p>
      <w:pPr>
        <w:spacing w:after="0" w:line="14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Individual sales have historically and may in the future represent a large proportion of our overall sales during any given period, which impacts our ability to plan and manage cash flows and margins. These large individual sales have, in some cases, occurred in quarters or years subsequent to those we anticipated, or have not occurred at all. If our sales cycle lengthens or our substantial upfront investments do not result in sufficient revenue to justify our investments, our operating results could be adversely affected. In addition, within each quarter or year, it is difficult to project when a deal will close. Therefore, it is difficult to determine whether we are achieving our quarterly or annual expectations until near the end of the applicable quarter or year. Most of our expenses are relatively fixed or require time to adjust. Therefore, if expectations for our business are not accurate, we may not be able to adjust our cost structure on a timely basis, and our margins and cash flows may differ from expectations.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subscription or pricing models could adversely affect our operating results.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the markets for our subscriptions grow, as new competitors introduce new products or services that compete with ours, or as we enter into new international markets, we may be unable to attract new customers at the same price or based on the same pricing model as we have historically used. Regardless of pricing model used, large customers may demand higher price discounts than in the past. Our competitors may also introduce new products that compete with ours or reduce their prices, or we may be unable to attract new customers or retain existing customers based on our historical subscription and pricing models. As a result, we may be required to reduce our prices, offer shorter contract durations or offer alternative pricing models, any of which could adversely affect our business.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optimal prices for subscriptions for our C3 AI Software. In the past, we have been able to increase our prices for our C3 AI Software, but we may choose not to introduce or be unsuccessful in implementing future price increases or changes in our pricing models. In the second quarter of fiscal year 2023, we announced a change to our go-to-market strategy. This change includes a way for new customers to utilize our products at a smaller initial contract size and pay for services based on their monthly consumption of vCPU hours, rather than payment pursuant to a purely subscription-based payment option. Unlike customers utilizing our subscription-based option, in which revenue is recognized ratably over the term of the subscription, for customers utilizing our new consumption-based payment option, we will recognize revenue on consumption. Because such customers will have flexibility in the timing of their consumption, we do not have the same visibility into the timing of revenue recognition for such customers that we have with our subscription-based customers. There is a risk that customers using the consumption-based option will consume our platform more slowly than we expect, and our actual results may differ from our forecasts. Further, investors and securities analysts may not understand how our consumption-based option differs from our subscription-based option, or the intersection of our consumption-based option and our subscription-based option. If our results of operations fall below the expectations of investors and securities analysts who follow our stock, the price of our Class A common stock could decline substantially, and we could face costly lawsuits, including securities class actions.</w:t>
      </w:r>
    </w:p>
    <w:p>
      <w:pPr>
        <w:spacing w:after="0" w:line="13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Given our limited experience with our current pricing models, we may not be able to accurately predict customer renewal or retention rates. As a result, we may be required or choose to reduce our prices or change our pricing model, which could harm our business, results of operations, and financial condition.</w:t>
      </w:r>
    </w:p>
    <w:p>
      <w:pPr>
        <w:spacing w:after="0" w:line="84"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revenue depends in part on the success of our strategic relationships with third parties, including channel partners, and if we are unable to establish and maintain successful relationships with them, our business, operating results, and financial condition could be adversely affected.</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seek to grow our partner ecosystem as a way to grow our business. We anticipate that we will continue to establish and maintain relationships with third parties, such as channel partners, resellers, OEMs, system integrators, independent software and hardware vendors, and platform and cloud service providers. For example, in June 2019, we entered into a strategic collaboration with Baker Hughes whereby Baker Hughes operates as the exclusive channel partner and reseller of our C3 AI Software in the oil and gas industry and a non-exclusive reseller in other industries. This arrangement was most recently revised in January 2023 and again in April 2025. Baker Hughes is no longer C3 AI’s exclusive reseller. We also have strategic relationships with Microsoft, AWS, McKinsey &amp; Company, Google Cloud, and Raytheon.</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plan to continue to establish and maintain similar strategic relationships in certain industry verticals and otherwise, and we expect our channel partners to become an increasingly important aspect of our business. However, these strategic relationships could limit our ability in the future to compete in certain industry verticals and, depending on the success of our third-party partners and the industries that those partners operate in generally, may negatively impact our business because of the nature of strategic alliances, exclusivity provisions, or otherwise. We work closely with select vendors to design solutions to specifically address the needs of certain industry verticals or use cases within those verticals. As our agreements with strategic partners terminate or expire, we may be unable to renew or replace these agreements on comparable terms, or at all.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future growth in revenue and ability to achieve and sustain profitability depends in part on our ability to identify, establish, and retain successful strategic partner relationships in the United States and internationally, which will take significant time and resources and involve significant risk. To the extent we do identify such partners, we will need to negotiate the terms of a commercial agreement with them under which the partner would distribute our C3 AI Software. We cannot be certain that we will be able to negotiate commercially attractive terms with any strategic partner, if at all. In addition, all channel partners must be trained to distribute our C3 AI Software. In order to develop and expand our distribution channel, we must develop and improve our processes for channel partner introduction and training. If we do not succeed in identifying suitable strategic partners or maintain our relationships with such partners, our business, operating results, and financial condition may be adversely affected.</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Moreover, we cannot guarantee that the partners with whom we have strategic relationships will continue to devote the resources necessary to expand our reach and increase our distribution. In addition, customer satisfaction with services and other support from our strategic partners may be less than anticipated, negatively impacting anticipated revenue and results of operations. We cannot be certain that these partners will prioritize or provide adequate resources to selling our C3 AI Software. Further, some of our strategic partners offer competing platforms and applications or also work with our competitors. As a result of these factors, many of the companies with whom we have strategic alliances may choose to pursue alternative technologies and develop alternative platforms and applications in addition to or in lieu of our C3 AI Software, either on their own or in collaboration with others, including our competitors. We cannot assure you that our strategic partners will continue to cooperate with us. In addition, actions taken or omitted to be taken by such parties may adversely affect us. Moreover, we rely on our channel partners to operate in accordance with the terms of their contractual agreements with us. For example, our agreements with our channel partners limit the terms and conditions pursuant to which they are authorized to resell or distribute our C3 AI Software and offer technical support and related services. If we are unsuccessful in establishing or maintaining our relationships with third parties, or if our strategic partners do not comply with their contractual obligations to us, our business, operating results, and financial condition may be adversely affected. Even if we are successful in establishing and maintaining these relationships with third parties, we cannot assure you that these relationships will result in increased customer usage of our C3 AI Software or increased revenue to us.</w:t>
      </w:r>
    </w:p>
    <w:p>
      <w:pPr>
        <w:spacing w:after="0" w:line="13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some of our sales to government entities have been made, and in the future may be made, indirectly through our channel partners. Government entities may have statutory, contractual, or other legal rights to terminate contracts with our channel partners for convenience or due to a default, and, in the future, if the portion of government contracts that are subject to renegotiation or termination at the election of the government entity are material, any such termination or renegotiation may adversely impact our future operating results. In the event of such termination, it may be difficult for us to arrange for another channel partner to sell our C3 AI Software to these government entities in a timely manner, and we could lose sales opportunities during the transition. Government entities routinely investigate and audit government contractors’ administrative processes, and any unfavorable audit could result in the government entity refusing to renew its subscription to our C3 AI Software, a reduction of revenue, or fines or civil or criminal liability if the audit uncovers improper or illegal activities.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market for our C3 AI Software fails to grow as we expect, or if businesses fail to adopt our C3 AI Software, our business, operating results, and financial condition could be adversely affected.</w:t>
      </w:r>
    </w:p>
    <w:p>
      <w:pPr>
        <w:spacing w:after="0" w:line="107"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It is difficult to predict customer adoption rates and demand for our C3 AI Software, the entry of competitive platforms, or the future growth rate and size of the cloud-based software and software-as-a-service business software markets. A substantial majority of our revenue has come from sales of our subscription-based software products, which we expect to continue for the foreseeable future. Although demand for data management, ML, and analytics platforms and applications has grown in recent years, the market for these platforms and applications continues to evolve. We cannot be sure that this market will continue to grow or, even if it does grow, that businesses will adopt our C3 AI Software. Our future success will depend in large part on our ability to further penetrate the existing market for Enterprise AI software, as well as the continued growth and expansion of what we believe to be an emerging market for Enterprise AI platforms and applications that are faster, easier to adopt, and easier to use. Our ability to further penetrate the Enterprise AI market depends on a number of factors, including the cost, performance, and perceived value associated with our C3 AI Software, as well as customers’ willingness to adopt a different approach to data analysis. We have spent, and intend to keep spending, considerable resources to educate potential customers about digital transformation, AI, and ML in general and our C3 AI Software in particular. However, we cannot be sure that these expenditures will help our C3 AI Software achieve any additional market acceptance. Furthermore, potential customers may have made significant investments in legacy analytics software systems and may be unwilling to invest in new platforms and applications. If the market fails to grow or grows more slowly than we currently expect or businesses fail to adopt our C3 AI Software, our business, operating results, and financial condition could be adversely affected.</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retain key members of our senior management may impact the successful execution of our business strategy.</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success depends in a large part upon the continued service of key members of our senior management team. In particular, our founder and current CEO and Chairman, Thomas M. Siebel, is critical to our overall management, sales strategy, culture, strategic direction, engineering, and operations. In addition, Mr. Siebel is a recognized leader in information technology and is critical to the continued development of our C3 AI Software. All of our executive officers are at-will employees, and we do not maintain any key person life insurance policies. The loss of any member of our senior management team, whether in connection with the CEO transition, possible health setbacks or otherwise, could make it more difficult to execute our business strategy and, therefore, harm our business.</w:t>
      </w:r>
    </w:p>
    <w:p>
      <w:pPr>
        <w:spacing w:after="0" w:line="12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successfully execute or achieve the expected benefits of our restructuring plan and other measures we may take in the future, and our efforts may adversely affect our business.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February 24, 2026, the Company’s board of directors approved a restructuring plan (the “Plan”), intended to fundamentally improve our operating efficiency and reposition our company for long term success. In connection with the Plan, we have restructured our sales organization, realigned proved personnel directly under our Chief Executive Officer to increase accountability and execution, and reengineered our product design and delivery framework to increase development speed and enhance our competitive positioning. These measures are intended to address our short and long-term objectives and are based on our current estimates, assumptions, and forecasts, which are subject to known and unknown risks and uncertainties. Implementation of these and any other initiatives may not achieve our expected benefits, may be disruptive to our business, the expected costs and charges may be greater than we have forecasted, and the estimated cost savings may be lower than we have forecasted. In addition, the Plan could result in personnel attrition beyond our planned reduction in headcount or could reduce employee morale, which could in turn adversely impact productivity, including through a loss of continuity, loss of accumulated knowledge and/or inefficiency during transitional periods, could affect our ability to attract highly skilled employees, or may otherwise adversely affect our business.</w:t>
      </w:r>
    </w:p>
    <w:p>
      <w:pPr>
        <w:spacing w:after="0" w:line="136"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invest in our marketing and sales capabilities could harm our ability to increase our customer base and achieve broader market acceptance of our C3 AI Software.</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expand our customer base and achieve broader market acceptance of our C3 AI Software depends to a significant extent on our ability to continue to improve the efficiency and effectiveness of our marketing and sales operations. Our sales operations have been, and may in the future be, negatively impacted by our CEO's inability to actively participate in the sales process. We plan to continue investing in our sales force and strategic partners, both domestically and internationally.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Recruiting and training qualified sales representatives is time-consuming and resource intensive, and new hires may not reach full productivity for a significant period of time. As we enter new markets and expand our product offerings, we may need to recruit additional sales and marketing resources specific to such expansion, which may be increasingly costly and ultimately unsuccessful. As more customers adopt our consumption-based pricing model, our sales team must also maintain focus on expanding consumption within the existing customer base, requiring continued investment of financial and other resources.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August 8, 2025, we announced the restructuring of our global sales and services organization in the first quarter of fiscal 2026, including new leadership. This restructuring has had a disruptive effect on our financial performance and may exacerbate the risks described herein. Our business will be harmed if our marketing and sales efforts do not generate a correspondingly significant increase in revenue. If we are unable to hire, develop, and retain talented sales personnel, or if our sales and marketing programs are not effective, our revenue may grow more slowly than expected or materially decline.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If we fail to develop, maintain, and enhance our brand and reputation cost-effectively, our business and financial condition may be adversely affected.</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Developing and maintaining awareness and integrity of our brand and reputation are important to achieving widespread acceptance of our C3 AI Software, attracting new customers, and retaining existing ones. The importance of our brand is expected to increase as competition in our market intensifies. Successful brand promotion depends on the effectiveness of our marketing efforts, our ability to provide reliable and competitively priced software, the perceived value of our offerings, and our ability to maintain customer trust and differentiate our capabilities from competitive alternatives.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Brand promotion activities may not yield increased revenue, and even if they do, the resulting revenue may not offset the associated expenses. If we fail to promote and maintain our brand successfully, or incur substantial expenses in an unsuccessful attempt to do so, we may fail to attract new customers and partners or retain existing ones, which could adversely affect our business and financial condition. Negative publicity relating to our employees, partners, or others associated with us may also harm our reputation by association and reduce the value of our brand. Any such reputational damage may result in reduced demand for our C3 AI Software, increased risk of losing market share, and costly remediation efforts that may not be successful.</w:t>
      </w:r>
    </w:p>
    <w:p>
      <w:pPr>
        <w:spacing w:after="0" w:line="12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ensure that our C3 AI Software interoperates with a variety of software applications that are developed by others, including our partners, we may become less competitive and our business may be harmed.</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C3 AI Software must integrate with a variety of hardware and software platforms, and we need to continuously modify and enhance our C3 AI Software to adapt to changes in hardware and software technologies. In particular, we have developed our C3 AI Software to be able to easily integrate with key third-party applications, including the applications of software providers that compete with us as well as our partners.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32"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discontinues or limits our access to its software;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its terms of service or other policies, including fees charged to, or other restrictions on us, or other platform and application developers;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how information is accessed by us or our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more favorable relationships with one or more of our competitors; or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or otherwise favors its own competitive offerings over our C3 AI Software.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C3 AI Software to assure their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C3 AI Software with their products or services, or exert strong business influence on our ability to, and terms on which we, operate our C3 AI Software. Should any of our competitors modify their products or standards in a manner that degrades the functionality of our C3 AI Software or gives preferential treatment to our competitors or competitive products, whether to enhance their competitive position or for any other reason, the interoperability of our C3 AI Software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subscriptions to our C3 AI Software could be harmed by real or perceived material defects or errors in our C3 AI Software.</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technology underlying our C3 AI Software is inherently complex and may contain material defects or errors, particularly when new applications are first introduced, when new features or capabilities are released, or when integrated with new or updated third-party hardware or software. There can be no assurance that our existing C3 AI Software and new applications will not contain defects or errors. Any real or perceived errors, failures, vulnerabilities, or bugs in our C3 AI Software could result in negative publicity or lead to data security, access, retention, or other performance issues, all of which could harm our business. Correcting such defects or errors may be costly and time-consuming and could harm our business. Moreover, the harm to our reputation and legal liability related to such defects or errors may be substantial and would harm our business.</w:t>
      </w:r>
    </w:p>
    <w:p>
      <w:pPr>
        <w:spacing w:after="0" w:line="12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or to maintain our company culture could harm our business and prevent us from executing our business strategy.</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Competition for executives, data scientists, engineers, software developers, sales personnel, and other key employees in our industry is intense. In particular, we compete with many other companies for employees with high levels of expertise in designing, developing and managing platforms and applications for data management, ML, and analytics technologies, as well as for skilled data scientists, sales, and operations professionals. In addition, we are extremely selective in our hiring process which requires significant investment of time and resources from internal stakeholders and management. At times, we have experienced, and we may continue to experience, difficulty in hiring personnel who meet the demands of our selection process and with appropriate qualifications, experience, or expertise, and we may not be able to fill positions as quickly as desired. In addition, our recruiting personnel, methodology, and approach may need to be altered to address a changing candidate pool and profile. We may not be able to identify or implement such changes in a timely manner.</w:t>
      </w:r>
    </w:p>
    <w:p>
      <w:pPr>
        <w:spacing w:after="0" w:line="13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Many of the companies with which we compete for experienced personnel have greater resources than we have, and some of these companies may offer more attractive compensation packages.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or export control laws, may limit our ability to recruit internationally. We must also continue to retain and motivate existing employees through our compensation practices, company culture, and career development opportunities.</w:t>
      </w:r>
    </w:p>
    <w:p>
      <w:pPr>
        <w:spacing w:after="0" w:line="11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a critical component to our success and our ability to retain our best people is our culture. As we continue to grow and develop a public company infrastructure, we may find it difficult to maintain our company culture.</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we fail to attract new personnel or to retain our current personnel, our business would be harmed.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annual and quarterly results and key metrics are likely to fluctuate significantly and may not fully reflect the underlying performance of our business.</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annual and quarterly results of operations and key metrics may vary significantly in the future as they have in the past, particularly in light of our dependence on a limited number of high-value customer contracts, and period-to-period comparisons of our results of operations and key metrics may not be meaningful. Accordingly, the results of any one year or quarter should not be relied upon as an indication of future performance. Our results of operations and key metrics may fluctuate as a result of a variety of factors, many of which are outside of our control, and as a result, may not fully reflect the underlying performance of our business. Fluctuation in our annual or quarterly results may negatively impact the value of our securities. Factors that may cause fluctuations in our annual or quarterly results of operations and key metrics include, without limitation, the risk factors listed elsewhere in this section and the factors listed below:</w:t>
      </w:r>
    </w:p>
    <w:p>
      <w:pPr>
        <w:spacing w:after="0" w:line="134"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significant revenue from new offerings;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number of partners and distribution of our C3 AI Software;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in particular those responsible for the selling or marketing of our C3 AI Software;</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organize and compensate our sales teams;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large organizations as well as increase sales to a larger number of smaller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 and seasonal purchasing or consumption patterns of our customers;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as well as international expansion and entry into operating leases;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effectiveness of new sales and marketing initiatives;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platforms, applications, features, and functionality by us or our competitors;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breaches of security or privacy by us or our suppliers and business partners, and the costs associated with remediating any such failures or breaches;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indemnification payments to our users or other third parties;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any future acquisitions;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applicable changes in accounting standards or management assumptions, estimates or judgments on complex accounting matters;</w:t>
      </w:r>
    </w:p>
    <w:p>
      <w:pPr>
        <w:spacing w:after="0" w:line="175"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and geopolitical instability;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economic, and market conditions.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performance metrics and certain operational data may not provide an accurate indication of our future or expected results.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performance metrics and other operational data may involve judgment and therefore may not accurately reflect our actual performance. Our methodologies for tracking these metrics may change over time, which could result in unexpected changes to our reported metrics, and our metrics may differ from similarly titled metrics presented by other companies and may not be comparable to such metrics. We regularly review and may adjust our processes for calculating metrics to improve their accuracy. If our metrics are not accurate representations of our business, if we discover material inaccuracies, or if the metrics we rely on do not provide an accurate measurement of our business, our reputation may be harmed, we may be subject to legal or regulatory actions, and our operating and financial results could be adversely affected.</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Certain metrics commonly reported by subscription-based software companies, such as net dollar-based revenue retention rate and annual recurring revenue, are particularly limited indicators of our future financial results. Due to our dependence on a relatively small number of high-value customer contracts, the gain or loss of even a single contract could cause significant volatility in these metrics, rendering them unreliable predictors of revenue for any given period. Investors and analysts should not place undue reliance on these metrics as indicators of our future or expected results, as doing so could adversely affect the trading price of our Class A common stock.</w:t>
      </w:r>
    </w:p>
    <w:p>
      <w:pPr>
        <w:spacing w:after="0" w:line="12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generally recognize revenue from subscriptions to our C3 AI Software over the terms of such subscriptions. Consequently, increases or decreases in new sales may not be immediately reflected in our results of operations and may be difficult to discern.</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generally recognize revenue from subscriptions to our C3 AI Software over the terms of these subscriptions. As a result, a portion of the revenue we report in each year and each quarter is derived from the recognition of deferred revenue relating to subscriptions entered into during prior periods. Consequently, a decline in new or renewed subscriptions in any single year or quarter may only have a small impact on the revenue that we recognize for that period. However, such a decline will negatively affect our revenue in future periods.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As a result, growth in the number of new customers could continue to result in our recognition of higher costs and lower revenue in the earlier periods of our subscriptions. Finally, our subscription-based revenue model also makes it difficult for us to rapidly increase our revenue through additional subscription sales in any period, as revenue from new customers or from existing customers that increase their use of our C3 AI Software must be recognized over the applicable subscription term. These risks are further exacerbated by our dependence on high-value customer contracts.</w:t>
      </w:r>
    </w:p>
    <w:p>
      <w:pPr>
        <w:spacing w:after="0" w:line="136"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our service-level commitments under our customer agreements, we could be obligated to provide credits or face contract terminations, which could adversely affect our revenue, reputation, results of operations.</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customer agreements typically include commitments regarding the availability and performance of our C3 AI Software. If we are unable to meet these service-level commitments, we may be contractually obligated to provide affected customers with service credits or other remedies, which could significantly impact our revenue in the periods in which any such failure occurs. In certain cases, customers may have the right to terminate their agreements and receive refunds of prepaid amounts, which could result in accelerated revenue loss and reduced renewal rates.</w:t>
      </w:r>
    </w:p>
    <w:p>
      <w:pPr>
        <w:spacing w:after="0" w:line="123"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terms and conditions of certain multi-year, non-cancellable agreements could result in significant payments or penalties that could have a material adverse effect on our business, financial condition, and results of operations.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entered into multi-year, non-cancellable agreements with certain cloud service providers and strategic integration partners that require us to meet minimum spend thresholds over the terms of such agreements. These commitments were undertaken in connection with our delivery of cloud-based subscription services to our customers and to enable go-to-market collaboration with our strategic partners. Our actual consumption and spending under these agreements is driven by customer demand, deployment activity, and the pace of adoption of our subscription offerings, each of which may be difficult to predict and may fall short of our contractual minimum spend thresholds. If we fail to satisfy such thresholds under these agreements, we may be required to pay any shortfall to the relevant cloud service provider or strategic integration partner, irrespective of whether we receive corresponding value or revenue. Such payments could represent cash outflows not directly associated with revenue-generating activity, which may adversely affect our liquidity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Additionally, as the scale of our business evolves, we may enter into new or amended agreements with increased spend commitments with certain cloud service providers or strategic integration partners, further concentrating our financial exposure to a limited number of third-party providers. Further, our agreements with such third-party providers may contain penalty clauses, for matters such as failing to meet stipulated service levels or other contractual provisions.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 obligated subscription or service fees.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ability to meet these commitments is subject to numerous risks and uncertainties, including changes in customer demand, shifts in our product or go-to-market strategy, contract renegotiations or terminations with existing customers, and macroeconomic conditions that may slow enterprise software spending broadly. To the extent we are required to accelerate spending under these agreements with certain third-party providers in order to avoid shortfall penalties, or conversely are required to pay shortfall amounts due to lower-than-anticipated consumption, our operating expenses and cash outflows may increase materially in any given period, which could have a material adverse effect on our business, financial condition, and results of operations.</w:t>
      </w:r>
    </w:p>
    <w:p>
      <w:pPr>
        <w:spacing w:after="0" w:line="12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maintenance and support services for our customers may harm our relationships with our customers and, consequently, our business.</w:t>
      </w:r>
    </w:p>
    <w:p>
      <w:pPr>
        <w:spacing w:after="0" w:line="10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Once our C3 AI Software is deployed, our customers depend on our maintenance and support teams to resolve technical and operational issues and provide critical updates relating to our C3 AI Software. Our ability to provide effective customer maintenance and support is largely dependent on our ability to attract, train, and retain qualified personnel with experience in supporting customers with software such as ours and maintaining the same. The number of our customers has grown significantly and that has and will continue to put additional pressure on our customer maintenance and support teams. We may be unable to respond quickly enough to accommodate short-term increases in customer demand for technical support. We also may be unable to modify the scope and delivery of our maintenance services and technical support to compete with changes in the technical services provided by our competitors. Increased customer demand for maintenance and support services, without corresponding revenue, could increase costs and negatively affect our operating results. In addition, if we experience increased customer demand for support and maintenance, we may face increased costs that may harm our results of operations. Further, as we continue to grow our operations and support our global customer base, we need to be able to continue to provide efficient support and effective maintenance that meets our customers’ needs globally. If we are unable to provide efficient customer maintenance and support globally or if we need to hire additional maintenance and support personnel, our business may be harmed. Our ability to attract new customers is highly dependent on our business reputation and on positive recommendations from our existing customers. Any failure to maintain high-quality maintenance and support services, a failure of channel parties to maintain high-quality maintenance and support services or a market perception that we do not maintain high-quality maintenance and support services for our customers, would harm our business.</w:t>
      </w:r>
    </w:p>
    <w:p>
      <w:pPr>
        <w:spacing w:after="0" w:line="141"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Macroeconomic uncertainties have had, and could continue to have, an adverse impact on our business, our operations, and the markets and communities in which we, our partners, and users operate.</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labor shortages and supply chain disruptions, inflation, interest rate fluctuations, bank failures, monetary supply shifts, government shutdowns and the imposition of tariffs or other impacts on trade relations, as well as recession risks, which may continue for an extended period and which could result in our customer prospects and our existing customers experiencing slowdowns in their businesses, which in turn may result in reduced demand for our C3 AI Software, lengthening of sales cycles, loss of customers, and difficulties in collections. To the extent our C3 AI Software is perceived by customers and potential customers as discretionary, our revenue may be disproportionately affected by delays or reductions in information technology spending. Our vendors and suppliers may experience, or may continue to experience, disruptions in their supply chains, which may result in service interruptions or additional operating expenses, and may increase the price at which our vendors and suppliers are willing to sell their products to us.</w:t>
      </w:r>
    </w:p>
    <w:p>
      <w:pPr>
        <w:spacing w:after="0" w:line="13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the extent macroeconomic uncertainties continue to adversely affect our business, financial condition, and results of operations, many of the other risks described in this “Risk Factors” section could be exacerbated, including but not limited to, those related to our ability to increase sales to existing and new customers, develop and deploy new offerings and applications and maintain effective marketing and sales capabilities.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self-regulatory schemes, standards and other obligations related to data privacy and security. Our actual or perceived failure to comply with such obligations could lead to regulatory investigations or actions, litigation (including class claims) and mass arbitration demands, as well as potential fines and penalties, disruptions of our business operations, reputational harm; loss of revenue or profits, loss of customers or sales, and other adverse business consequences.</w:t>
      </w:r>
    </w:p>
    <w:p>
      <w:pPr>
        <w:spacing w:after="0" w:line="12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protected health information, financial data and information subject to government controls, such as controlled unclassified information (collectively, sensitive information). Our data processing activities subject us to numerous data privacy and security obligations, such as various laws, regulations, guidance, industry standards, external and internal privacy and security policies, contractual requirements, and other obligations that govern the processing of personal data by us and on our behalf.</w:t>
      </w:r>
    </w:p>
    <w:p>
      <w:pPr>
        <w:spacing w:after="0" w:line="132"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or HIPAA, as amended by the Health Information Technology for Economic and Clinical Health Act imposes specific requirements relating to the privacy, security and transmission of individually identifiable health information. 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imposes obligations on covered businesses, including, but not limited to, providing specific disclosures in privacy notices and honoring requests of such individuals to exercise certain privacy rights related to their personal data. The CCPA provides for statutory fines for noncompliance and allows private litigants affected by certain data breaches to recover significant statutory damages. Numerous similar laws have been considered or enacted in several other states and at the federal level and local levels, and we expect more states to pass similar laws in the future. Further, the U.S. government is contemplating federal privacy legislation, and certain local jurisdictions have enacted privacy legislation. Collectively, these reflect a trend toward more stringent privacy legislation in the United States. Evolving privacy legislation in the United States could further complicate compliance efforts and increase legal risk and compliance costs for us, the third parties with whom we work, and our customers.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In Canada, the Personal Information Protection and Electronic Documents Act and various related provincial laws, as well as Canada’s Anti-Spam Legislation, may apply to our operations. We also target customers in Asia and have operations in Japan and Singapore and may be subject to new and emerging data privacy regimes in Asia, including Japan’s Act on the Protection of Personal Information and Singapore’s Personal Data Protection Act. In the European Economic Area, or EEA, we are subject to the European General Data Protection Regulation, or GDPR, and in the United Kingdom, or UK, we are subject to the UK data protection regime, or UK GDPR (EU GDPR and UK GDPR, collectively GDPR). Companies that must comply with the GDPR face increased compliance obligations and risk, including more robust regulatory enforcement of data protection requirements, with violations potentially resulting in an order prohibiting the processing of personal data and/or fines of up to the greater of €20 million or 4% of the annual global revenues of the noncompliant company in the European Union, and up to the greater of GBP 17.5 million or 4% of the annual global revenues in the UK; or private litigation related to processing of personal data brought by classes of data subjects or consumer protection organizations authorized at law to represent their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-344805</wp:posOffset>
            </wp:positionV>
            <wp:extent cx="279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European and other data protection laws, including the GDPR, restrict the ability of companies to transfer personal data to the United States and other countries. Although there are currently various mechanisms that may be used to transfer personal data from the EEA and the UK to the United States in compliance with law, such as the EEA’s standard contractual clauses, the UK’s International Data Transfer Agreement/Addendum, and the EU-U.S. Data Privacy Framework (and UK Extension), these mechanisms are subject to legal challenges, and there is no assurance that we can satisfy or rely on these measures to lawfully transfer personal data to the United States. It is unclear how data transfers from countries such as the EEA and UK to the United States will be regulated in the long term, which measures must be put in place for onward transfers, and whether or not the Data Privacy Framework or related programs will provide a long-term solution to managing flows of personal data from the EEA and the UK to the United States.</w:t>
      </w:r>
    </w:p>
    <w:p>
      <w:pPr>
        <w:spacing w:after="0" w:line="13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such, we, or our vendors, may be unable to implement measures sufficient to lawfully transfer personal data in a manner necessary to provide our services in certain regions without incurring significant cost, or at all. If we cannot implement a valid compliance mechanism for cross-border data transfers, we may face significant adverse consequences, including the interruption or degradation of our operations, increased exposure to regulatory actions, substantial fines and penalties, and injunctions against processing or transferring personal data from Europe or other foreign jurisdictions. The inability to import personal data to the United States could significantly and negatively impact our business operations, including by limiting our ability to collaborate with parties that are subject to such cross-border data transfer or localization laws; or requiring us to increase our personal data processing capabilities and infrastructure in foreign jurisdictions at significant expense. Additionally, companies that transfer personal data outside of the EEA and UK to other jurisdictions, particularly the United States, are subject to increased scrutiny from regulators, individual litigants and activist groups. Some European regulators have significantly restricted some companies’ data processing activities, including ordering certain companies to suspend or permanently cease the transfer of certain personal data out of Europe for allegedly violating the GDPR’s cross-border data transfer limitations, which has materially impacted companies’ operations revenues.</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the U.S. Department of Justice issued a rule that places additional restrictions on certain data transactions involving countries of concern (e.g., China, Russia, and Iran) and covered individuals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Other data protection laws in the EEA and the UK, such as those implementing the ePrivacy Directive, restrict the use of cookies and similar technologies on which our website and product rely. Regulators are increasingly focused on compliance with requirements in the online tracking ecosystem. Other countries outside of Europe increasingly emulate European data protection laws. As a result, operating our business or offering our services in Europe or other countries with similar data protection laws would subject us to substantial compliance costs and potential liability and may require changes to the ways we collect and use personal data. We may also become subject to new laws that regulate non-personal data.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data outside the EEA. Moreover, the European Union’s Network and Information Security Directive (“NIS2”) regulates resilience and incident response capabilities of entities operating in a number of sectors. Non-compliance with NIS2 may lead to administrative fines of a maximum of 10 million Euros or up to 2% of the total worldwide revenue of the preceding fiscal year. Depending on how this Act and any similar laws are implemented and interpreted, we may have to adapt our business practices, contractual arrangements, and C3 AI Software to comply with such obligations.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to data privacy and security laws, we are also subject to the terms of external and internal privacy and security policies, codes, representations, certifications, industry standards adopted by industry groups, publications and frameworks, contractual obligations to third parties, and other statements related to privacy, information security, and data processing. If these policies, materials or statements are found to be deficient, lacking in transparency, deceptive, unfair, or misrepresentative of our practices, we may be subject to investigation, enforcement actions by regulators or other adverse consequences. We are subject to contractual obligations to indemnify and hold harmless third parties from the costs or consequences of non-compliance with data protection laws or other obligations.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may also be subject to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have adopted similar laws.</w:t>
      </w:r>
    </w:p>
    <w:p>
      <w:pPr>
        <w:spacing w:after="0" w:line="12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changing in an increasingly stringent fashion, creating some uncertainty as to effective legal frameworks. Additionally, these obligations may be subject to differing applications and interpretations, which may be inconsistent or conflict among jurisdictions. Preparing for and complying with these obligations requires significant resources, which may necessitate changes to our information technologies, systems, and practices, including our C3 AI Software, possibly limiting our ability to develop new applications and features, and to those of any third parties with whom we work. Although we endeavor to comply with all applicable data privacy and security obligations, we may at times fail (or be perceived to have failed) to do so. Moreover, despite our efforts, our personnel or those of the third parties with whom we work may fail to comply with such obligations, which could negatively impact our business operations and compliance posture.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 action claims) and mass arbitration demands; additional reporting requirements and/or oversight; bans or restrictions on processing personal data; orders to destroy or not use personal data; and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 expenditure of time and resources to defend any claim or inquiry; adverse publicity; revision or restructuring of our operations; or reduced demand for our C3 AI Software. Governments and regulators in certain jurisdictions, including Europe, are increasingly seeking to regulate cybersecurity and the use, transfer, and other processing of non-personal information (for example, under the European Union’s Data Act), an area which has typically been the subject of very limited or no specific regulation. This means that, if and to the extent such regulations are relevant to our operations or those of our customers, certain risks and considerations may apply both to our processing of both personal and non-personal information.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C3 AI Software processes our customers’ proprietary and sensitive information. Our C3 AI Software is built to be available on the infrastructure of third-party public cloud providers such as AWS, Microsoft Azure, and Google Cloud. We also use third parties to help us deliver services to our customers. These third parties may process personal information, protected health information, or other confidential information of our employees, partners or customers in a variety of contexts, including, without limitation, third-party providers of cloud-based infrastructure, encryption and authentication technology, employee email and payroll, content delivery to customers, and other functions. We collect such information from individuals located both in the United States and abroad and may process such information outside the country in which it was collected. Our ability to monitor these third parties’ information security practices is limited, and these third parties may not have adequate information security measures in place. We may share or receive sensitive information with or from third parties.</w:t>
      </w:r>
    </w:p>
    <w:p>
      <w:pPr>
        <w:spacing w:after="0" w:line="13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Cyber-attacks, denial-of-service attacks, ransomware attacks, business email compromises, computer malware, viruses, social engineering (including phishing), online and offline fraud and other malicious internet-based activity are prevalent in our industry and our customers’ industries and such attacks continue to increase.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and other cyber-attacks, that could materially disrupt our systems and operations, supply chain, and ability to produce, sell and distribute our goods and services. We also utilize third-party providers to host, transmit, or otherwise process electronic data in connection with our business activities. We or our vendors and business partners may experience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unavailable systems, unauthorized access or disclosure due to employee or other theft or misuse, denial-of-service attacks, sophisticated attacks by nation-state and nation-state supported actors, ransomware attacks, supply-chain attacks, software bugs, server malfunctions, software or hardware failures, loss of data or other information technology assets, adware, telecommunications failures, attacks enhanced or facilitated by AI (including through the discovery or exploitation of vulnerabilities facilitated by AI), and other similar threats. Ransomware attacks, including by organized criminal threat actors, nation-states, nation-state-supported actors, and “hacktivists,” are becoming increasingly prevalent and severe and can lead to significant interruptions in our operations,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incident impacting, or disruption to our information technology systems (including our product) or the third-party information technology systems that support us and our services. Remote work has also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or lead to a security incident or other interruption that could result in unauthorized, unlawful, or accidental acquisition, modification, destruction, loss, alteration, encryption, disclosure of, or access to our sensitive information, or our technology systems, or those of the third parties with whom we work. A security incident or other interruption could disrupt our ability (and that of third parties with whom we work) to provide our platform. Any actual or potential security breach of, or incident impacting, our C3 AI Software, our operational systems, our physical facilities, or the systems or facilities of our partners, or the perception that one has occurred, could result in material adverse consequences, such as litigation, indemnity obligations, regulatory enforcement actions, investigations, fines, penalties, mitigation and remediation costs, disputes, reputational harm, diversion of management’s attention, and other liabilities and damage to our business. Even though we do not control the security measures of third parties, we may be perceived or asserted to be responsible for any security breach or incident or suffer reputational harm even where we do not have recourse to the third party that caused the breach or incident. In addition, any failure by our partners to comply with applicable law or regulations could result in proceedings against us by governmental entities or others, with further financial, operational, and reputational damage. While we may be entitled to damages if the third parties with whom we work fail to satisfy their privacy or security-related obligations to us, any award may be insufficient to cover our damages, or we may be unable to recover such award.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4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costs to respond to a security breach or incident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incident or related regulatory actions or litigation, which could have an adverse effect on our business. In addition, laws, regulations, government guidance, and industry standards and practices in the United States and elsewhere are rapidly evolving to combat these threats. We may face increased compliance burdens regarding such requirements from regulators and customers regarding our products and services and also incur additional costs for oversight and monitoring of security risks relating to our own supply chain. For example, we have contractual and legal obligations, or we may voluntarily choose, to notify relevant stakeholders, including affected individuals, customers, regulators, and investors, of security breaches or incidents. Most jurisdictions have enacted laws requiring companies to notify individuals, regulatory authorities, and others of security breaches involving certain types of data, and implement other requirements, such as providing credit monitoring and identifying theft protection services. Such disclosures and related actions can be costly, and the disclosures or any actual or alleged failure to comply with such applicable requirements could lead to material adverse consequences. In addition, our agreements with certain customers and partners may require us to notify them in the event of a security breach or incident involving customer or partner data on our systems or those of subcontractors processing customer or partner data on our behalf. The foregoing types of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breach or incident and may cause us to breach customer contracts. Our agreements with certain customers require us to use industry-standard, reasonable, or other specified measures to safeguard sensitive personal information or confidential information, and any actual or perceived breach by us of our obligations to maintain such measures may increase the likelihood and frequency of customer audits under our agreements, which is likely to increase the costs of doing business. An actual or perceived security breach or incident could lead to claims by our customers, or other relevant stakeholders that we have failed to comply with such legal or contractual obligations. As a result, we could be subject to legal action or our customers could end their relationships with us. There can be no assurance that any limitations of liability in our contracts, which we have in certain agreements, would be enforceable or adequate or would otherwise protect us from liabilities, damages, or claims related to our data privacy and security obligations.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firstLine="318"/>
        <w:spacing w:after="0" w:line="262" w:lineRule="auto"/>
        <w:rPr>
          <w:sz w:val="20"/>
          <w:szCs w:val="20"/>
          <w:color w:val="auto"/>
        </w:rPr>
      </w:pPr>
      <w:r>
        <w:rPr>
          <w:rFonts w:ascii="Times New Roman" w:cs="Times New Roman" w:eastAsia="Times New Roman" w:hAnsi="Times New Roman"/>
          <w:sz w:val="17"/>
          <w:szCs w:val="17"/>
          <w:color w:val="auto"/>
        </w:rPr>
        <w:t>The techniques used to sabotage, disrupt or to obtain unauthorized access to our C3 AI Software, systems, networks, or physical facilities in which data is stored or through which data is transmitted change frequently. While we and a number of our vendors and business partners have implemented security measures designed to protect against security incidents, there can be no assurance that these measures will be effective. We take steps designed to detect and remediate vulnerabilities in our information security systems (such as our hardware and/ or software, including that of third parties with whom we work), and ensure the security, privacy, integrity, confidentiality, availability, and authenticity of our information technology networks and systems, processing and information, but we may not be able to anticipate or to implement effective preventive and remedial measures against all security and privacy threats or detect, mitigate and remediate all vulnerabilities on a timely basis. We cannot guarantee that the recovery systems, security protocols, network protection mechanisms and other security measures that we have integrated into our systems, networks and physical facilities, which are designed to protect against, detect and minimize security breaches and vulnerabilities, or those of our vendors and business partners, will be adequate to prevent or detect service interruption, unavailability or theft, or other material adverse consequences.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No security solution, strategy, or measures can address all possible security threats or block all methods of penetrating a network or otherwise perpetrating a security breach or incident. The risk of unauthorized circumvention of our security measures or those of the third parties with whom we work, has been heightened by advances in computer and software capabilities and the increasing sophistication of hackers who employ complex techniques, including without limitation, the theft or misuse of personal and financial information, counterfeiting, “phishing” or social engineering incidents, ransomware, extortion, publicly announcing security breaches, account takeover attacks, denial or degradation of service attacks, malware, fraudulent payment and identity theft. The techniques used to sabotage, disrupt or to obtain unauthorized access to our C3 AI Software, systems, networks, or physical facilities in which data is stored or through which data is transmitted change frequently, and we may be unable to implement adequate preventative measures or stop security breaches while they are occurring. Unremediated high risk or critical vulnerabilities pose material risks to our business. It may also be costly to detect, investigate, mitigate, contain, and remediate a security incident. Further, we may experience delays in developing and deploying remedial measures designed to address any such identified vulnerabilities.</w:t>
      </w:r>
    </w:p>
    <w:p>
      <w:pPr>
        <w:spacing w:after="0" w:line="34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Litigation resulting from security breaches or incidents may adversely affect our business. Unauthorized access to our C3 AI Software,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or modify our C3 AI Software capabilities in response to such litigation, which could have an adverse effect on our business. If a security breach or incident were to occur, and the confidentiality, integrity or availability of our data or the data of our partners or our customers was disrupted or perceived to have been disrupted, we could incur significant liability, or our C3 AI Software, systems, or networks may be perceived as less desirable, which could negatively affect our business and damage our reputation.</w:t>
      </w:r>
    </w:p>
    <w:p>
      <w:pPr>
        <w:spacing w:after="0" w:line="13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may not have adequate insurance coverage for security breaches or incidents, including fines, judgments, settlements, penalties, costs, attorney fees and other impacts that arise out of incidents or breaches. The damages, penalties and costs could be significant and may not be covered by insurance or could exceed our applicable insurance coverage limits.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insurance coverage and coverage for errors and omissions will continue to be available on acceptable terms or that our insurers will not deny coverage as to all or part of any future claim or loss. Our risks are likely to increase as we continue to expand our C3 AI Software, grow our customer base, and store, transmit, and otherwise process increasingly large amounts of proprietary and sensitive data.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to experiencing a security incident, we may experience negative consequences from our use of AI/ML within our company and in our products and services. Our or our customers’ sensitive information could be leaked, disclosed, or revealed as a result of or in connection with our employees’, personnel’s, or vendors’ use of generative AI technologies. Any sensitive information (including confidential, competitive, proprietary, or personal data) that we input into a third-party generative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 Moreover, AI/ML models may create flawed, incomplete, or inaccurate outputs, some of which may appear correct. This may happen if the inputs that the model relied on were inaccurate, incomplete or flawed (including if a bad actor “poisons” the AI/ML with bad inputs or logic), or if the logic of the AI/ML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and expose us to reputational and competitive harm, customer loss, and legal liability.</w:t>
      </w:r>
    </w:p>
    <w:p>
      <w:pPr>
        <w:spacing w:after="0" w:line="134"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could suffer disruptions, outages, defects, and other performance and quality problems with our C3 AI Software or with the public cloud and internet infrastructure on which it relies.</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business depends on our C3 AI Software to be available without disruption. We and the third parties with whom we work have experienced, or may in the future experience, disruptions, outages, defects, and other performance and quality problems related to our C3 AI Software. We have also experienced, and may in the future experience, disruptions, outages, defects, and other performance and quality problems with the public cloud and internet infrastructure on which our C3 AI Software relies. These problems can be caused by a variety of factors, including introductions of new functionality, vulnerabilities, coding errors, software defects, and defects in proprietary and open-source software, human error or misconduct, capacity constraints, design limitations, as well as from internal and external security breaches, malware and viruses, ransomware, cyber events, denial or degradation of service attacks or other security-related incidents.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Further, if our contractual and other business relationships with our public cloud providers are terminated, suspended, or suffer a material change to which we are unable to adapt, such as the elimination of services or features on which we depend, we could be unable to provide our C3 AI Software and could experience significant delays and incur additional expense in transitioning customers to a different public cloud provider.</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disruptions, outages, defects, and other security performance and quality problems with our C3 AI Software or with the public cloud, internet infrastructure, or other technology on which it relies, or any material change in our contractual and other business relationships with our public cloud providers, could result in reduced use of our C3 AI Software, increased expenses, including significant, unplanned capital investments and/or service credit obligations, and harm to our brand and reputation, any of which could have a material adverse effect on our business, financial condition, reputation and results of operations.</w:t>
      </w:r>
    </w:p>
    <w:p>
      <w:pPr>
        <w:spacing w:after="0" w:line="12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utilize third-party service providers to host and deliver our C3 AI Software, and any interruptions or delays in these services could impair our C3 AI Software and harm our business.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currently serve our customers from third-party data center hosting facilities located in the United States, Asia, and Europe. Our operations depend, in part, on our third-party facility providers’ ability to protect these facilities against damage or interruption from natural disasters, power or telecommunications failures, criminal acts, and similar events. In the event that our data center arrangements are terminated, or if there are any lapses of service or damage to a center, we have and could in the future experience lengthy interruptions in our C3 AI Software as well as delays and additional expenses in making new arrangements.</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designed our system infrastructure and procure and own or lease the computer hardware used for our C3 AI Software. Design and mechanical errors, spikes in usage volume, and failure to follow system protocols and procedures could cause our systems to fail, resulting in interruptions in our C3 AI Software. Any interruptions or delays in our service, whether as a result of third-party error, our own error, natural disasters, or security breaches, whether accidental or willful, could harm our relationships with our customers and cause our revenue to decrease and/or our expenses to increase.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foreign currency exchange rate fluctuations.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sell to customers globally and have international operations primarily in Europe. As we continue to invest in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years ended April 30, 2026 and 2025, 5% and 6% of our revenue, respectively, were denominated in currencies other than U.S. dollars. For the fiscal years ended April 30, 2026 and 2025, 11% and 7%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Therefore, increases in the value of the U.S. dollar and decreases in the value of foreign currencies could result in the dollar equivalent of our revenue being lower. We do not currently maintain a program to hedge exposures to non-U.S. dollar currencies.</w:t>
      </w:r>
    </w:p>
    <w:p>
      <w:pPr>
        <w:spacing w:after="0" w:line="130" w:lineRule="exact"/>
        <w:rPr>
          <w:sz w:val="20"/>
          <w:szCs w:val="20"/>
          <w:color w:val="auto"/>
        </w:rPr>
      </w:pPr>
    </w:p>
    <w:p>
      <w:pPr>
        <w:jc w:val="both"/>
        <w:ind w:firstLine="318"/>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Our business could be adversely affected if our employees cannot obtain and maintain required security clearances, we cannot obtain and maintain a required facility security clearance, or we do not comply with legal and regulatory obligations regarding the safeguarding of classified information.</w:t>
      </w:r>
    </w:p>
    <w:p>
      <w:pPr>
        <w:spacing w:after="0" w:line="8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One of our U.S. government contracts requires our employees to maintain security clearances, and also requires us to comply with the U.S Department of War, or DoW, security rules and regulations. The DoW has strict security clearance requirements for personnel who perform work in support of classified programs. In general, access to classified information, technology, facilities, or programs are subject to additional contract oversight and potential liability. In the event of a security incident involving classified information, technology, facilities, or programs, or personnel holding clearances, we may be subject to legal, financial, operational and reputational harm.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our existing contract (and any future contracts we may subsequently obtain) requiring a facility security clearance could be terminated.</w:t>
      </w:r>
    </w:p>
    <w:p>
      <w:pPr>
        <w:spacing w:after="0" w:line="136"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sustain a level of liquidity sufficient to support our operations and fulfill our obligations, our business, operating results and financial position could be adversely affected.</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actively monitor and manage our cash, cash equivalents and marketable securities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C3 AI Software, difficulties in executing our business plan and fulfilling our obligations, and other operational challenges. Any of these developments could adversely affect our business, operating results and financial position.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and cash generated from our operations. Although we currently anticipate that our existing cash, cash equivalents and marketable securities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cannot assure you that additional financing will be available to us on favorable terms when required, or at all. If we are unable to obtain adequate financing or financing on terms satisfactory to us when we require it, our ability to continue to support our business growth, development efforts and to respond to business challenges could be significantly impaired, and our business, operating results and financial condition may be adversely affected.</w:t>
      </w:r>
    </w:p>
    <w:p>
      <w:pPr>
        <w:spacing w:after="0" w:line="131"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in the past made, and may in the future make, acquisitions of other companies, products, and technologies. We have limited experience in acquisitions. We may not be able to find suitable acquisition candidates, and we may not be able to complete acquisitions on favorable terms, if at all. Any acquisitions we complete may not ultimately strengthen our competitive position or achieve our goals, and may be viewed negatively by customers, developers, or investors. Entry into certain transactions with foreign entities now or in the future may be subject to government regulations, including review related to foreign direct investment by U.S. or foreign government entities. If a transaction with a foreign entity was subject to regulatory review, such regulatory review might limit our ability to enter into the desired strategic alliance and thus our ability to carry out our long-term business strategy.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3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debt, it would result in increased fixed obligations and could also subject us to covenants or other restrictions that would impede our ability to flexibly operate our business.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regarding environmental, employment, social, and governance matters could adversely impact our reputation, our ability to retain employees, and the willingness of customers and others to do business with us.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There is continued focus from investors, regulators, and other corporate stakeholders on corporate policies addressing environmental, employment, social, and governance matters. Stakeholder expectations regarding appropriate corporate conduct on these matters are continually evolving, as are expectations regarding appropriate methods and types of related corporate disclosure. Investors, regulators, or other corporate stakeholders may not be satisfied with our existing environmental, employment, social, and governance practices or those of our customers, strategic partners, or vendors. These stakeholders may also be dissatisfied with the pace at which any revisions to our practices or the practices of our customers, strategic partners, or vendors are adopted and implemented. Further, investors and other stakeholders may object to the societal costs or ethical or other implications, or the perceived costs or implications, associated with the use of our products made by one or more of our customers. If any of these events were to occur, our reputation, our ability to retain employees, and the willingness of customers and others to do business with us may be materially and adversely impacted. We may also incur additional costs and require additional resources, which could be material, to monitor, report, and comply with related corporate disclosure obligations in the future, whether those obligations are imposed by law, regulation, or market expectation.</w:t>
      </w:r>
    </w:p>
    <w:p>
      <w:pPr>
        <w:spacing w:after="0" w:line="14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if our competitors’ corporate social responsibility performance is perceived to be better than ours, potential or current investors may elect to invest with our competitors instead.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materially and adversely affected.</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we expect there will likely continue to be increasing levels of regulation, as policymakers in jurisdictions such as Europe, California, and Australia are adopting or considering adopting various requirements regarding sustainability disclosures or actions. Such regulations are not uniform, which may increase the cost and complexity of compliance, as well as associated risks. Moreover, both advocates and opponents of sustainability matters are increasingly resorting to a range of activism forms, including litigation, to advance their perspectives. Addressing stakeholder expectations and regulatory requirements may be costly and any failure to successfully navigate such expectations, as well as evolving interpretations of any existing or new governmental laws or requirements, may result in reputational harm, loss of customers or contracts, regulatory or investor engagement, or other adverse impacts to our business. Our customers and other stakeholders are also subject to many of these expectations and regulatory considerations, which may augment or result in additional risks that also could adversely impact our business, results of operations, or financial condition.</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62"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invest in our operations outside the United States, where we may be subject to increased business and economic risks that could harm our business.</w:t>
      </w:r>
    </w:p>
    <w:p>
      <w:pPr>
        <w:spacing w:after="0" w:line="10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have Customer-Entities in more than 15 countries, and 10% of our revenue for the fiscal year ended April 30, 2026 was generated from customers outside of North America. As of April 30, 2026, we had ten international sales locations, and we plan to add local sales support in further select international markets over time. We expect to continue to expand our international operations, which may include opening offices in new jurisdictions and providing our C3 AI Software in additional languages. Any new markets or countries into which we attempt to sell subscriptions to our C3 AI Software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124"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talented and capable employees outside the United States and maintaining our company culture across all of our offices;</w:t>
      </w:r>
    </w:p>
    <w:p>
      <w:pPr>
        <w:spacing w:after="0" w:line="200" w:lineRule="exact"/>
        <w:rPr>
          <w:rFonts w:ascii="Times New Roman" w:cs="Times New Roman" w:eastAsia="Times New Roman" w:hAnsi="Times New Roman"/>
          <w:sz w:val="18"/>
          <w:szCs w:val="18"/>
          <w:color w:val="auto"/>
        </w:rPr>
      </w:pPr>
    </w:p>
    <w:p>
      <w:pPr>
        <w:spacing w:after="0" w:line="38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different pricing environments, longer sales cycles, and longer accounts receivable payment cycles and collections issues;</w:t>
      </w:r>
    </w:p>
    <w:p>
      <w:pPr>
        <w:spacing w:after="0" w:line="164"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international laws and regulations, including laws and regulations with respect to privacy, data protection, and consumer protection, and the risk of penalties to us and individual members of management or employees if our practices are deemed to be out of compliance;</w:t>
      </w:r>
    </w:p>
    <w:p>
      <w:pPr>
        <w:spacing w:after="0" w:line="87"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employee base in jurisdictions that may not give us the same employment and retention flexibility as does the United States;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interference with our intellectual property that resides outside of the United States, such as the risk of changes in foreign laws that could restrict our ability to use our intellectual property;</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partners outside of the United States;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our locally operated systems and our data and the data of our customers and partners accessible from such jurisdictions;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anti-money laundering laws and other regulatory limitations on our ability to provide our C3 AI Software in certain international markets;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military actions affecting the Middle East, Russia, Ukraine and/or surrounding regions and/or rest of the world;</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epidemics that could result in decreased economic activity in certain markets, decreased use of our C3 AI Software, or in our decreased ability to import, export, or sell our C3 AI Software to existing or new customers in international markets;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longer payment cycles and greater difficulty in collecting accounts receivable;</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16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Political actions, including trade protection and national security policies of U.S. and foreign government bodies, such as tariffs, import or export regulations, including deemed export restrictions, trade and economic sanctions, quotas or other trade barriers and restrictions could affect our ability to provide our C3 AI Software to our Customers and generally fulfill our contractual obligations and have an adverse effect on our future business opportunities. For example, in response to Russian military actions related to Ukraine, the United States and certain allies have imposed economic sanctions and export control measures and may impose additional sanctions or export control measures, which have and could in the future result in, among other things, severe or complete restrictions on exports and other commerce and business dealings involving Russia, Belarus, certain regions of Ukraine, and/or particular entities and individuals. Such actions, with regard to Russia, the broader Middle East, and other sanctioned jurisdictions around the world, could limit or block the license of our C3 AI Software to persons or entities affiliated with countries sanctioned or restricted by the United States and certain allies, which may negatively impact future opportunities.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 due to political conflict and military actions around the world. We and the third parties with whom we work may be vulnerable to a heightened risk of security breaches, computer malware, social-engineering attacks, supply-chain attacks, software bugs, server malfunctions, software or hardware failures, loss of data or other information technology assets, and other cyber-attacks, including attacks that could materially disrupt our systems and operations, supply chain, and ability to produce, sell and distribute our C3 AI Software. These attacks are expected to occur in the future.</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12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are not in compliance with applicable laws.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Certain of our C3 AI Software is subject to various restrictions under U.S. export control and trade and economic sanctions laws and regulations, including the U.S. Department of Commerce’s Export Administration Regulations, or EAR, and various economic and trade sanctions regulations administered by the U.S. Department of the Treasury’s Office of Foreign Assets Control, or OFAC. U.S. export control and economic sanctions laws and regulations include restrictions or prohibitions on the sale or supply of certain AI platform and applications, services and technologies to U.S. embargoed or sanctioned countries, governments, persons, and entities. Further, U.S. export laws and regulations include broad licensing requirements, including requiring authorization for the export of certain items. In addition, various countries regulate the import of certain items, including through import permitting and licensing requirements and have enacted or could enact laws that could limit our ability to distribute our C3 AI Software or could limit our customers’ ability to implement our C3 AI Software in those countries.</w:t>
      </w:r>
    </w:p>
    <w:p>
      <w:pPr>
        <w:spacing w:after="0" w:line="13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Changes in our C3 AI Software and, if required, obtaining the necessary export license or other authorization for a particular sale, or changes in export, sanctions, and import laws, may result in the delay or loss of sales opportunities, delay the introduction and sale of subscriptions to our C3 AI Software in international markets, prevent our customers with international operations from using our C3 AI Software or, in some cases, prevent the access or use of our C3 AI Software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C3 AI Software or in our decreased ability to export or sell our C3 AI Software to existing or potential customers with international operations. Any decreased use of our C3 AI Software or limitation on our ability to export or sell our C3 AI Software would likely harm our business.</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Even though we take precautions to ensure that we and our channel partners comply with all relevant regulations, any failure by us or our channel partners to comply with U.S. export control and economic sanctions laws and regulations or other laws could have negative consequences, including reputational harm, government investigations and substantial civil and criminal penalties (e.g., fines, incarceration for responsible employees and managers, and the possible loss of export or import privileges).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Foreign Corrupt Practices Act, or FCPA, and similar anti-corruption, anti-bribery, and similar laws, and non-compliance with such laws can subject us to criminal or civil liability and harm our business, financial condition and results of operations.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subject to the FCPA, U.S. domestic bribery laws, the UK Bribery Act, and other anti-corruption and similar laws in the countries in which we conduct activities. Anti-corruption and anti-bribery laws have been enforced aggressively in recent years and are interpreted broadly to generally prohibit companies, their employees, and their third-party business partners or intermediaries, representatives, and agents from authorizing, offering, or providing, directly or indirectly, improper payments or other benefits to government officials or others in the private sector in order to influence official action, direct business to any person, gain any improper advantage, or obtain or retain business. As we increase our international sales and business, our risks under these laws may increase.</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we increase our international sales and business and sales to the public sector, we may engage with third-party business partners and intermediaries to market our C3 AI Software and to obtain necessary permits, licenses, and other regulatory approvals. In addition, we or our third-party business partners or intermediaries may have direct or indirect interactions with officials and employees of government agencies or state-owned or affiliated entities. We can be held liable for the corrupt or other illegal activities of our third-party business partners or intermediaries, our employees, representatives, contractors, and agents, even if we do not explicitly authorize such activities.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our third-party business partners or intermediaries, employees, representatives, contractors, and agents may take actions in violation of our policies and applicable law, for which we may be ultimately held responsible.</w:t>
      </w:r>
    </w:p>
    <w:p>
      <w:pPr>
        <w:spacing w:after="0" w:line="12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as well as significant defense costs and other professional fees. In addition, noncompliance with anti-corruption, or anti-bribery laws could subject us to whistleblower complaints, investigations, sanctions, settlements, prosecution, enforcement actions, fines, damages, other civil or criminal penalties or injunctions against us, our officers, or our employees, disgorgement of profits, suspension or debarment from contracting with the U.S. government or other persons, reputational harm, adverse media coverage, and other collateral consequences. If any subpoenas or investigations are launched, or governmental or other sanctions are imposed, or if we do not prevail in any possible civil or criminal proceeding, our reputation, business, stock price, financial condition, prospects and results of operations could be harmed.</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liabilities on past sales for taxes, surcharges, and fees.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currently collect and remit applicable sales tax in jurisdictions where we, through our employees, have a presence and where we have determined, based on legal precedents in the jurisdiction, that sales of our C3 AI Software are classified as taxable. We do not currently collect and remit other state and local excise, utility, user, and ad valorem taxes, fees, or surcharges that may apply to our customers.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C3 AI Software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C3 AI Software as not taxable in certain jurisdictions will be accepted by state and local taxing authorities. Additionally, we have not historically collected value-added tax, or VAT, or goods and services tax, or GST, on sales of our C3 AI Software, generally, because we make almost all of our sales through our office in the United States, and we believe, based on information provided to us by our customers, that most of our sales are made to business customers.</w:t>
      </w:r>
    </w:p>
    <w:p>
      <w:pPr>
        <w:spacing w:after="0" w:line="14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Taxing authorities may challenge our position that we do not have sufficient nexus in a taxing jurisdiction or that our C3 AI Software is exempt from use, telecommunications, VAT, GST, and other taxes, which could result in increased tax liabilities for us or our customers, which could harm our business.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application of indirect taxes (such as sales and use tax, VAT, GST, business tax, and gross receipt tax) to businesses that transact online, such as ours, is a complex and evolving area. Following the U.S. Supreme Court decision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harm our business.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or other compensation, changes in the valuation of, or our ability to use, deferred tax assets and liabilities, the applicability of withholding taxes, and effects from acquisitions.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provision for taxes on our financial statements could also be impacted by changes in accounting principles, changes in U.S. federal, state, local, or international tax laws applicable to corporate multinationals such as the U.S. federal income tax legislation enacted on July 4, 2025, titled the One Big Beautiful Bill Act (“OBBBA”), other fundamental changes in law currently being considered by many countries and changes in taxing jurisdictions’ administrative interpretations, decisions, policies and positions.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U.S. federal, state, local,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12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or taxes may be subject to certain limitations.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April 30, 2026, we had net operating loss carryforwards, or NOLs, for U.S. federal and state purposes of $1,044.5 million and $400.4 million, respectively, which may be available to offset taxable income in the future, and portions of which expire in various years beginning in 2029. A lack of future taxable income would adversely affect our ability to utilize these NOLs before they expire. Federal NOLs incurred in tax years beginning after December 31, 2017 may be carried forward indefinitely, but the deductibility of such federal NOLs in tax years beginning after December 31, 2020 is limited to 80% of taxable income. In addition, under Section 382 of the Internal Revenue Code of 1986, as amended, or the Code, a corporation that undergoes an “ownership change” (as defined under Sections 382 and 383 of the Code and applicable Treasury Regulations) is subject to limitations on its ability to utilize its pre-change NOLs and certain other tax attributes to offset post-change taxable income or taxes. We may experience a future ownership change under Section 382 of the Code that could affect our ability to utilize our NOLs to offset our income. Furthermore, our ability to utilize NOLs of companies that we have acquired or may acquire in the future may be subject to limitations. In addition, at the state level, there may be periods during which the use of NOLs is suspended or otherwise limited, which could accelerate or permanently increase state taxes owed. For example, in California, legislation had temporarily suspended the utilization of NOLs and limited the utilization of credits to $5.0 million annually for 2024, 2025, and 2026 for certain taxpayers.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62"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10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primarily rely and expect to continue to rely on a combination of patent, patent licenses, trade secret, domain name protection, trademark, and copyright laws, as well as confidentiality and license agreements with our employees, consultants, and third parties, to protect our intellectual property and proprietary rights. From time to time, we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and may from time to time in the future become, a party to litigation and disputes related to our intellectual property, our business practices, and our C3 AI Software. While we intend to defend any lawsuit vigorously, litigation can be costly and time consuming, divert the attention of our management and key personnel from our business operations, and dissuade potential customers from subscribing to our C3 AI Software, which would harm our business. Furthermore, with respect to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customers or partners typically include certain provisions for indemnifying them against liabilities if our C3 AI Software infringes a third party’s intellectual property rights, including in the third-party open-source software components included in our C3 AI Software, which indemnification obligations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and other losses.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agreements with customers and other third parties generally include indemnification provisions under which we agree to indemnify them for losses suffered or incurred as a result of claims of intellectual property infringement,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generally, those limitations may not be fully enforceable in all situations, and we may still incur substantial liability under those agreements. Any dispute with a customer with respect to such obligations could have adverse effects on our relationship with that customer and other existing customers and new customers and harm our business and results of operations.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proprietary information could diminish our brand and other intangible assets.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April 30, 2026, our technology is currently protected by a broad patent portfolio, with 33 issued patents in the United States, 30 issued counterpart patents in a number of international jurisdictions, over 31 patent applications pending in the United States, and 74 patent applications pending internationally. Our issued patents expire beginning in 2031 through 2043. We continually review our development efforts to assess the existence and patentability of new intellectual property. The pending patent applications are presently undergoing examination or expected to undergo examination in the near future. These patents and patent applications seek to protect our proprietary inventions relevant to our business and not otherwise maintained as trade secrets. We intend to pursue additional intellectual property protection to the extent we believe it would be beneficial and cost-effective. We make business decisions about when to seek patent protection for a particular technology and when to rely upon copyright or trade secret protection, and the approach we select may ultimately prove to be inadequate. We also make financial decisions about which issued patents to maintain and which pending patent applications to continue prosecuting, which may result in abandonment of issued patents and pending patent applications and loss of the protection that those patents and patent applications might have provided. Even in cases where we seek and maintain patent protection, there is no assurance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that the resulting patents will effectively protect our ability to use or prevent unauthorized third parties from using every significant feature of our C3 AI Software. In addition, we believe that the protection of our trademark rights is an important factor in AI platform and application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defend against or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unauthorized disclosure of confidential information and may not provide an adequate remedy in the event of unauthorized disclosure of confidential information.</w:t>
      </w:r>
    </w:p>
    <w:p>
      <w:pPr>
        <w:spacing w:after="0" w:line="14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Our patents, copyrights, trademarks, or other intellectual property rights could be challenged or invalidated by others through administrative processes or litigation. Costly and time-consuming litigation could be necessary to enforce and determine the scope of our proprietary rights with risks of possible counterclaims from suspected infringers. If the protection of our proprietary rights is inadequate to prevent use or appropriation by third parties, the value of our C3 AI Software, brand, and other intangible assets may be diminished, and competitors may be able to replicate our C3 AI Software more effectively. Any of these events would harm our business.</w:t>
      </w:r>
    </w:p>
    <w:p>
      <w:pPr>
        <w:spacing w:after="0" w:line="133" w:lineRule="exact"/>
        <w:rPr>
          <w:sz w:val="20"/>
          <w:szCs w:val="20"/>
          <w:color w:val="auto"/>
        </w:rPr>
      </w:pPr>
    </w:p>
    <w:p>
      <w:pPr>
        <w:jc w:val="both"/>
        <w:ind w:right="2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open-source software could negatively affect our ability to offer and sell subscriptions to our C3 AI Software and subject us to possible litigation.</w:t>
      </w:r>
    </w:p>
    <w:p>
      <w:pPr>
        <w:spacing w:after="0" w:line="10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 portion of the technologies we use incorporates third-party open-source software, and we may incorporate third-party open-source software in our solutions in the future. Open-source software is generally licensed by its authors or other third parties under open-source licenses. From time to time, companies that use third-party open-source software have faced claims challenging the use of such open-source software and requesting compliance with the open-source software license terms. Accordingly, we may be subject to suits by parties claiming ownership of what we believe to be open-source software or claiming non-compliance with the applicable open-source licensing terms. Some open-source software licenses require end users who use, distribute or make available across a network software and services that include open-source software to offer aspects of the technology that incorporates the open-source software for no cost. We may also be required to make publicly available source code (which in some circumstances could include valuable proprietary code) for modifications or derivative works we create based upon, incorporating or using the open-source software and/or to license such modifications or derivative works under the terms of the particular open-source license. Additionally, if a third-party software provider has incorporated open-source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open-source software and protect our valuable proprietary source code, we may inadvertently use third-party open-source software in a manner that exposes us to claims of non-compliance with the terms of their licenses, including claims of intellectual property rights infringement or for breach of contract. Furthermore, there exists today an increasing number of types of open-source software licenses, almost none of which have been tested in courts of law to provide guidance of their proper legal interpretations. If we were to receive a claim of non-compliance with the terms of any of these open-source licenses, we could be required to incur significant legal expenses defending against those allegations and could be subject to significant damages, enjoined from offering or selling our solutions that contained the open-source software, and required to comply with the foregoing conditions, and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the use of third-party open-source software typically exposes us to greater risks than the use of third-party commercial software because open-source licensors generally do not provide warranties or controls on the functionality or origin of the software. Use of open-source software may also present additional security risks because the public availability of such software may make it easier for hackers and other third parties to determine how to compromise our C3 AI Software. Any of the foregoing could harm our business and could help our competitors develop platforms and applications that are similar to or better than ours.</w:t>
      </w:r>
    </w:p>
    <w:p>
      <w:pPr>
        <w:spacing w:after="0" w:line="12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of the characteristics of open-source software, there may be fewer technology barriers to entry by new competitors and it may be relatively easy for new and existing competitors with greater resources than we have to compete with us.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One of the characteristics of open-source software is that the governing license terms generally allow liberal modifications of the code and distribution thereof to a wide group of companies and/or individuals. As a result, others could easily develop new platforms and applications based upon those open-source programs that compete with existing open-source software that we support and incorporate into our C3 AI Software. Such competition with use of the open-source projects that we utilize can materialize without the same degree of overhead and lead time required by us, particularly if the customers do not value the differentiation of our proprietary components. It is possible for new and existing competitors with greater resources than ours to develop their own open-source software or hybrid proprietary and open-source software offerings, potentially reducing the demand for, and putting price pressure on, our C3 AI Software. In addition, some competitors make open-source software available for free download and use or may position competing open-source software as a loss leader. We cannot guarantee that we will be able to compete successfully against current and future competitors or that competitive pressure and/or the availability of open-source software will not result in price reductions, reduced operating margins and loss of market share, any one of which could seriously harm our business.</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open-source software programmers, many of whom we do not employ, or our own internal programmers do not continue to develop and enhance open-source technologies, we may be unable to develop new technologies, adequately enhance our existing technologies or meet customer requirements for innovation, quality and price.</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rely to a significant degree on a number of open-source software programmers, or committers and contributors, to develop and enhance components of our C3 AI Software. Additionally, members of the corresponding Apache Software Foundation Project Management Committees, or PMCs, many of whom are not employed by us, are primarily responsible for the oversight and evolution of the codebases of important components of the open-source data management ecosystem. If the open-source data management committees and contributors fail to adequately further develop and enhance open-source technologies, or if the PMCs fail to oversee and guide the evolution of open-source data management technologies in the manner that we believe is appropriate to maximize the market potential of our solutions, then we would have to rely on other parties, or we would need to expend additional resources, to develop and enhance our C3 AI Software. We also must devote adequate resources to our own internal programmers to support their continued development and enhancement of open-source technologies, and if we do not do so, we may have to turn to third parties or experience delays in developing or enhancing open-source technologies. We cannot predict whether further developments and enhancements to these technologies would be available from reliable alternative sources. In either event, we may incur additional development expenses and experience delays in technology release and upgrade. Delays in developing, completing, or delivering new or enhanced components to our C3 AI Software could cause our offerings to be less competitive, impair customer acceptance of our solutions, and result in delayed or reduced revenue for our solutions.</w:t>
      </w:r>
    </w:p>
    <w:p>
      <w:pPr>
        <w:spacing w:after="0" w:line="132"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software development and licensing model could be negatively impacted if the Apache License, Version 2.0 is not enforceable or is modified so as to become incompatible with other open-source licenses.</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Components of our C3 AI Software have been provided under the Apache License 2.0. This license states that any work of authorship licensed under it, and any derivative work thereof, may be reproduced and distributed provided that certain conditions are met. It is possible that a court would hold this license to be unenforceable or that someone could assert a claim for proprietary rights in a program developed and distributed under it. Any ruling by a court that this license is not enforceable, or that we may not reproduce or distribute those open-source software components as part of our C3 AI Software, may negatively impact our distribution or development of all or a portion of our solutions. In addition, at some time in the future it is possible that the license terms under which important components of the open-source projects in our C3 AI Software are distributed may be modified, which could, among other consequences, negatively impact our continuing development or distribution of the software code subject to the new or modified license.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Further, full utilization of our C3 AI Software may depend on software, applications, hardware and services from various third parties, and these items may not be compatible with our C3 AI Software and its development or may not be available to us or our customers on commercially reasonable terms, or at all, which could harm our business.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106"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volume retail trading by participants connected in a social network;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 particularly in light of the significant portion of our revenue derived from a limited number of customers;</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12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applications, features, or services;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 which may include short seller reports;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privacy or data security incidents;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applications, products, services, or technologies by us or our competitors;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 slow or negative growth of our markets; and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40" w:hanging="316"/>
        <w:spacing w:after="0" w:line="255"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other technical trading factors.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Accordingly, we cannot assure you of the liquidity of an active trading market, your ability to sell your shares of our Class A common stock when desired, or the prices that you may obtain for your shares of our Class A common stock. An inactive market may also impair our ability to raise capital to continue to fund operations by selling shares of our Class A common stock and may impair our ability to acquire or make investments in complementary companies, products, or technologies by using shares of our common stock as consideration.</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in the market price of a particular company’s securities, securities class action litigation has often been instituted against these companies. For example, in March 2022 and August 2025, we and certain of our current and former officers and directors were sued in putative class action lawsuits alleging violations of the federal securities laws for allegedly making material misstatements or omissions about aspects of the company’s business. Securities litigation against us could result in substantial costs and a diversion of our management’s attention and resources. We may be the target of additional litigation of this type in the future as well.</w:t>
      </w:r>
    </w:p>
    <w:p>
      <w:pPr>
        <w:spacing w:after="0" w:line="128" w:lineRule="exact"/>
        <w:rPr>
          <w:sz w:val="20"/>
          <w:szCs w:val="20"/>
          <w:color w:val="auto"/>
        </w:rPr>
      </w:pPr>
    </w:p>
    <w:p>
      <w:pPr>
        <w:jc w:val="both"/>
        <w:ind w:right="2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Short sellers may engage in manipulative activity intended to drive down the market price of our Class A common stock, which could also result in related regulatory and governmental scrutiny, among other effects.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At any time, short sellers may publish, or arrange for the publication of, opinions or characterizations that are intended to create negative market momentum. Issuers, like us, whose securities have historically had limited trading history or volumes and/or have been susceptible to relatively high volatility levels can be vulnerable to such short seller attacks. Short selling reports can cause increased volatility in an issuer’s stock price, and result in regulatory and governmental inquiries. Any inquiry or formal investigation from a governmental organization or other regulatory body, including any inquiry from the SEC or the U.S. Department of Justice, could result in a material diversion of our management’s time and could have a material adverse effect on our business and results of operations.</w:t>
      </w:r>
    </w:p>
    <w:p>
      <w:pPr>
        <w:spacing w:after="0" w:line="133"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the holders of our Class B common stock, limiting your ability to influence corporate matters.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Class B common stock has 50 votes per share, and our Class A common stock has one vote per share. As of June 10, 2026, Mr. Siebel and related entities beneficially owned approximately 87.8% of our Class B common stock and approximately 14.9% of our outstanding Class A common stock, resulting in beneficial ownership of capital stock representing approximately 49.6% of the voting power of our outstanding capital stock. Therefore, Mr. Siebel has significant control over our management and affairs and over certain matters requiring stockholder approval, including election of directors and significant corporate transactions, such as a merger or other sale of us or our assets. This concentrated control will limit your ability to influence corporate matters for the foreseeable future, and, as a result, the market price of our Class A common stock could be adversely affected.</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Each share of Class B common stock will be automatically converted into one share of Class A common stock upon the earliest of (1) the date that is six months following the death or incapacity of Mr. Siebel, (2) the date that is six months following the date that Mr. Siebel is no longer providing services to us as an officer, employee, director, or consultant, (3) December 11, 2040, and (4) the date specified by the holders of a majority of the then outstanding shares of Class B common stock, voting as a separate class.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Siebel retains a significant portion of his holdings of Class B common stock for an extended period of time, he could, in the future, control a majority of the combined voting power of our Class A and Class B common stock. As a board member, Mr. Siebel owes a fiduciary duty to our stockholders and must act in good faith in a manner he reasonably believes to be in the best interests of our stockholders. As a stockholder, even a controlling stockholder, Mr. Siebel is entitled to vote his shares in his own interests, which may not always be in the interests of our stockholders generally.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FTSE Russell and Standard &amp; Poor’s do not allow most newly public companies utilizing dual or multi-class capital structures to be included in their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dual class capital structure would make us ineligible for inclusion in certain indices, and as a result, mutual funds, exchange-traded funds and other investment vehicles that attempt to passively track these indices will not be investing in our stock. In addition, other stock indices may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136"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and Class B common stock by existing holders in the public market could cause the market price of our Class A common stock to decline.</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and Class B common stock (after automatically converting to Class A common stock) in the public market, particularly sales by our directors, executive officers, and principal stockholders, or the perception that these sales might occur, could depress the market price of our Class A common stock.</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April 30, 2026, there were outstanding options to purchase an aggregate of approximately 32,419,000 shares of our Class A common stock, and approximately 19,414,000 shares of our Class A common stock subject to restricted stock unit awards. We have registered all of the shares of Class A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any such equity awards are exercised or settled for shares of Class A common stock, subject to compliance with applicable securities laws. In addition, certain of our stockholders have registration rights that would require us to register shares owned by them for public sale in the United States.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21"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constituent documents and Delaware law may prevent or frustrate attempts by our stockholders to change our management or hinder efforts to acquire a controlling interest in us, and the market price of our Class A common stock may be lower as a result.</w:t>
      </w:r>
    </w:p>
    <w:p>
      <w:pPr>
        <w:spacing w:after="0" w:line="1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in control was considered favorable by our stockholders. These include provisions:</w:t>
      </w:r>
    </w:p>
    <w:p>
      <w:pPr>
        <w:spacing w:after="0" w:line="110"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so that not all members of our board of directors are elected at one time;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our board of directors to establish the number of directors and fill any vacancies and newly created directorships;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only be removed for cause;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for directors;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voting to amend some provisions in our certificate of incorporation and bylaws;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our board of directors could use to implement a stockholder rights plan;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special meetings of stockholders;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requires all stockholder actions to be taken at a meeting of our stockholders;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as described above.</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28"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substantially all disputes between us and our stockholders, which could limit our stockholders’ ability to choose the judicial forum for disputes with us or our directors, officers or employees.</w:t>
      </w:r>
    </w:p>
    <w:p>
      <w:pPr>
        <w:spacing w:after="0" w:line="12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under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In addition,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Furthermore, Section 22 of the Securities Act creates concurrent jurisdiction for federal and state courts over all suits brought to enforce any duty or liability created by the Securities Act. Accordingly, both state and federal courts have jurisdiction to entertain such claims.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13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2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the ability of the holders of our Class A common stock to achieve a return on their investment will depend on appreciation in the price of our common stock.</w:t>
      </w:r>
    </w:p>
    <w:p>
      <w:pPr>
        <w:spacing w:after="0" w:line="107"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our Class A common stock after price appreciation, which may never occur, as the only way to realize any future gains on their investment.</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62"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or the Exchange Act, the Sarbanes-Oxley Act, and the rules and regulations of the applicable listing standards of the New York Stock Exchange. We expect that the requirements of these rules and regulations will continue to increase our legal, accounting, and financial compliance costs, make some activities more difficult, time consuming, and costly, and place significant strain on our personnel, systems, and resources.</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w:t>
      </w:r>
    </w:p>
    <w:p>
      <w:pPr>
        <w:spacing w:after="0" w:line="137"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We are required, pursuant to Section 404, to furnish a report by management on, among other things, the effectiveness of our internal control over financial reporting. This assessment includes disclosure of any material weaknesses identified by our management in our internal control over financial reporting. Our independent registered public accounting firm is also required to formally attest to the effectiveness of our internal control over financial reporting. Our compliance with Section 404 requires that we incur substantial accounting expense and expend significant management efforts. We currently have an external audit group and have hired additional accounting and financial staff.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have an adverse effect on our business, financial condition and results of operations and could cause a decline in the market price of our Class A common stock.</w:t>
      </w:r>
    </w:p>
    <w:p>
      <w:pPr>
        <w:spacing w:after="0" w:line="11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adversely affect our financial results or financial condition.</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GAAP and related accounting pronouncements, implementation guidelines and interpretations with regard to a wide range of matters that are relevant to our business, such as revenue recognition, impairment of intangible assets, lease obligations, vendor allowances, tax matters and litigation, are complex and involve many subjective assumptions, estimates and judgments. Changes in accounting standards or their interpretation or changes in underlying assumptions, estimates or judgments could significantly change our reported or expected financial performance or financial condition. The implementation of new accounting standards could also require certain systems, internal process and other changes that could increase our operating costs.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that have a negative impact on our business.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claims that arise in the ordinary course of business, such as claims brought by our customers in connection with commercial or intellectual property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 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and demands upon management as a result of complying with the laws and regulations affecting public companies in the United States, which may harm our business.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expect to continue to incur significant additional legal, accounting, and other expenses. In addition, changing laws, regulations, and standards relating to corporate governance and public disclosure, including regulations implemented by the SEC and the New York Stock Exchange,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Occurrence of any catastrophic event, including earthquake, excessive heat, fire, flood, hail, hurricane, typhoon, tsunami, volcanic eruption, wildfire, windstorm, or other weather event (many of which are becoming more acute and frequent as a result of global climate change), epidemic, pandemic, power loss, telecommunications failure, software or hardware malfunctions, political unrest, geopolitical instability, blockade cyberattack, war, armed conflict, or acts of terrorism could result in lengthy interruptions in our service. In particular, our U.S. headquarters are located in the San Francisco Bay Area, a region known for seismic activity, rising ocean levels and wildfires,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our C3 AI Software to our customers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Mitigation Strategies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part of our commitment to safeguarding our assets and maintaining the integrity of our operations, C3 AI has established a comprehensive cybersecurity risk management program. This program is designed to identify, assess, and mitigate cybersecurity risks that could potentially impact our business operations, customers, and stakeholders. C3 AI employs a multi-layered approach to identify and assess cybersecurity threats. This includes:</w:t>
      </w:r>
    </w:p>
    <w:p>
      <w:pPr>
        <w:spacing w:after="0" w:line="123" w:lineRule="exact"/>
        <w:rPr>
          <w:sz w:val="20"/>
          <w:szCs w:val="20"/>
          <w:color w:val="auto"/>
        </w:rPr>
      </w:pPr>
    </w:p>
    <w:p>
      <w:pPr>
        <w:ind w:left="640" w:hanging="316"/>
        <w:spacing w:after="0" w:line="27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Regular vulnerability scanning: </w:t>
      </w:r>
      <w:r>
        <w:rPr>
          <w:rFonts w:ascii="Times New Roman" w:cs="Times New Roman" w:eastAsia="Times New Roman" w:hAnsi="Times New Roman"/>
          <w:sz w:val="18"/>
          <w:szCs w:val="18"/>
          <w:color w:val="auto"/>
        </w:rPr>
        <w:t>We conduct internal and external vulnerability scans of our systems and applications to identify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that attackers could exploit.</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Penetration testing: </w:t>
      </w:r>
      <w:r>
        <w:rPr>
          <w:rFonts w:ascii="Times New Roman" w:cs="Times New Roman" w:eastAsia="Times New Roman" w:hAnsi="Times New Roman"/>
          <w:sz w:val="18"/>
          <w:szCs w:val="18"/>
          <w:color w:val="auto"/>
        </w:rPr>
        <w:t>We engage independent security professionals to conduct simulated cyberattacks on our systems to assess the effectiveness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security controls.</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Threat intelligence monitoring: </w:t>
      </w:r>
      <w:r>
        <w:rPr>
          <w:rFonts w:ascii="Times New Roman" w:cs="Times New Roman" w:eastAsia="Times New Roman" w:hAnsi="Times New Roman"/>
          <w:sz w:val="18"/>
          <w:szCs w:val="18"/>
          <w:color w:val="auto"/>
        </w:rPr>
        <w:t>We subscribe to threat intelligence feeds that provide us with real-time information about the latest cyber threats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vulnerabilities.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640" w:hanging="316"/>
        <w:spacing w:after="0" w:line="261"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 assessment framework:</w:t>
      </w:r>
      <w:r>
        <w:rPr>
          <w:rFonts w:ascii="Times New Roman" w:cs="Times New Roman" w:eastAsia="Times New Roman" w:hAnsi="Times New Roman"/>
          <w:sz w:val="18"/>
          <w:szCs w:val="18"/>
          <w:color w:val="auto"/>
        </w:rPr>
        <w:t> We utilize a risk assessment framework to categorize identified threats based on likelihood and potential impact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operations, financial stability, and reputation. This framework includes third-party vendor risk assessment to manage cybersecurity risks associated with our use of these providers. The third-party vendor risk assessment framework includes the following:</w:t>
      </w:r>
    </w:p>
    <w:p>
      <w:pPr>
        <w:spacing w:after="0" w:line="121" w:lineRule="exact"/>
        <w:rPr>
          <w:rFonts w:ascii="Times New Roman" w:cs="Times New Roman" w:eastAsia="Times New Roman" w:hAnsi="Times New Roman"/>
          <w:sz w:val="18"/>
          <w:szCs w:val="18"/>
          <w:color w:val="auto"/>
        </w:rPr>
      </w:pPr>
    </w:p>
    <w:p>
      <w:pPr>
        <w:ind w:left="1280" w:hanging="320"/>
        <w:spacing w:after="0" w:line="274"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due diligence of the vendors’ standards, including reviewing security policies, certifications, and third-party attestation and past security incidents.</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vendors to complete security questionnaires and provide any security and vulnerability scans.</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security expectations within the vendor contract including data security obligations, access controls, incident reporting procedures, security assessment calls if necessary and review of incident response plan, business continuity and disaster recovery plan.</w:t>
      </w:r>
    </w:p>
    <w:p>
      <w:pPr>
        <w:spacing w:after="0" w:line="108"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Network security: </w:t>
      </w:r>
      <w:r>
        <w:rPr>
          <w:rFonts w:ascii="Times New Roman" w:cs="Times New Roman" w:eastAsia="Times New Roman" w:hAnsi="Times New Roman"/>
          <w:sz w:val="18"/>
          <w:szCs w:val="18"/>
          <w:color w:val="auto"/>
        </w:rPr>
        <w:t>Firewalls, intrusion detection/prevention systems (IDS/IPS), and data loss prevention (DLP) solutions are deployed to monitor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filter network traffic.</w:t>
      </w:r>
    </w:p>
    <w:p>
      <w:pPr>
        <w:spacing w:after="0" w:line="10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Endpoint security:</w:t>
      </w:r>
      <w:r>
        <w:rPr>
          <w:rFonts w:ascii="Times New Roman" w:cs="Times New Roman" w:eastAsia="Times New Roman" w:hAnsi="Times New Roman"/>
          <w:sz w:val="18"/>
          <w:szCs w:val="18"/>
          <w:color w:val="auto"/>
        </w:rPr>
        <w:t> Antivirus, anti-malware, and Mobile Device Management solutions are implemented on all company devices.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controls: </w:t>
      </w:r>
      <w:r>
        <w:rPr>
          <w:rFonts w:ascii="Times New Roman" w:cs="Times New Roman" w:eastAsia="Times New Roman" w:hAnsi="Times New Roman"/>
          <w:sz w:val="18"/>
          <w:szCs w:val="18"/>
          <w:color w:val="auto"/>
        </w:rPr>
        <w:t>User access controls are implemented to restrict access to sensitive data and systems based on the principle of least privilege.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security: </w:t>
      </w:r>
      <w:r>
        <w:rPr>
          <w:rFonts w:ascii="Times New Roman" w:cs="Times New Roman" w:eastAsia="Times New Roman" w:hAnsi="Times New Roman"/>
          <w:sz w:val="18"/>
          <w:szCs w:val="18"/>
          <w:color w:val="auto"/>
        </w:rPr>
        <w:t>Encryption solutions are used to protect sensitive data both at rest and in transit.</w:t>
      </w:r>
    </w:p>
    <w:p>
      <w:pPr>
        <w:spacing w:after="0" w:line="164"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awareness and training: </w:t>
      </w:r>
      <w:r>
        <w:rPr>
          <w:rFonts w:ascii="Times New Roman" w:cs="Times New Roman" w:eastAsia="Times New Roman" w:hAnsi="Times New Roman"/>
          <w:sz w:val="18"/>
          <w:szCs w:val="18"/>
          <w:color w:val="auto"/>
        </w:rPr>
        <w:t>We provide regular security awareness training to all employees to educate them on cybersecurity best practices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phishing attempts.</w:t>
      </w:r>
    </w:p>
    <w:p>
      <w:pPr>
        <w:spacing w:after="0" w:line="10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see the section titled “Risk Factors” contained in Part I, Item 1A of this Annual Report on Form 10-K.</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Cybersecurity risk management is integrated with our overall enterprise risk management framework. Identified cybersecurity risks are reported through established channels to relevant stakeholders, including senior management and the Board of Directors. Mitigation strategies are prioritized and incorporated into the overall risk management plan. We continuously identify and evaluate potential cybersecurity threats. While the nature of cyber threats makes it impossible to predict all future incidents, some currently identified material cybersecurity risks include:</w:t>
      </w:r>
    </w:p>
    <w:p>
      <w:pPr>
        <w:spacing w:after="0" w:line="127" w:lineRule="exact"/>
        <w:rPr>
          <w:sz w:val="20"/>
          <w:szCs w:val="20"/>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Ransomware attacks that could disrupt business operations and lead to data breaches.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attacks that could compromise employee credentials and provide unauthorized access to sensitive data.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attacks targeting third-party vendors with access to our systems or data.</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 is responsible for the overall implementation and effectiveness of the cybersecurity program. This includes allocating resources, establishing policies, and ensuring employee adherence to security practices. The VP of Information Security leads the cybersecurity team and reports directly to the VP of Cloud Infrastructure, both of whom have expertise in data security and cybersecurity.</w:t>
      </w:r>
    </w:p>
    <w:p>
      <w:pPr>
        <w:spacing w:after="0" w:line="125" w:lineRule="exact"/>
        <w:rPr>
          <w:sz w:val="20"/>
          <w:szCs w:val="20"/>
          <w:color w:val="auto"/>
        </w:rPr>
      </w:pPr>
    </w:p>
    <w:p>
      <w:pPr>
        <w:jc w:val="both"/>
        <w:ind w:right="20" w:firstLine="318"/>
        <w:spacing w:after="0" w:line="304" w:lineRule="auto"/>
        <w:rPr>
          <w:sz w:val="20"/>
          <w:szCs w:val="20"/>
          <w:color w:val="auto"/>
        </w:rPr>
      </w:pPr>
      <w:r>
        <w:rPr>
          <w:rFonts w:ascii="Times New Roman" w:cs="Times New Roman" w:eastAsia="Times New Roman" w:hAnsi="Times New Roman"/>
          <w:sz w:val="17"/>
          <w:szCs w:val="17"/>
          <w:color w:val="auto"/>
        </w:rPr>
        <w:t>The Audit Committee of the Board of Directors has specific oversight responsibilities related to cybersecurity, including review of security controls and incident response plans. Management provides updates to the Audit Committee on cybersecurity risks and the effectiveness of our cybersecurity program.</w:t>
      </w:r>
    </w:p>
    <w:p>
      <w:pPr>
        <w:spacing w:after="0" w:line="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commitment to security is evidenced by our certifications under ISO 27001, ISO 27017, SOC 1 Type II, SOC 2 Type II, HIPAA, NIST 800-171, and FedRAMP. Additionally, we subject our standards-based certifications to annual audits by third parties and have successfully undergone examinations such as the Health Insurance Portability and Accountability Act (HIPAA), validated by qualified third-party assessors.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cybersecurity incidents experienced by C3 AI during the fiscal year ended April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current principal executive office is located in Redwood City, California, which consists of approximately 283,015 square feet of space under a lease that expires in March 2033.</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lease 14 other offices around the world for our employees, including in Tysons, Virginia; Houston, Texas; New York City, New York; Atlanta, Georgia; Chicago, Illinois; Huntsville, Alabama; Minneapolis, Minnesota; London, UK; Paris, France; Bengaluru, India; Amsterdam, Netherlands; Rome, Italy; Guadalajara, Mexico; and Munich, Germany.</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In connection with our ongoing restructuring activities, we are evaluating our global real estate footprint to align our facilities with current and anticipated operational requirements. We do not expect to procure significant additional space in the near term. We believe our existing facilities are adequate and suitable for our current needs and that, should it be needed, suitable additional or alternative space will be available to accommodate our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From time to time, we may become involved in legal proceedings relating to claims arising from the ordinary course of business. Except as disclosed in </w:t>
      </w:r>
      <w:r>
        <w:rPr>
          <w:rFonts w:ascii="Times New Roman" w:cs="Times New Roman" w:eastAsia="Times New Roman" w:hAnsi="Times New Roman"/>
          <w:sz w:val="18"/>
          <w:szCs w:val="18"/>
          <w:i w:val="1"/>
          <w:iCs w:val="1"/>
          <w:color w:val="auto"/>
        </w:rPr>
        <w:t xml:space="preserve">Note 7. Commitments and Contingencies - Legal Proceedings </w:t>
      </w:r>
      <w:r>
        <w:rPr>
          <w:rFonts w:ascii="Times New Roman" w:cs="Times New Roman" w:eastAsia="Times New Roman" w:hAnsi="Times New Roman"/>
          <w:sz w:val="18"/>
          <w:szCs w:val="18"/>
          <w:color w:val="auto"/>
        </w:rPr>
        <w:t>in our consolidated financial statements included elsewhere in this Annual Report on Form 10-K, we are not presently a party to any other such litigation the outcome of which, we believe, if determined adversely to us, would individually, or taken together, have a material adverse effect on our business, operating results, cash flows, or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ISSUERS PURCHASES OF EQUITY SECURITIES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Stock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Class A common stock is traded on The New York Stock Exchange, or NYSE, under the symbol “AI.” The shares of Class A common stock and Class B common stock are identical, except with respect to voting, conversion, and transfer rights. Each share of Class A common stock is entitled to one vote. Each share of Class B common stock is entitled to 50 votes. Class A and Class B common stock have a par value of $0.001 per share and are referred to as common stock throughout this Annual Report on Form 10-K, unless otherwise noted. Holders of common stock are entitled to receive any dividends as may be declared from time to time by the board of directors.</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Shares of Class B common stock may be converted to Class A common stock at any time at the option of the stockholder. Each share of Class B common stock will be automatically converted into one share of Class A common stock upon the earliest of the following: (i) the date that is six months following the death or incapacity of Mr. Siebel; (ii) the date that is six months following the date that Mr. Siebel is no longer providing services to the Company as an officer, employee, director, or consultant; (iii) December 11, 2040, which is the twentieth anniversary of the completion of the initial public offering, or IPO; or (iv) the date specified by the holders of a majority of the then outstanding shares of Class B common stock, voting as a separate class. Future transfers by holders of Class B common stock will generally result in those shares converting to Class A common stock. Refer to </w:t>
      </w:r>
      <w:r>
        <w:rPr>
          <w:rFonts w:ascii="Times New Roman" w:cs="Times New Roman" w:eastAsia="Times New Roman" w:hAnsi="Times New Roman"/>
          <w:sz w:val="18"/>
          <w:szCs w:val="18"/>
          <w:i w:val="1"/>
          <w:iCs w:val="1"/>
          <w:color w:val="auto"/>
        </w:rPr>
        <w:t>Note 8. Stockholders’ Equity</w:t>
      </w:r>
      <w:r>
        <w:rPr>
          <w:rFonts w:ascii="Times New Roman" w:cs="Times New Roman" w:eastAsia="Times New Roman" w:hAnsi="Times New Roman"/>
          <w:sz w:val="18"/>
          <w:szCs w:val="18"/>
          <w:color w:val="auto"/>
        </w:rPr>
        <w:t xml:space="preserve">, in the Notes to Consolidated Financial Statements included in </w:t>
      </w:r>
      <w:r>
        <w:rPr>
          <w:rFonts w:ascii="Times New Roman" w:cs="Times New Roman" w:eastAsia="Times New Roman" w:hAnsi="Times New Roman"/>
          <w:sz w:val="18"/>
          <w:szCs w:val="18"/>
          <w:i w:val="1"/>
          <w:iCs w:val="1"/>
          <w:color w:val="auto"/>
        </w:rPr>
        <w:t>Part II, Item 8, “Financial Statements and Supplementary Data”</w:t>
      </w:r>
      <w:r>
        <w:rPr>
          <w:rFonts w:ascii="Times New Roman" w:cs="Times New Roman" w:eastAsia="Times New Roman" w:hAnsi="Times New Roman"/>
          <w:sz w:val="18"/>
          <w:szCs w:val="18"/>
          <w:color w:val="auto"/>
        </w:rPr>
        <w:t>, of this Form 10-K for a discussion of our conversion of Class B common stock.</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168"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As of June 10, 2026, there were 128 stockholders of record of our Class A common stock. Because many of our shares of Class A common stock are held by brokers and other institutions on behalf of stockholders, we are unable to estimate the total number of stockholders represented by these record holders.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Securities Exchange Commission (“SEC”) for purposes of Section 18 of the Securities Exchange Act of 1934, as amended (“Exchange Act”), or otherwise subject to the liabilities under that Section, and shall not be deemed to be incorporated by reference into any of our filings under the Securities Act or the Exchange Act.</w:t>
      </w:r>
    </w:p>
    <w:p>
      <w:pPr>
        <w:spacing w:after="0" w:line="12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on our Class A common stock since December 9, 2020 (the date our Class A common stock commenced trading on the NYSE) relative to the cumulative total returns of the S&amp;P 500 Index and the S&amp;P 500 Information Technology Index over the same period. An investment of $100 (with reinvestment of all dividends) is assumed to have been made in our Class A common stock and in each index at the market close on December 9, 2020, and its relative performance is tracked through April 30, 2026. The initial public offering price of our Class A common stock, which had a closing stock price of $92.49 on December 9, 2020, was $42.00 per share.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returns shown are based on historical results and are not intended to suggest future performance.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890905</wp:posOffset>
            </wp:positionV>
            <wp:extent cx="5553075" cy="30289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53075" cy="302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9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“Risk Factors” under Part I, Item 1A in this Annual Report on Form 10-K for a discussion of important factors that could cause our actual results to differ materially from those anticipated in these forward-looking statements. Unless the context otherwise requires, all references in this report to “C3.ai,” “C3 AI,” the “Company”, “we,” “our,” “us,” or similar terms refer to C3.ai, Inc. and its subsidiaries.</w:t>
      </w:r>
    </w:p>
    <w:p>
      <w:pPr>
        <w:spacing w:after="0" w:line="13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Unless otherwise stated, references to particular years, quarters, months or periods refer to our fiscal years ended April 30 and the associated quarters, months and periods of those fiscal years.</w:t>
      </w:r>
    </w:p>
    <w:p>
      <w:pPr>
        <w:spacing w:after="0" w:line="107" w:lineRule="exact"/>
        <w:rPr>
          <w:sz w:val="20"/>
          <w:szCs w:val="20"/>
          <w:color w:val="auto"/>
        </w:rPr>
      </w:pPr>
    </w:p>
    <w:p>
      <w:pPr>
        <w:jc w:val="both"/>
        <w:ind w:firstLine="318"/>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 discussion regarding our financial condition and results of operations for the fiscal year ended April 30, 2026 compared to the fiscal year ended April 30, 2025 is presented below. A discussion regarding our financial condition and results of operations for the fiscal year ended April 30, 2025 compared to the fiscal year ended April 30, 2024 can be found in “Management’s Discussion and Analysis of Financial Condition and Results of Operations” in Part II, Item 7 of our </w:t>
      </w:r>
      <w:hyperlink r:id="rId85">
        <w:r>
          <w:rPr>
            <w:rFonts w:ascii="Times New Roman" w:cs="Times New Roman" w:eastAsia="Times New Roman" w:hAnsi="Times New Roman"/>
            <w:sz w:val="18"/>
            <w:szCs w:val="18"/>
            <w:i w:val="1"/>
            <w:iCs w:val="1"/>
            <w:u w:val="single" w:color="auto"/>
            <w:color w:val="0000FF"/>
          </w:rPr>
          <w:t>Annual Report on 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fiscal year ended April 30, 2025, filed with the Securities and Exchange Commission, or SEC, on June 23,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C3 AI is an Enterprise AI application software company.</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built a family of software applications that enable our customers to rapidly develop, deploy, and operate large-scale Enterprise AI applications. Customers can deploy C3 AI solutions on major public cloud infrastructures, private cloud or hybrid environments, or directly on their servers and processors. We have five core product areas, which we collectively refer to as our “C3 AI Software”:</w:t>
      </w:r>
    </w:p>
    <w:p>
      <w:pPr>
        <w:spacing w:after="0" w:line="123" w:lineRule="exact"/>
        <w:rPr>
          <w:sz w:val="20"/>
          <w:szCs w:val="20"/>
          <w:color w:val="auto"/>
        </w:rPr>
      </w:pPr>
    </w:p>
    <w:p>
      <w:pPr>
        <w:jc w:val="both"/>
        <w:ind w:left="640" w:hanging="316"/>
        <w:spacing w:after="0" w:line="253"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Agentic AI Platform, </w:t>
      </w:r>
      <w:r>
        <w:rPr>
          <w:rFonts w:ascii="Times New Roman" w:cs="Times New Roman" w:eastAsia="Times New Roman" w:hAnsi="Times New Roman"/>
          <w:sz w:val="18"/>
          <w:szCs w:val="18"/>
          <w:color w:val="auto"/>
        </w:rPr>
        <w:t>our core technology, is a comprehensive, end-to-end application development and runtime environment that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 our customers to rapidly design, develop, and deploy Enterprise AI applications. The C3 Agentic AI Platform enables the creation of enterprise-grade AI agents that can autonomously perceive data, reason over complex systems, and take action to achieve defined business goals. These agents operate within secure, governed workflows and integrate seamlessly across the enterprise, delivering trusted, high-impact outcomes at scale.</w:t>
      </w:r>
    </w:p>
    <w:p>
      <w:pPr>
        <w:spacing w:after="0" w:line="128"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C3 AI Studio</w:t>
      </w:r>
      <w:r>
        <w:rPr>
          <w:rFonts w:ascii="Times New Roman" w:cs="Times New Roman" w:eastAsia="Times New Roman" w:hAnsi="Times New Roman"/>
          <w:sz w:val="18"/>
          <w:szCs w:val="18"/>
          <w:color w:val="auto"/>
        </w:rPr>
        <w:t>, is the integrated development environment in the C3 Agentic AI Platform that enables engineers, data scientists, and increasingly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analysts, to design, build, test, and deploy AI applications.</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Applications, </w:t>
      </w:r>
      <w:r>
        <w:rPr>
          <w:rFonts w:ascii="Times New Roman" w:cs="Times New Roman" w:eastAsia="Times New Roman" w:hAnsi="Times New Roman"/>
          <w:sz w:val="18"/>
          <w:szCs w:val="18"/>
          <w:color w:val="auto"/>
        </w:rPr>
        <w:t>built using the C3 Agentic AI Platform, is a portfolio of pre-built, extensible, industry-specific and application-specific SaaS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AI applications that can be rapidly installed and deployed.</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Generative AI, </w:t>
      </w:r>
      <w:r>
        <w:rPr>
          <w:rFonts w:ascii="Times New Roman" w:cs="Times New Roman" w:eastAsia="Times New Roman" w:hAnsi="Times New Roman"/>
          <w:sz w:val="18"/>
          <w:szCs w:val="18"/>
          <w:color w:val="auto"/>
        </w:rPr>
        <w:t>combines the utility of LLMs, agentic AI, generative AI, reinforcement learning, natural language processing, and the C3 Agentic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 Platform to reflect, collaborate, and execute complex workflows.</w:t>
      </w:r>
    </w:p>
    <w:p>
      <w:pPr>
        <w:spacing w:after="0" w:line="10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C3 Code</w:t>
      </w:r>
      <w:r>
        <w:rPr>
          <w:rFonts w:ascii="Times New Roman" w:cs="Times New Roman" w:eastAsia="Times New Roman" w:hAnsi="Times New Roman"/>
          <w:sz w:val="18"/>
          <w:szCs w:val="18"/>
          <w:color w:val="auto"/>
        </w:rPr>
        <w:t>, enables users to build, configure, and deploy a complete, production-grade Enterprise AI applications automatically — including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pipelines, AI models, business logic, security controls, and user interfaces — using natural language instructions. C3 Code orchestrates multiple AI agents working in parallel against an organization's enterprise data, designed to significantly reduce the time and specialized resources required to develop and deploy enterprise AI applications.</w:t>
      </w:r>
    </w:p>
    <w:p>
      <w:pPr>
        <w:spacing w:after="0" w:line="12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These solutions, and our patented model-driven architecture, enable organizations to simplify and accelerate Enterprise AI application development, deployment, and administration. We significantly reduce the effort and complexity of the AI software engineering problem.</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How We Generate Revenue</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generate revenue primarily from the sale of subscriptions, which accounted for 91%, 84% and 90% of our total revenue in the fiscal years ended April 30, 2026, 2025 and 2024, respectively. Our cloud-native software offerings allow us to manage, update, and monitor the software regardless of whether the software is deployed in our public cloud environment, in our customers’ self-managed private or public cloud environments, or in a hybrid environment.</w:t>
      </w:r>
    </w:p>
    <w:p>
      <w:pPr>
        <w:spacing w:after="0" w:line="10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primarily recognize revenue from subscriptions on a ratable basis over the contract term or on a usage basis for consumption-based arrangements. We also recognize revenue upon delivery to the customer for software licenses that do not require maintenance and support services. In addition, customers typically pay a usage-based runtime fee for production use of our C3 AI Software for specified levels of capacity. Customers who choose to run the software in our cloud environment pay the hosting costs charged by our cloud providers. We deploy a consumption-based pricing model, beginning with an initial production deployment phase which may include access to the C3 Agentic AI Platform, one or more C3 AI Applications or C3 Generative AI, and C3 AI Center of Excellence, or COE support services. Following the initial production deployment period, customers either pay a monthly fee and consumption charges using virtual Central Processing Unit or vCPU and virtual Graphics Processing Unit or vGPU hours as the metric to calculate payment or enter into a time-certain multi-period commitment that may include consumption charges. Our subscriptions also include our maintenance and support services. Additionally, we offer premium stand-ready support services through our C3 AI COE which is included as part of the subscription when purchased.</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generate revenue from professional services, which primarily include prioritized engineering services and services fees. Professional services revenue represented 9%, 16% and 10% of our total revenue for the fiscal years ended April 30, 2026, 2025 and 2024, respectively.</w:t>
      </w:r>
    </w:p>
    <w:p>
      <w:pPr>
        <w:spacing w:after="0" w:line="11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Prioritized engineering services are undertaken when a customer requests that we accelerate the design, development, and delivery of software features and functions that are planned in our future product roadmap. When we agree to this, we negotiate an agreed upon fee to accelerate the development of the software as well as other terms, such as relevant specifications. When the software feature is delivered, it becomes integrated to our core product offering, is available to all subscribers of the underlying software product in the subsequent general release, and enhances the operation of that product going forward. Such prioritized engineering services result in production-level computer software-compiled code that enhances the functionality of our production products</w:t>
      </w:r>
    </w:p>
    <w:p>
      <w:pPr>
        <w:jc w:val="both"/>
        <w:spacing w:after="0" w:line="248" w:lineRule="auto"/>
        <w:rPr>
          <w:sz w:val="20"/>
          <w:szCs w:val="20"/>
          <w:color w:val="auto"/>
        </w:rPr>
      </w:pPr>
      <w:r>
        <w:rPr>
          <w:rFonts w:ascii="Times New Roman" w:cs="Times New Roman" w:eastAsia="Times New Roman" w:hAnsi="Times New Roman"/>
          <w:sz w:val="18"/>
          <w:szCs w:val="18"/>
          <w:color w:val="auto"/>
        </w:rPr>
        <w:t>— which is available for our customers to use over the life of their software licenses. Prioritized engineering services revenue is recognized as professional services over the period in which the software development is completed. Prioritized engineering services accounted for 78%, 70% and 80% of total professional services revenue for the fiscal years ended April 30, 2026, 2025 and 2024, respectively.</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Service fees include revenue from services such as consulting, training, and paid implementation services. For service fees, revenue is typically recognized over time as the services are performed.</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revenue was $250.3 million for the fiscal year ended April 30, 2026, representing a 35.7% decrease compared to the prior fiscal year. Our subscription revenue was $227.1 million for the fiscal year ended April 30, 2026, representing a 31% decrease compared to the prior fiscal year. Our professional services revenue was $23.2 million for the fiscal year ended April 30, 2026, representing 62% decrease compared to the prior fiscal year.</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Go-to-Market Strategy</w:t>
      </w:r>
    </w:p>
    <w:p>
      <w:pPr>
        <w:spacing w:after="0" w:line="16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go-to-market strategy has been historically focused on large organizations recognized as leaders in their respective industries or public sectors that are attempting to solve complicated business problems by digitally transforming their operations. These large organizations, or lighthouse customers, include companies and public agencies within the oil and gas, power and utilities, aerospace and defense, industrial products, life sciences, and financial services industries, among others. This has resulted in C3 AI powering some of the largest and most complex Enterprise AI applications. These lighthouse customers serve as proof points for other potential customers in their respective industries. As a result, we have a customer base of a relatively small number of large organizations that generate high average total subscription contract value, but we expect that, over time, as more customers adopt our technology based on the proof points provided by these lighthouse customers, the revenue represented by these lighthouse customers will decrease as a percentage of total revenue. As our C3 Agentic AI Platform and much of our other C3 AI software are industry agnostic, we also expect to expand into other industries.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go-to-market strategy includes a way for new customers to subscribe to our products at smaller initial contract sizes and pay for services based on their monthly consumption of vCPU and vGPU hours or at fixed rates. Customers generally begin with a short proof of value or one to two-quarter-long initial production deployment agreements which includes the necessary resources required to deploy the C3 Agentic AI Platform and/or C3 AI Applications and receive necessary training to operate and maintain the software in production use. Following the initial production deployment period, customers either pay a monthly fee and consumption charges using vCPU and vGPU hours utilized as the metric to calculate payment or enter into a time-certain multi-period commitment that may include consumption charges.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Acquiring new customers and expanding our business with our existing customers is the purpose of our go-to-market effort and drives our growth. Making new and existing customers successful is critical to our long-term success. After we help our customers solve their initial use cases, they frequently identify incremental opportunities within their operations and expand their use of our products. The increased engagement is measured by a combination of increased vCPU/vGPU usage, increased C3 AI Software subscriptions and subscriptions to the C3 Agentic AI Platform for in-house AI application development.</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size and sophistication of our customers’ businesses demonstrate the flexibility, speed, and scale of our products, and maximize the potential value to our customers. To be a credible partner to our customers, who often are industry leaders, we deploy an experienced and highly educated team of C3 AI personnel and partners. We also complement and supplement our sales force with a number of go-to-market partners.</w:t>
      </w:r>
    </w:p>
    <w:p>
      <w:pPr>
        <w:spacing w:after="0" w:line="123" w:lineRule="exact"/>
        <w:rPr>
          <w:sz w:val="20"/>
          <w:szCs w:val="20"/>
          <w:color w:val="auto"/>
        </w:rPr>
      </w:pPr>
    </w:p>
    <w:p>
      <w:pPr>
        <w:ind w:left="640" w:hanging="316"/>
        <w:spacing w:after="0" w:line="276"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Partners. </w:t>
      </w:r>
      <w:r>
        <w:rPr>
          <w:rFonts w:ascii="Times New Roman" w:cs="Times New Roman" w:eastAsia="Times New Roman" w:hAnsi="Times New Roman"/>
          <w:sz w:val="18"/>
          <w:szCs w:val="18"/>
          <w:color w:val="auto"/>
        </w:rPr>
        <w:t>We have developed an alliance program to partner with recognized leaders in their respective industries, such as Baker Hughes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Booz Allen Hamilton; to develop, market, and sell solutions that are natively built on or tightly integrated with the C3 Agentic AI Platform.</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Hyperscale Cloud and Infrastructure. </w:t>
      </w:r>
      <w:r>
        <w:rPr>
          <w:rFonts w:ascii="Times New Roman" w:cs="Times New Roman" w:eastAsia="Times New Roman" w:hAnsi="Times New Roman"/>
          <w:sz w:val="18"/>
          <w:szCs w:val="18"/>
          <w:color w:val="auto"/>
        </w:rPr>
        <w:t>We have formed global strategic go-to-market alliances with hyperscale cloud providers including Microsoft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Azure, Amazon Web Services, or AWS, and Google Cloud.</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Consulting and Services Partners. </w:t>
      </w:r>
      <w:r>
        <w:rPr>
          <w:rFonts w:ascii="Times New Roman" w:cs="Times New Roman" w:eastAsia="Times New Roman" w:hAnsi="Times New Roman"/>
          <w:sz w:val="18"/>
          <w:szCs w:val="18"/>
          <w:color w:val="auto"/>
        </w:rPr>
        <w:t>We partner with a number of consulting firms and system integrators specializing in Enterprise AI implementation,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McKinsey &amp; Company, PwC, Fractal, and Cathexis (formerly Paradyme).</w:t>
      </w:r>
    </w:p>
    <w:p>
      <w:pPr>
        <w:spacing w:after="0" w:line="106"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Software Vendors. </w:t>
      </w:r>
      <w:r>
        <w:rPr>
          <w:rFonts w:ascii="Times New Roman" w:cs="Times New Roman" w:eastAsia="Times New Roman" w:hAnsi="Times New Roman"/>
          <w:sz w:val="18"/>
          <w:szCs w:val="18"/>
          <w:color w:val="auto"/>
        </w:rPr>
        <w:t>We partner with independent software vendors who develop, market, and sell application solutions that are natively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built on or tightly integrated with the C3 Agentic AI Platform.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Remaining Performance Obligations (“RPO”) represents the amount of our contracted future revenue that has not yet been recognized, including both deferred revenue and non-cancellable contracted amounts that will be invoiced and recognized as revenue in future periods. Some contracts allow customers to cancel the contracts without a significant penalty, and the cancellable amount is not included in the remaining performance obligations.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RPO was $203.1 million and $235.1 million as of April 30, 2026 and April 30, 2025, respectively.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RPO as of April 30, 2026 is comprised of $36.4 million related to deferred revenue and $166.7 million of commitments from non-cancellable contracts.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RPO as of April 30, 2025 is comprised of $36.6 million related to deferred revenue and $198.5 million of commitments from non-cancellable contracts.</w:t>
      </w:r>
    </w:p>
    <w:p>
      <w:pPr>
        <w:spacing w:after="0" w:line="15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RPO excludes amounts related to monthly usage-based runtime and hosting charges. While RPO provides insight into committed revenue, it may not accurately reflect future revenue growth, particularly for pay-as-you go consumption pricing agreements and due to factors such as timing of renewals, the timing of conversion of an initial production deployment into a recurring subscription contract, purchases of additional capacity, average contract terms, and seasonality. As a result, it is important to review RPO in conjunction with revenue and other financial metrics disclosed elsewhere in this Annual Report on Form 10-K.</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Initial Production Deployment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C3 AI generally engages customers through an “Initial Production Deployment” agreement, or IPD, (formerly known as “Pilot”), delivering pre-configured, industry-specific production-grade Enterprise AI application within weeks.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IPD agreement may include developer access to the C3 Agentic AI Platform, one C3 AI Application or C3 Generative AI and COE support services. Following the initial production deployment period, customers either pay a monthly fee and consumption charges using vCPU and vGPU hours as the metric to calculate payment or enter into a time-certain multi-period commitment that may include consumption charges.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consider the initial production deployment count as a key business metric, as it reflects trends in market penetration and customer acquisition.</w:t>
      </w:r>
    </w:p>
    <w:p>
      <w:pPr>
        <w:spacing w:after="0" w:line="16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count an agreement as an initial production deployment agreement when an agreement meeting the characteristics of initial production deployment as described above is executed with the customer.</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compared to fiscal year 2025, we have executed a lower number of IPD agreements during the fiscal year 2026, reflecting our strategic focus on engagements with a higher probability of delivering targeted economic value to customers and a greater likelihood of conversion into production contracts.</w:t>
      </w:r>
    </w:p>
    <w:p>
      <w:pPr>
        <w:spacing w:after="0" w:line="110" w:lineRule="exact"/>
        <w:rPr>
          <w:sz w:val="20"/>
          <w:szCs w:val="20"/>
          <w:color w:val="auto"/>
        </w:rPr>
      </w:pPr>
    </w:p>
    <w:p>
      <w:pPr>
        <w:ind w:right="900" w:firstLine="318"/>
        <w:spacing w:after="0" w:line="430" w:lineRule="auto"/>
        <w:rPr>
          <w:sz w:val="20"/>
          <w:szCs w:val="20"/>
          <w:color w:val="auto"/>
        </w:rPr>
      </w:pPr>
      <w:r>
        <w:rPr>
          <w:rFonts w:ascii="Times New Roman" w:cs="Times New Roman" w:eastAsia="Times New Roman" w:hAnsi="Times New Roman"/>
          <w:sz w:val="18"/>
          <w:szCs w:val="18"/>
          <w:color w:val="auto"/>
        </w:rPr>
        <w:t xml:space="preserve">We executed 71, 174 and 123 initial production deployment agreements in the fiscal years ended April 30, 2026, 2025 and 2024, respectively. </w:t>
      </w:r>
      <w:r>
        <w:rPr>
          <w:rFonts w:ascii="Times New Roman" w:cs="Times New Roman" w:eastAsia="Times New Roman" w:hAnsi="Times New Roman"/>
          <w:sz w:val="18"/>
          <w:szCs w:val="18"/>
          <w:b w:val="1"/>
          <w:bCs w:val="1"/>
          <w:color w:val="auto"/>
        </w:rPr>
        <w:t>Factors Affecting Our Performance</w:t>
      </w: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that our future success and financial performance depend on a number of factors that present significant opportunities for our business but also pose risks and challenges, including those discussed below and in the section of this Annual Report on Form 10-K in Part I, Item 1A titled “Risk Factors”, that we must successfully address to sustain our growth, improve our results of operations, and establish and maintain profitability.</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Retention, and Expansion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focused on continuing to grow our customer base, retaining existing customers and expanding customers’ usage of our C3 AI Software by addressing new use cases across multiple departments and divisions, adding users, and developing and deploying additional applications. All of these factors increase the adoption and relevance of our C3 AI Software to our customers’ business and, as an outcome, increases their runtime usage.</w:t>
      </w:r>
    </w:p>
    <w:p>
      <w:pPr>
        <w:spacing w:after="0" w:line="12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have built a high-performance, customer-focused culture and have implemented proactive programs and processes designed to drive customer success. These include a robust customer support and success function. For example, as part of our subscription offerings, we provide our customers with the ability to establish a COE, which utilizes our experienced and specialized resources in key technical areas like application development, data integration, and data science to accelerate and ensure our customers’ success developing applications on our C3 Agentic AI Platform. We closely monitor the health and status of every customer account through multiple activities, daily and weekly reports to management, as well as quarterly reviews with our customers.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focused on expanding our customer base across diverse sectors, with significant momentum in the federal, defense, and aerospace markets driven by new federal agreements and increased international adoption.</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Historically, we have had a relatively small number of customers with large total subscription contract values. As a result, our revenue can vary significantly based on the timing of customer acquisition, changes in product mix, and contract durations, renewals, or terminations. We expect the number of customers to increase compared to prior fiscal years as organizations address the importance of digital transformation. The average total subscription contract value as well as the revenue represented by our lighthouse customers as a percentage of total revenue is decreasing and we expect them to continue to decrease as we have restructured our sales organization as described below and expanded our market-partner ecosystem to effectively address small, medium, and large enterprise sales opportunities.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that we will continue to attract new customers who prefer to subscribe to the C3 Agentic AI Platform and C3 AI Applications with our consumption-based pricing model. For further discussion, see the section titled “Overview - Go-to-Market Strategy” included in Part II, Item 7 of this Annual Report on Form 10-K.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of Sales and Services Organization</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During the three months ended July 31, 2025, we restructured our sales and services organization to provide a more seamless, high-touch customer experience with a consistent focus on realizing significant economic benefit rapidly from each C3 AI customer engagement. However, the restructuring has had a disruptive effect on our financial performance. This disruptive effect, together with leadership transitions may have a negative effect on our sales results. Our future success and financial performance depend on the ability of our restructured sales and services organization to achieve desired productivity levels in a reasonable period of time. See </w:t>
      </w:r>
      <w:r>
        <w:rPr>
          <w:rFonts w:ascii="Times New Roman" w:cs="Times New Roman" w:eastAsia="Times New Roman" w:hAnsi="Times New Roman"/>
          <w:sz w:val="17"/>
          <w:szCs w:val="17"/>
          <w:i w:val="1"/>
          <w:iCs w:val="1"/>
          <w:color w:val="auto"/>
        </w:rPr>
        <w:t>“The failure to effectively develop and invest in our marketing and sales capabilities could harm our ability to increase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customer base and achieve broader market acceptance of our C3 AI Software.</w:t>
      </w:r>
      <w:r>
        <w:rPr>
          <w:rFonts w:ascii="Times New Roman" w:cs="Times New Roman" w:eastAsia="Times New Roman" w:hAnsi="Times New Roman"/>
          <w:sz w:val="17"/>
          <w:szCs w:val="17"/>
          <w:color w:val="auto"/>
        </w:rPr>
        <w:t>” included in Part I, Item 1A of this Annual Report on Form 10-K.</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Plan and Strategic Initiatives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February 24, 2026, our Board of Directors approved a comprehensive restructuring plan (the “Plan”) designed to fundamentally improve our operating efficiency and long-term financial position. This Plan is the foundation of five key strategic initiatives currently being executed by management:</w:t>
      </w:r>
    </w:p>
    <w:p>
      <w:pPr>
        <w:spacing w:after="0" w:line="108" w:lineRule="exact"/>
        <w:rPr>
          <w:sz w:val="20"/>
          <w:szCs w:val="20"/>
          <w:color w:val="auto"/>
        </w:rPr>
      </w:pPr>
    </w:p>
    <w:p>
      <w:pPr>
        <w:ind w:left="640" w:firstLine="320"/>
        <w:spacing w:after="0" w:line="276" w:lineRule="auto"/>
        <w:tabs>
          <w:tab w:leader="none" w:pos="1271" w:val="left"/>
        </w:tabs>
        <w:numPr>
          <w:ilvl w:val="0"/>
          <w:numId w:val="46"/>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b w:val="1"/>
          <w:bCs w:val="1"/>
          <w:color w:val="0D0D0D"/>
        </w:rPr>
        <w:t xml:space="preserve">Operational Right-Sizing: </w:t>
      </w:r>
      <w:r>
        <w:rPr>
          <w:rFonts w:ascii="Times New Roman" w:cs="Times New Roman" w:eastAsia="Times New Roman" w:hAnsi="Times New Roman"/>
          <w:sz w:val="18"/>
          <w:szCs w:val="18"/>
          <w:color w:val="0D0D0D"/>
        </w:rPr>
        <w:t>We are reducing our cash burn through reduction in our global workforce and in annualized non-employee</w:t>
      </w:r>
      <w:r>
        <w:rPr>
          <w:rFonts w:ascii="Times New Roman" w:cs="Times New Roman" w:eastAsia="Times New Roman" w:hAnsi="Times New Roman"/>
          <w:sz w:val="18"/>
          <w:szCs w:val="18"/>
          <w:b w:val="1"/>
          <w:bCs w:val="1"/>
          <w:color w:val="0D0D0D"/>
        </w:rPr>
        <w:t xml:space="preserve"> </w:t>
      </w:r>
      <w:r>
        <w:rPr>
          <w:rFonts w:ascii="Times New Roman" w:cs="Times New Roman" w:eastAsia="Times New Roman" w:hAnsi="Times New Roman"/>
          <w:sz w:val="18"/>
          <w:szCs w:val="18"/>
          <w:color w:val="0D0D0D"/>
        </w:rPr>
        <w:t>costs. We expect to complete the implementation of the Plan by the second quarter of fiscal year 2027.</w:t>
      </w:r>
    </w:p>
    <w:p>
      <w:pPr>
        <w:spacing w:after="0" w:line="106" w:lineRule="exact"/>
        <w:rPr>
          <w:rFonts w:ascii="Times New Roman" w:cs="Times New Roman" w:eastAsia="Times New Roman" w:hAnsi="Times New Roman"/>
          <w:sz w:val="18"/>
          <w:szCs w:val="18"/>
          <w:color w:val="0D0D0D"/>
        </w:rPr>
      </w:pPr>
    </w:p>
    <w:p>
      <w:pPr>
        <w:ind w:left="640" w:firstLine="320"/>
        <w:spacing w:after="0" w:line="276" w:lineRule="auto"/>
        <w:tabs>
          <w:tab w:leader="none" w:pos="1271"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Organizational Flattening: </w:t>
      </w:r>
      <w:r>
        <w:rPr>
          <w:rFonts w:ascii="Times New Roman" w:cs="Times New Roman" w:eastAsia="Times New Roman" w:hAnsi="Times New Roman"/>
          <w:sz w:val="18"/>
          <w:szCs w:val="18"/>
          <w:color w:val="auto"/>
        </w:rPr>
        <w:t>We have restructured our sales organization to eliminate layers of management, realigning proven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under the Chief Executive Officer to increase accountability and speed in sales execution.</w:t>
      </w:r>
    </w:p>
    <w:p>
      <w:pPr>
        <w:spacing w:after="0" w:line="106" w:lineRule="exact"/>
        <w:rPr>
          <w:rFonts w:ascii="Times New Roman" w:cs="Times New Roman" w:eastAsia="Times New Roman" w:hAnsi="Times New Roman"/>
          <w:sz w:val="18"/>
          <w:szCs w:val="18"/>
          <w:i w:val="1"/>
          <w:iCs w:val="1"/>
          <w:color w:val="auto"/>
        </w:rPr>
      </w:pPr>
    </w:p>
    <w:p>
      <w:pPr>
        <w:jc w:val="both"/>
        <w:ind w:left="640" w:firstLine="320"/>
        <w:spacing w:after="0" w:line="261" w:lineRule="auto"/>
        <w:tabs>
          <w:tab w:leader="none" w:pos="1271"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Product Prioritization: </w:t>
      </w:r>
      <w:r>
        <w:rPr>
          <w:rFonts w:ascii="Times New Roman" w:cs="Times New Roman" w:eastAsia="Times New Roman" w:hAnsi="Times New Roman"/>
          <w:sz w:val="18"/>
          <w:szCs w:val="18"/>
          <w:color w:val="auto"/>
        </w:rPr>
        <w:t>R&amp;D resources are now concentrated on high-growth AI and automation solutions within asset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supply chain, and procurement, specifically for the energy, manufacturing, healthcare, and public sectors, including defense, intelligence and government services.</w:t>
      </w:r>
    </w:p>
    <w:p>
      <w:pPr>
        <w:spacing w:after="0" w:line="119" w:lineRule="exact"/>
        <w:rPr>
          <w:rFonts w:ascii="Times New Roman" w:cs="Times New Roman" w:eastAsia="Times New Roman" w:hAnsi="Times New Roman"/>
          <w:sz w:val="18"/>
          <w:szCs w:val="18"/>
          <w:i w:val="1"/>
          <w:iCs w:val="1"/>
          <w:color w:val="auto"/>
        </w:rPr>
      </w:pPr>
    </w:p>
    <w:p>
      <w:pPr>
        <w:ind w:left="640" w:firstLine="320"/>
        <w:spacing w:after="0" w:line="276" w:lineRule="auto"/>
        <w:tabs>
          <w:tab w:leader="none" w:pos="1271"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Transformation-Led Sales: </w:t>
      </w:r>
      <w:r>
        <w:rPr>
          <w:rFonts w:ascii="Times New Roman" w:cs="Times New Roman" w:eastAsia="Times New Roman" w:hAnsi="Times New Roman"/>
          <w:sz w:val="18"/>
          <w:szCs w:val="18"/>
          <w:color w:val="auto"/>
        </w:rPr>
        <w:t>We are pivoting our sales motion to prioritize large-scale enterprise-wide transformations, aiming to accelerate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“proof of value” and drive growth in Bookings and RPO.</w:t>
      </w:r>
    </w:p>
    <w:p>
      <w:pPr>
        <w:spacing w:after="0" w:line="106" w:lineRule="exact"/>
        <w:rPr>
          <w:rFonts w:ascii="Times New Roman" w:cs="Times New Roman" w:eastAsia="Times New Roman" w:hAnsi="Times New Roman"/>
          <w:sz w:val="18"/>
          <w:szCs w:val="18"/>
          <w:i w:val="1"/>
          <w:iCs w:val="1"/>
          <w:color w:val="auto"/>
        </w:rPr>
      </w:pPr>
    </w:p>
    <w:p>
      <w:pPr>
        <w:ind w:left="640" w:firstLine="320"/>
        <w:spacing w:after="0" w:line="276" w:lineRule="auto"/>
        <w:tabs>
          <w:tab w:leader="none" w:pos="1271"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Engineering Velocity: </w:t>
      </w:r>
      <w:r>
        <w:rPr>
          <w:rFonts w:ascii="Times New Roman" w:cs="Times New Roman" w:eastAsia="Times New Roman" w:hAnsi="Times New Roman"/>
          <w:sz w:val="18"/>
          <w:szCs w:val="18"/>
          <w:color w:val="auto"/>
        </w:rPr>
        <w:t>We have reengineered our product design and delivery framework to increase development speed and enhance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competitive positioning.</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quarter ended April 30, 2026, we incurred restructuring charges of $10.8 million in connection with the Plan.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Executive Officer</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May 12, 2026, we announced that our board of directors unanimously appointed Thomas M. Siebel as C3 AI’s Chief Executive Officer and Chairman of the Board, effective May 8, 2026. Stephen Ehikian, who had been serving as C3 AI’s Chief Executive Officer since September 2025, will serve as C3 AI’s President effective as of May 8, 2026.</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intend to continue to invest in our research and development capabilities to extend our C3 AI Software, to expand within existing accounts, and to gain new customers. Our investments in research and development drive core technology innovation and bring new products to market. Our model-driven architecture and generative AI agents framework enables us and our customers to rapidly address new use cases by building new applications and extending and enhancing the features and functionality of current C3 AI Software. By investing to make it easier to develop applications on our C3 Agentic AI Platform, our customers have become active developers. With our support, our customers have developed and deployed almost two-thirds of the applications currently in production and running on the C3 Agentic AI Platform. Research and development spending has fueled enhancements to our existing C3 Agentic AI Platform.</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as we continue to introduce new applications which address new industry use cases, and new features and functionality for the C3 AI Software. As our business scales over a longer-term horizon, we anticipate research and development spend as a percent of total revenue to decline.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Brand Awareness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we are in the nascent stages of a large and expanding market for AI enabled digital transformation. We intend to focus our marketing investment on targeted brand awareness, market education, and thought leadership, particularly as it relates to agentic and generative AI. In connection with our restructuring, we have substantially reduced advertising and other discretionary marketing costs and have concentrated our remaining efforts to focus on cost-efficient, higher-return channels, principally digital programs, virtual and physical events, including our C3 Transform annual user conference and C3 AI Webinars, a series of events featuring C3 AI customers, partners, and experts in AI, machine learning, or ML, and data science.</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continuing to make investments in marketing over the next few years. Over the long term, we expect marketing spend to decline as a percent of total revenue as we make ongoing progress establishing C3 AI’s brand and reputation and as our business scales.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Grow Our Go-to-Market and Partnership Ecosystem</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In addition to the activities of our field sales organization, our success in attracting new customers will depend on our ability to expand our ecosystem of strategic partners and the number of industry verticals that they serve. Our strategic go-to-market alliances vastly extend our reach globally. Some of our most notable partners include Microsoft, Baker Hughes, AWS, and Google. Each strategic partner is a leader in its industry, with a substantial installed customer base and extensive marketing, sales, and services resources that we can leverage to engage and serve customers anywhere in the world. Using our C3 Agentic AI Platform as the development suite, we leverage our model-driven architecture to efficiently build new cross-industry and industry-specific applications based on identifying requirements across our customer base of industry leaders and through our industry partners. Our strategy with strategic partners is to establish a significant use case and prove the value of our C3 Agentic AI Platform, C3 AI Applications, and C3 Generative AI with a flagship customer in each industry in which we participate. We have done this with our strategic vertical industry partner in oil and gas, Baker Hughes, as well as with our iconic global customers, some of whom are deploying C3 AI technology to optimize thousands of critical assets globally across their upstream, midstream, and downstream operations. We establish formal sales and marketing plans with each partner, including specific sales goals and dedicated budgets, and we work closely with these partners to identify specific target accounts. We intend to grow the business we do with each partner and to add more partners as we expand the vertical markets we serve. We also offer revenue generating initial production deployments of our applications as part of our customer acquisition strategy.</w:t>
      </w:r>
    </w:p>
    <w:p>
      <w:pPr>
        <w:spacing w:after="0" w:line="12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global alliance agreement with Microsoft is focused on sales, marketing, and solution delivery across all geographies and all industries to accelerate the adoption of Enterprise AI. The agreement establishes us as a preferred AI application software provider on Microsoft Azure. The collaboration includes joint sales, joint go-to-market strategies, and availability of all C3 Enterprise AI solutions through Azure sales channels, including the Microsoft Commercial Cloud, technical integration, and aligned product development. We continue to invest aggressively to support this distribution channel.</w:t>
      </w:r>
    </w:p>
    <w:p>
      <w:pPr>
        <w:spacing w:after="0" w:line="1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also maintain a strategic alliance with McKinsey &amp; Company, a global management consulting firm, to help clients and prospects across industries and geographies accelerate Enterprise AI transformations at scale. The alliance combines the deep technical expertise of McKinsey’s AI practice, QuantumBlack, and its track record of deploying and scaling AI solutions across industries with our cutting-edge Enterprise AI software applications to help clients unlock the power of Enterprise AI and agentic AI to realize significant operational improvements and unlock new growth opportunities.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international market opportunity for Enterprise AI software is large and growing, and we believe there is a significant opportunity to continue to grow our international customer base. We believe that the demand for our C3 AI Software will continue growing as international awareness of the benefits of digital transformation and Enterprise AI software grows. We plan to continue to make selective investments to expand geographically by investing in our direct sales teams in international markets and supplementing the direct sales effort with strategic partners to significantly expand our reach and market coverage. We derived approximately 11%, 14% and 14% of our total revenue for the fiscal years ended April 30, 2026, 2025 and 2024, respectively, from international customers.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and financial condition have been, and may continue to be, impacted by adverse macroeconomic conditions and uncertainties, including U.S. federal government shutdowns, labor shortages, supply chain disruptions, inflation, higher interest rates, and fluctuations or volatility in capital markets, which are causing customers to optimize consumption, rationalize budgets, and prioritize cash flow management.</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and financial results may be adversely affected by other macroeconomic conditions, including geopolitical instability, potential future U.S. federal government shutdowns, delays in budget approvals, or increased tariffs or global trade tensions. These and other market risks could have unforeseen and negative impacts on our operations and performance.</w:t>
      </w:r>
    </w:p>
    <w:p>
      <w:pPr>
        <w:spacing w:after="0" w:line="125"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We will continue to evaluate the nature and extent of the impact of general macroeconomic conditions on our business. For further discussion, see the section titled “Risk Factors” included in Part I, Item 1A of this Annual Report on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Subscription Revenue. </w:t>
      </w:r>
      <w:r>
        <w:rPr>
          <w:rFonts w:ascii="Times New Roman" w:cs="Times New Roman" w:eastAsia="Times New Roman" w:hAnsi="Times New Roman"/>
          <w:sz w:val="17"/>
          <w:szCs w:val="17"/>
          <w:color w:val="auto"/>
        </w:rPr>
        <w:t>Our subscription revenue is primarily comprised of software licenses, software-as-a-service offerings, stand-ready COE support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initial production deployments of our C3 AI Applications or Generative AI, and hosting charges. Sales of our software licenses grant our customers the right to use our software, either on their own cloud instances or their internal hardware infrastructures, during the contractual term. We also offer a premium stand ready service through our COE. Sales of our software-as-a-service offerings include a right to use our software during the contract term. In addition, customers pay a usage-based runtime fee for our C3 AI Software for specified levels of guaranteed minimum consumption. Our subscriptions also include our maintenance and support services, which include critical and continuous updates to the software that are integral to maintaining the intended utility of the software over the contractual term. For a significant majority of our offerings, our software subscriptions and maintenance and support services are highly interdependent and interrelated and represent a single distinct performance obligation within the context of the contract. We also sell software licenses that do not require maintenance and support services. We currently have a small number of customers that license our offerings under a perpetual license model, and we expect that may continue for the foreseeable future for certain customers due to their specific contracting requirements.</w:t>
      </w:r>
    </w:p>
    <w:p>
      <w:pPr>
        <w:spacing w:after="0" w:line="1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Our professional services revenue primarily includes consulting, training, paid implementation services and prioritized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services. We offer a complete range of professional service support both onsite and remotely, including training, application design, project management, system design, data modeling, data integration, development support, data science, and application and C3 AI Software administration support. Professional services fees are based on the level of effort required to perform the specified tasks and are typically a fixed-fee engagement with defined deliverables and a duration of less than 12 months. In certain cases, customers seeking increased utility from their C3 Agentic AI Platform or C3 AI Application subscriptions can procure prioritized engineering services to develop and modify software features, which are typically part of our product roadmap, but on an accelerated basis.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Subscription Revenue. </w:t>
      </w:r>
      <w:r>
        <w:rPr>
          <w:rFonts w:ascii="Times New Roman" w:cs="Times New Roman" w:eastAsia="Times New Roman" w:hAnsi="Times New Roman"/>
          <w:sz w:val="18"/>
          <w:szCs w:val="18"/>
          <w:color w:val="auto"/>
        </w:rPr>
        <w:t>Cost of subscription revenue consists primarily of costs related to compensation, including salaries, bonuses,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and other related expenses for the production environment, support and COE staff, third-party system integration partners, hosting of our C3 AI Software, including payments to outside cloud service providers, and allocated overhead and depreciation for facilities.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Professional Services Revenue. </w:t>
      </w:r>
      <w:r>
        <w:rPr>
          <w:rFonts w:ascii="Times New Roman" w:cs="Times New Roman" w:eastAsia="Times New Roman" w:hAnsi="Times New Roman"/>
          <w:sz w:val="18"/>
          <w:szCs w:val="18"/>
          <w:color w:val="auto"/>
        </w:rPr>
        <w:t>Cost of professional services revenue consists primarily of compensation, including salaries, bonuses,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and other related costs associated with our professional service personnel, prioritized engineering personnel, third-party system integration partners, and allocated overhead and depreciation for facilities.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Gross profit is total revenue less total cost of revenue. Gross margin is gross profit expressed as a percentage of total revenue. Our gross margin has fluctuated historically and may continue to fluctuate from period to period based on a number of factors, including the timing and mix of the product offerings we sell, size or nature of customer, size of contract, industry, and the geographies into which we sell, in any given period. Our subscription gross margin may experience variability over time as we continue to invest and continue to scale our business. Our professional services gross margin may also experience variability from period to period due to the use of our own resources and third-party system integration partners in connection with the performance of our fixed price agreements.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Following the restructuring plan described above, we expect our fiscal 2027 total operating expenses to decline as compared to total operating expenses for fiscal year 2026. Over the longer term, we may invest selectively in areas we believe will drive durable growth, which may cause operating expenses to increase.</w:t>
      </w:r>
    </w:p>
    <w:p>
      <w:pPr>
        <w:spacing w:after="0" w:line="12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expenditures related to advertising, media, marketing, promotional events, brand awareness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business development, customer success and corporate partnerships. Sales and marketing expenses also include employee-related costs, including salaries, bonuses, benefits, stock-based compensation, and commissions for our employees engaged in sales and marketing activities, and allocated overhead and depreciation for facilities.</w:t>
      </w:r>
    </w:p>
    <w:p>
      <w:pPr>
        <w:spacing w:after="0" w:line="12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efforts are aimed at continuing to develop and refine our solutions, including adding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and modules, increasing functionality and speed, and enhancing the usability of C3 AI Software. Research and development expenses consist primarily of employee-related costs, including salaries, bonuses, benefits, and stock-based compensation for our employees associated with research and development related activities. Research and development expenses also include cloud infrastructure costs related to our research and development efforts, third-party system integration partners and allocated overhead and depreciation for facilities. Research and development costs are expensed as incurred.</w:t>
      </w:r>
    </w:p>
    <w:p>
      <w:pPr>
        <w:spacing w:after="0" w:line="12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consists primarily of employee-related costs, including salaries, bonuses,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and other related costs associated with administrative services such as executive management and administration, legal, human resources, accounting, and finance. General and administrative expense also includes facilities costs, such as depreciation and rent expense, professional fees, and other general corporate costs, including allocated overhead and depreciation for facilities.</w:t>
      </w:r>
    </w:p>
    <w:p>
      <w:pPr>
        <w:spacing w:after="0" w:line="12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incurred, and expect to continue to incur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expenses for general and director and officer insurance, investor relations, and professional services.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cash equivalents, and available-for-sale marketable securities. It also includes amortization of premiums and accretion of discount related to our available-for-sale marketable securities. Interest income varies each reporting period based on our average balance of cash, cash equivalents, and available-for-sale marketable securities during the fiscal year and market interest rates.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income (expense), net consists primarily of foreign currency exchange gains and losses, losses from impairment of marketable securities, and realized gains and losses on sales of available-for-sale marketable securities.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fiscal year ended April 30, 2026, we incurred restructuring charges in connection with the restructuring plan approved by our Board of Directors on February 24, 2026. Restructuring expenses consist of severance, employee-related termination benefits, stock-based compensation expense and write-off of property and equipment.</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income tax provision consists of an estimate of federal, state, and foreign income taxes based on enacted federal, state, and foreign tax rates, as adjusted for allowable credits, deductions, uncertain tax positions, changes in the valuation of our deferred tax assets and liabilities, and changes in tax laws. We maintain a full valuation allowance on our federal and state deferred tax assets as we have concluded that it is not more likely than not that the deferred tax assets will be realized.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gridSpan w:val="6"/>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080" w:type="dxa"/>
            <w:vAlign w:val="bottom"/>
          </w:tcPr>
          <w:p>
            <w:pPr>
              <w:spacing w:after="0"/>
              <w:rPr>
                <w:sz w:val="16"/>
                <w:szCs w:val="16"/>
                <w:color w:val="auto"/>
              </w:rPr>
            </w:pPr>
          </w:p>
        </w:tc>
      </w:tr>
      <w:tr>
        <w:trPr>
          <w:trHeight w:val="196"/>
        </w:trPr>
        <w:tc>
          <w:tcPr>
            <w:tcW w:w="6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6"/>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7"/>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7"/>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227,090</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327,630</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278,104</w:t>
            </w:r>
          </w:p>
        </w:tc>
      </w:tr>
      <w:tr>
        <w:trPr>
          <w:trHeight w:val="25"/>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r>
      <w:tr>
        <w:trPr>
          <w:trHeight w:val="233"/>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250,268</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389,056</w:t>
            </w:r>
          </w:p>
        </w:tc>
        <w:tc>
          <w:tcPr>
            <w:tcW w:w="10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080" w:type="dxa"/>
            <w:vAlign w:val="bottom"/>
            <w:tcBorders>
              <w:top w:val="single" w:sz="8" w:color="002D72"/>
            </w:tcBorders>
          </w:tcPr>
          <w:p>
            <w:pPr>
              <w:jc w:val="right"/>
              <w:spacing w:after="0"/>
              <w:rPr>
                <w:sz w:val="20"/>
                <w:szCs w:val="20"/>
                <w:color w:val="auto"/>
              </w:rPr>
            </w:pPr>
            <w:r>
              <w:rPr>
                <w:rFonts w:ascii="Times New Roman" w:cs="Times New Roman" w:eastAsia="Times New Roman" w:hAnsi="Times New Roman"/>
                <w:sz w:val="18"/>
                <w:szCs w:val="18"/>
                <w:color w:val="auto"/>
              </w:rPr>
              <w:t>310,582</w:t>
            </w:r>
          </w:p>
        </w:tc>
      </w:tr>
      <w:tr>
        <w:trPr>
          <w:trHeight w:val="25"/>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6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166,291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128,469</w:t>
            </w:r>
          </w:p>
        </w:tc>
      </w:tr>
      <w:tr>
        <w:trPr>
          <w:trHeight w:val="26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002D72"/>
            </w:tcBorders>
            <w:shd w:val="clear" w:color="auto" w:fill="CCEEFF"/>
          </w:tcPr>
          <w:p>
            <w:pPr>
              <w:spacing w:after="0"/>
              <w:rPr>
                <w:sz w:val="23"/>
                <w:szCs w:val="23"/>
                <w:color w:val="auto"/>
              </w:rPr>
            </w:pPr>
          </w:p>
        </w:tc>
        <w:tc>
          <w:tcPr>
            <w:tcW w:w="1080" w:type="dxa"/>
            <w:vAlign w:val="bottom"/>
            <w:tcBorders>
              <w:bottom w:val="single" w:sz="8" w:color="002D72"/>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33"/>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132,022</w:t>
            </w:r>
          </w:p>
        </w:tc>
      </w:tr>
      <w:tr>
        <w:trPr>
          <w:trHeight w:val="25"/>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r>
      <w:tr>
        <w:trPr>
          <w:trHeight w:val="238"/>
        </w:trPr>
        <w:tc>
          <w:tcPr>
            <w:tcW w:w="6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178,560</w:t>
            </w: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239,659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214,167</w:t>
            </w:r>
          </w:p>
        </w:tc>
      </w:tr>
      <w:tr>
        <w:trPr>
          <w:trHeight w:val="26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201,365</w:t>
            </w:r>
          </w:p>
        </w:tc>
      </w:tr>
      <w:tr>
        <w:trPr>
          <w:trHeight w:val="26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81,370</w:t>
            </w:r>
          </w:p>
        </w:tc>
      </w:tr>
      <w:tr>
        <w:trPr>
          <w:trHeight w:val="26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67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575,880</w:t>
            </w: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496,902</w:t>
            </w:r>
          </w:p>
        </w:tc>
      </w:tr>
      <w:tr>
        <w:trPr>
          <w:trHeight w:val="23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(498,498)</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(324,424)</w:t>
            </w:r>
          </w:p>
        </w:tc>
        <w:tc>
          <w:tcPr>
            <w:tcW w:w="10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080" w:type="dxa"/>
            <w:vAlign w:val="bottom"/>
            <w:tcBorders>
              <w:top w:val="single" w:sz="8" w:color="002D72"/>
            </w:tcBorders>
          </w:tcPr>
          <w:p>
            <w:pPr>
              <w:jc w:val="right"/>
              <w:spacing w:after="0"/>
              <w:rPr>
                <w:sz w:val="20"/>
                <w:szCs w:val="20"/>
                <w:color w:val="auto"/>
              </w:rPr>
            </w:pPr>
            <w:r>
              <w:rPr>
                <w:rFonts w:ascii="Times New Roman" w:cs="Times New Roman" w:eastAsia="Times New Roman" w:hAnsi="Times New Roman"/>
                <w:sz w:val="18"/>
                <w:szCs w:val="18"/>
                <w:color w:val="auto"/>
              </w:rPr>
              <w:t>(318,342)</w:t>
            </w:r>
          </w:p>
        </w:tc>
      </w:tr>
      <w:tr>
        <w:trPr>
          <w:trHeight w:val="25"/>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40,079</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6"/>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r>
      <w:tr>
        <w:trPr>
          <w:trHeight w:val="238"/>
        </w:trPr>
        <w:tc>
          <w:tcPr>
            <w:tcW w:w="6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(469,547)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(278,904)</w:t>
            </w: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5"/>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(470,369)</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(288,702)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5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7"/>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7"/>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34,032</w:t>
            </w: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5"/>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71,751</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72,036</w:t>
            </w:r>
          </w:p>
        </w:tc>
      </w:tr>
      <w:tr>
        <w:trPr>
          <w:trHeight w:val="26"/>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36,654</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268,532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21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1"/>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520" w:type="dxa"/>
            <w:vAlign w:val="bottom"/>
            <w:tcBorders>
              <w:top w:val="single" w:sz="8" w:color="002D72"/>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
        </w:trPr>
        <w:tc>
          <w:tcPr>
            <w:tcW w:w="6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9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520" w:type="dxa"/>
            <w:vAlign w:val="bottom"/>
            <w:tcBorders>
              <w:top w:val="single" w:sz="8" w:color="002D72"/>
            </w:tcBorders>
          </w:tcPr>
          <w:p>
            <w:pPr>
              <w:jc w:val="right"/>
              <w:ind w:right="133"/>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
        </w:trPr>
        <w:tc>
          <w:tcPr>
            <w:tcW w:w="6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4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0"/>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4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0"/>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Restructuring</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6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60" w:type="dxa"/>
            <w:vAlign w:val="bottom"/>
            <w:gridSpan w:val="3"/>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6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4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60" w:type="dxa"/>
            <w:vAlign w:val="bottom"/>
            <w:gridSpan w:val="3"/>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6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(188)%</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(74)%</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80</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64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48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5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5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Fiscal Years Ended April 30, 2026 and 2025</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7"/>
                <w:szCs w:val="17"/>
                <w:color w:val="auto"/>
              </w:rPr>
            </w:pPr>
          </w:p>
        </w:tc>
        <w:tc>
          <w:tcPr>
            <w:tcW w:w="156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227,090</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327,630</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61,426</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8"/>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389,056</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(138,788)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Subscription revenue accounted for 91% and 84% of our total revenue for the fiscal years ended April 30, 2026 and 2025, respectively. Subscription revenue decreased by $100.5 million, or 31%, for the fiscal year ended April 30, 2026, compared to the prior fiscal year. Approximately 24% and 16%, respectively, of the total subscription revenue for the fiscal year ended April 30, 2026 and 2025, respectively, was attributable to revenue from new customers, and the remaining 76% and 84%, respectively, was attributable to revenue from existing customers. Existing customers are those from whom revenue was recognized during the fiscal year ended April 30, 2025.</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Professional services revenue decreased by $38.2 million, or 62%, for the fiscal year ended April 30, 2026, compared to the prior fiscal year, predominantly due to a decrease in prioritized engineering services of $25.0 million and a decrease in other professional services of $13.3 million.</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7"/>
                <w:szCs w:val="17"/>
                <w:color w:val="auto"/>
              </w:rPr>
            </w:pPr>
          </w:p>
        </w:tc>
        <w:tc>
          <w:tcPr>
            <w:tcW w:w="156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143,841</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22,450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5"/>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(2,757)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8"/>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172,886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153,193</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19,693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increase in cost of subscription revenue for the fiscal year ended April 30, 2026 compared to the prior fiscal year was primarily due to higher payroll and contractor costs of $22.0 million, higher overhead costs of $1.1 million, higher depreciation costs of $0.7 million, partially offset by lower data center costs of $2.4 million.</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decrease in cost of professional services revenue for the fiscal year ended April 30, 2026 compared to the prior fiscal year was primarily due to lower personnel related costs of $2.5 million.</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140" w:type="dxa"/>
            <w:vAlign w:val="bottom"/>
            <w:gridSpan w:val="4"/>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9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6"/>
              </w:rPr>
              <w:t>77,382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235,863</w:t>
            </w:r>
          </w:p>
        </w:tc>
        <w:tc>
          <w:tcPr>
            <w:tcW w:w="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9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gross margin</w:t>
            </w:r>
          </w:p>
        </w:tc>
        <w:tc>
          <w:tcPr>
            <w:tcW w:w="9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decrease in total gross margin in the fiscal year ended April 30, 2026 was primarily driven by a decline in both subscription margin and professional services margin.</w:t>
      </w:r>
    </w:p>
    <w:p>
      <w:pPr>
        <w:sectPr>
          <w:pgSz w:w="11900" w:h="16838" w:orient="portrait"/>
          <w:cols w:equalWidth="0" w:num="1">
            <w:col w:w="11240"/>
          </w:cols>
          <w:pgMar w:left="320" w:top="119" w:right="339" w:bottom="589"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589"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subscription margin for the fiscal year ended April 30, 2026 decreased primarily due to the decline in subscription revenue and higher payroll and contractor costs compared to the prior fiscal year.</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professional services margin for the fiscal year ended April 30, 2026 decreased primarily due to decline in prioritized engineering service projects compared to the prior fiscal year.</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7"/>
                <w:szCs w:val="17"/>
                <w:color w:val="auto"/>
              </w:rPr>
            </w:pPr>
          </w:p>
        </w:tc>
        <w:tc>
          <w:tcPr>
            <w:tcW w:w="156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239,659</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226,391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8"/>
        </w:trPr>
        <w:tc>
          <w:tcPr>
            <w:tcW w:w="5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560,287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The decrease in sales and marketing expense for the fiscal year ended April 30, 2026 compared to the prior fiscal year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lower advertising costs of $12.9 million, lower marketing costs of $6.9 million, partially offset by higher payroll costs of $17.9 million as a result of increased stock-based compensation primarily related to additional equity awards granted to current and new employees.</w:t>
      </w:r>
    </w:p>
    <w:p>
      <w:pPr>
        <w:spacing w:after="0" w:line="12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increase in research and development expense for the fiscal year ended April 30, 2026 compared to the prior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payroll and contractor costs of $7.7 million, partially offset by lower data center costs of $6.4 million.</w:t>
      </w:r>
    </w:p>
    <w:p>
      <w:pPr>
        <w:spacing w:after="0" w:line="10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The increase in general and administrative expense for the fiscal year ended April 30, 2026 compared to the prior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payroll and stock-based compensation costs of $11.3 million, partially offset by lower other general and administrative expenses of $3.8 million, and lower professional services costs of $3.2 million.</w:t>
      </w:r>
    </w:p>
    <w:p>
      <w:pPr>
        <w:spacing w:after="0" w:line="12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During the fiscal year ended April 30, 2026, we incurred restructuring expense of $10.8 million in connection with a reduction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headcount plan as part of the restructuring plan approved by our Board of Directors on February 24, 2026. These charges consisted of severance, employee-related termination benefits, stock-based compensation expense and write-off of property and equipment to improve our cost structure prospectively. For additional information regarding our restructuring plan, see </w:t>
      </w:r>
      <w:r>
        <w:rPr>
          <w:rFonts w:ascii="Times New Roman" w:cs="Times New Roman" w:eastAsia="Times New Roman" w:hAnsi="Times New Roman"/>
          <w:sz w:val="18"/>
          <w:szCs w:val="18"/>
          <w:i w:val="1"/>
          <w:iCs w:val="1"/>
          <w:color w:val="auto"/>
        </w:rPr>
        <w:t>Note 13. Restructuring</w:t>
      </w:r>
      <w:r>
        <w:rPr>
          <w:rFonts w:ascii="Times New Roman" w:cs="Times New Roman" w:eastAsia="Times New Roman" w:hAnsi="Times New Roman"/>
          <w:sz w:val="18"/>
          <w:szCs w:val="18"/>
          <w:color w:val="auto"/>
        </w:rPr>
        <w:t xml:space="preserve"> to our consolidated financial statements included elsewhere in this Annual Report on Form 10-K.</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36,189</w:t>
            </w:r>
          </w:p>
        </w:tc>
        <w:tc>
          <w:tcPr>
            <w:tcW w:w="3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decrease in interest income for the fiscal year ended April 30, 2026 was primarily due to lower prevailing interest rates and lower average balances in our marketable securities portfolio compared to the prior fiscal year.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509</w:t>
            </w:r>
          </w:p>
        </w:tc>
        <w:tc>
          <w:tcPr>
            <w:tcW w:w="3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decrease in other income, net for the fiscal year ended April 30, 2026 compared to the prior fiscal year was primarily due to lower foreign currency gains on the remeasurement of Euro-denominated cash and accounts receivable balances in the current fiscal year.</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976</w:t>
            </w:r>
          </w:p>
        </w:tc>
        <w:tc>
          <w:tcPr>
            <w:tcW w:w="3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decrease in provision for income taxes was primarily related to foreign and state tax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generally accepted accounting principles in the United States, or GAAP, we believe free cash flow, a non-GAAP financial measure, is useful in evaluating liquidity and provides information to management and investors about our ability to fund future operating needs and strategic initiatives. We calculate free cash flow as net cash used in operating activities less purchases of property and equipment. Free cash flow has limitations as an analytical tool, and it should not be considered in isolation or as a substitute for analysis of other GAAP financial measures, such as net cash used in operating activities. This non-GAAP financial measure may be different than similarly titled measures used by other companies. Additionally, the utility of free cash flow is further limited as it does not represent the total increase or decrease in our cash balances for a given period. The following table below provides a reconciliation of free cash flow to the GAAP measure of net cash used in operating activities for the periods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197"/>
        </w:trPr>
        <w:tc>
          <w:tcPr>
            <w:tcW w:w="8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81"/>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7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w:t>
            </w:r>
          </w:p>
        </w:tc>
      </w:tr>
      <w:tr>
        <w:trPr>
          <w:trHeight w:val="225"/>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5"/>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r>
      <w:tr>
        <w:trPr>
          <w:trHeight w:val="21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(192,136)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(44,446)</w:t>
            </w:r>
          </w:p>
        </w:tc>
      </w:tr>
      <w:tr>
        <w:trPr>
          <w:trHeight w:val="25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w:t>
            </w:r>
          </w:p>
        </w:tc>
      </w:tr>
      <w:tr>
        <w:trPr>
          <w:trHeight w:val="25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16,983</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22,223</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sales generated from our customers and sales of equity securities. As of April 30, 2026 and 2025, we had $66.2 million and $164.4 million of cash and cash equivalents and $509.3 million and $578.3 million of marketable securities, respectively, which are available for use in current operations. Our marketable securities generally consist of high-grade U.S. treasury securities, certificates of deposit, U.S. government agency securities, commercial paper and corporate debt securities. We have generated operating losses from our operations as reflected in our accumulated deficit of $1.8 billion as of April 30, 2026. We expect to continue to incur operating losses and generate negative cash flows from operations in the next few quarters due to the investments we intend to make in our business, and as a result we may require additional capital to execute on our strategic initiatives to grow the business.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fiscal year ended April 30, 2026, we incurred total restructuring expense of $10.8 million comprising $5.2 million in cash-based severance and related employee termination costs, which were fully paid during the period, and $5.6 million in non-cash charges consisting of stock-based compensation and write-off of property and equipment.</w:t>
      </w:r>
    </w:p>
    <w:p>
      <w:pPr>
        <w:spacing w:after="0" w:line="12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believe that existing cash and cash equivalents and marketable securities alone will be sufficient to support working capital and capital expenditure requirements for at least the next 12 months. We also believe we will meet expected future cash requirements and obligations through a combination of cash flows from operating activities and available cash balances. Our principal uses of cash in recent periods have been funding our operations and investing in capital expenditures. Our future capital requirements will depend on many factors, including our revenue growth rate, the timing and the amount of cash received from customers, the expansion of sales and marketing activities, the timing and extent of spending to support development efforts, expenses associated with our international expansion, the introduction of C3 AI Software enhancements, and the continuing market adoption of our C3 AI Software. In the future, we may enter into arrangements to acquire or invest in complementary businesses, products, and technologies. We may be required to seek additional equity or debt financing. If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197"/>
        </w:trPr>
        <w:tc>
          <w:tcPr>
            <w:tcW w:w="8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27"/>
        </w:trPr>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5"/>
                <w:szCs w:val="15"/>
                <w:color w:val="auto"/>
              </w:rPr>
            </w:pPr>
          </w:p>
        </w:tc>
      </w:tr>
      <w:tr>
        <w:trPr>
          <w:trHeight w:val="38"/>
        </w:trPr>
        <w:tc>
          <w:tcPr>
            <w:tcW w:w="8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16,396</w:t>
            </w:r>
          </w:p>
        </w:tc>
      </w:tr>
      <w:tr>
        <w:trPr>
          <w:trHeight w:val="25"/>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w:t>
            </w:r>
          </w:p>
        </w:tc>
      </w:tr>
      <w:tr>
        <w:trPr>
          <w:trHeight w:val="23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5"/>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3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largest source of operating cash is cash collections from our customers for subscription and professional services. Our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uses of cash from operating activities are for payroll and contractors costs, third-party cloud hosting costs, sales and marketing costs, and other operational costs.</w:t>
      </w:r>
    </w:p>
    <w:p>
      <w:pPr>
        <w:spacing w:after="0" w:line="1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fiscal year ended April 30, 2026, cash used in operating activities was $190.2 million, an increase of $148.8 million compared to last year. The increase was primarily attributable to an increase in cash paid for payroll and related costs, restructuring costs, and to vendors, partially offset by cash received from customers.</w:t>
      </w:r>
    </w:p>
    <w:p>
      <w:pPr>
        <w:spacing w:after="0" w:line="12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provided by investing activities of $75.1 million for the fiscal year ended April 30, 2026 was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and sales of marketable securities of $617.6 million, offset by purchases of marketable securities of $540.6 million and capital expenditures of $1.9 million mainly related to the leasehold improvements associated with leased space.</w:t>
      </w:r>
    </w:p>
    <w:p>
      <w:pPr>
        <w:spacing w:after="0" w:line="1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investing activities of $16.4 million for the fiscal year ended April 30, 2025 was primarily attributable to maturities and sales of marketable securities of $666.5 million, partially offset by purchases of marketable securities of $647.0 million and capital expenditures of $3.0 million mainly related to the leasehold improvements associated with leased space.</w:t>
      </w:r>
    </w:p>
    <w:p>
      <w:pPr>
        <w:spacing w:after="0" w:line="123" w:lineRule="exact"/>
        <w:rPr>
          <w:sz w:val="20"/>
          <w:szCs w:val="20"/>
          <w:color w:val="auto"/>
        </w:rPr>
      </w:pPr>
    </w:p>
    <w:p>
      <w:pPr>
        <w:ind w:right="28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of $17.0 million for the fiscal year ended April 30, 2026 was due to $9.3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issuance of Class A common stock under the Employee Stock Purchase Plan, or ESPP and $7.7 million of proceeds from the exercise of stock options for Class A common stock.</w:t>
      </w:r>
    </w:p>
    <w:p>
      <w:pPr>
        <w:spacing w:after="0" w:line="1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financing activities of $22.2 million for the fiscal year ended April 30, 2025 was due to $20.4 million of proceeds from the exercise of stock options for Class A common stock and $10.9 million of proceeds from the issuance of Class A common stock under the ESPP, offset by $9.1 million of taxes paid related to net share settlement of equity awards.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contractual obligations and commitments primarily consist of operating lease commitments for our facilities and non-cancellable purchase commitments related to third-party cloud hosting and professional services.</w:t>
      </w:r>
    </w:p>
    <w:p>
      <w:pPr>
        <w:spacing w:after="0" w:line="10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additional information, refer to </w:t>
      </w:r>
      <w:r>
        <w:rPr>
          <w:rFonts w:ascii="Times New Roman" w:cs="Times New Roman" w:eastAsia="Times New Roman" w:hAnsi="Times New Roman"/>
          <w:sz w:val="18"/>
          <w:szCs w:val="18"/>
          <w:i w:val="1"/>
          <w:iCs w:val="1"/>
          <w:color w:val="auto"/>
        </w:rPr>
        <w:t>Note 6. Leases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7. Commitments and Contingencies</w:t>
      </w:r>
      <w:r>
        <w:rPr>
          <w:rFonts w:ascii="Times New Roman" w:cs="Times New Roman" w:eastAsia="Times New Roman" w:hAnsi="Times New Roman"/>
          <w:sz w:val="18"/>
          <w:szCs w:val="18"/>
          <w:color w:val="auto"/>
        </w:rPr>
        <w:t xml:space="preserve"> to our consolidated financial statements included elsewhere in this Annual Report on Form 10-K.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consolidated financial statements and the accompanying notes thereto included elsewhere in this Annual Report on Form 10-K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w:t>
      </w:r>
      <w:r>
        <w:rPr>
          <w:rFonts w:ascii="Times New Roman" w:cs="Times New Roman" w:eastAsia="Times New Roman" w:hAnsi="Times New Roman"/>
          <w:sz w:val="18"/>
          <w:szCs w:val="18"/>
          <w:i w:val="1"/>
          <w:iCs w:val="1"/>
          <w:color w:val="auto"/>
        </w:rPr>
        <w:t>Note 1.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and Significant Accounting Policies </w:t>
      </w:r>
      <w:r>
        <w:rPr>
          <w:rFonts w:ascii="Times New Roman" w:cs="Times New Roman" w:eastAsia="Times New Roman" w:hAnsi="Times New Roman"/>
          <w:sz w:val="18"/>
          <w:szCs w:val="18"/>
          <w:color w:val="auto"/>
        </w:rPr>
        <w:t>to our consolidated financial statements appearing elsewhere in this Annual Report on Form 10-K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our other significant accounting policies.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 The critical accounting estimates, assumptions and judgments that we believe have the most significant impact on our consolidated financial statements are described below.</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customers in an amount that reflects the consideration to which we expect to be entitled in exchange for those goods or services.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64" w:lineRule="exact"/>
        <w:rPr>
          <w:sz w:val="20"/>
          <w:szCs w:val="20"/>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16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Our subscription revenue is primarily comprised of software licenses, software-as-a-service offerings, stand-ready COE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initial production deployments of our C3 AI Applications or Generative AI, and consumption-based pricing. Sale of our software licenses grant customers the right to use our functional intellectual property, either on their own cloud instance or internal hardware infrastructure, over the contractual term. As part of our customer acquisition strategy, we also sell premium stand-ready COE support services, hosting services, initial production deployments of our applications, and software licenses that are demonstration versions of C3 AI Applications configured for a customer that do not require maintenance and support services. Sales of our software-as-a-service offerings include the right to use our software in a hosted environment over the contractual term. Substantially all of our subscriptions offerings include our software and our maintenance and support services. Our maintenance and support services include critical and continuous updates to the software that are integral to maintaining the intended utility of the software over the contractual term. Our software subscriptions and maintenance and support services are highly interdependent and interrelated and represent a single distinct performance obligation within the context of the contract. Revenue from software licenses that do not require maintenance and support services is recognized when the control of the software is transferred to the customer.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generate additional runtime subscription fees for the use of our C3 Agentic AI Platform, a type of consumption billing based on computing and storage resources required to run our software. Customers may purchase blocks of runtime in advance. We typically recognize the consumption or usage-based revenue in excess of committed purchased runtime upon occurrence.</w:t>
      </w:r>
    </w:p>
    <w:p>
      <w:pPr>
        <w:spacing w:after="0" w:line="12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Professional services revenue primarily consists of consulting, training, paid implementation services and prioritized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services. These services are distinct from our subscription revenue.</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Professional services fees are based on the level of effort required to perform such tasks and are typically a fixed-fee engagement with a duration of less than 12 months. Prioritized engineering services are undertaken at the request of customers to accelerate the development of software features in C3 AI Software products. These features are typically part of the Company’s product roadmap, but the customer contracts with the Company to obtain such features on a time-accelerated basis. The Company generally recognizes revenue from professional services over time as the performance obligations are satisfied.</w:t>
      </w:r>
    </w:p>
    <w:p>
      <w:pPr>
        <w:spacing w:after="0" w:line="11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r>
        <w:rPr>
          <w:rFonts w:ascii="Times New Roman" w:cs="Times New Roman" w:eastAsia="Times New Roman" w:hAnsi="Times New Roman"/>
          <w:sz w:val="18"/>
          <w:szCs w:val="18"/>
          <w:color w:val="auto"/>
        </w:rPr>
        <w:t>. Most of our contracts with customers contain multiple performance obligations. Our subscriptions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for a broad range of amounts and a representative standalone selling price, or SSP, is not always discernible from past transactions or other observable evidence. When appropriate, we determine SSP based on the price at which the performance obligation has previously been sold through past standalone transactions. When the SSP of a license or subscription and bundled maintenance and support services is highly variable and the contract also includes additional performance obligations with observable SSP, we first allocate the transaction price to the performance obligations with established SSPs and then apply the residual approach to allocate the remaining transaction price to the license or subscription and bundled maintenance and support services. If the contract contains a single performance obligation, the entire transaction price is allocated to the single performance obligation.</w:t>
      </w:r>
    </w:p>
    <w:p>
      <w:pPr>
        <w:spacing w:after="0" w:line="13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Areas of Judgment and Estimates</w:t>
      </w:r>
      <w:r>
        <w:rPr>
          <w:rFonts w:ascii="Times New Roman" w:cs="Times New Roman" w:eastAsia="Times New Roman" w:hAnsi="Times New Roman"/>
          <w:sz w:val="18"/>
          <w:szCs w:val="18"/>
          <w:color w:val="auto"/>
        </w:rPr>
        <w:t>. Determining whether the software subscriptions and the related support are considered distinct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should be accounted for separately or as a single performance obligation requires significant judgment. Management applies judgment in identifying and evaluating terms and conditions in customer contracts that may impact evaluation of performance obligations and revenue recognition.</w:t>
      </w:r>
    </w:p>
    <w:p>
      <w:pPr>
        <w:spacing w:after="0" w:line="12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Determining the relative SSP for contracts that contain multiple performance obligations requires significant judgment. If there is no observable SSP, it is estimated using judgment and considering all reasonably available information including but not limited to, pricing practices in customer contracts with multiple goods and services, competitor pricing strategies, internally approved pricing guidelines, and other observable inputs. If applying the residual approach results in zero or very little consideration being allocated to a performance obligation, we consider all reasonably available data to determine an appropriate allocation of the transaction price.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We do not hold or issue financial instruments for trading purposes.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April 30, 2026, we had cash, cash equivalents, and marketable securities of $575.4 million. As of April 30, 2025, we had cash, cash equivalents, and marketable securities of $742.7 million. Interest-earning instruments carry a degree of interest rate risk. We do not enter into investments for trading or speculative purposes and have not used any derivative financial instruments to manage our interest rate risk exposure. As of April 30, 2026, a hypothetical 10% relative change in interest rates would not have had a material impact on the value of our cash equivalents or marketable securities portfolio. Any realized gains or losses resulting from such interest rate changes would only occur if we sold the marketable securities prior to maturity.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functional currency is the U.S. dollar. For the fiscal years ended April 30, 2026, 2025 and 2024, approximately 3%, 4%, and 5% of our sales were denominated in euros, respectively, and therefore our revenue, accounts receivable, and cash deposits are subject to foreign currency risk. Our foreign operating expenses are denominated in the local currencies of the countries in which we operate. Our consolidated results of operations and cash flows are, therefore, subject to fluctuations due to changes in foreign currency exchange rates and may be adversely affected in the future due to changes in foreign exchange rates. A hypothetical 10% change in foreign currency exchange rates may result in a material impact on our consolidated financial statements.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including higher employee compensation costs, we may not be able to fully offset such higher costs through price increases. Our inability or failure to do so could harm our business, financial condition, or results of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4"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E32E1"/>
        </w:rPr>
        <w:t>Report of Independent Registered Public Accounting Firm (PCAOB ID: 34)</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E32E1"/>
        </w:rPr>
        <w:t>Consolidated Balance Sheets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E32E1"/>
        </w:rPr>
        <w:t>Consolidated Statements of Operations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E32E1"/>
        </w:rPr>
        <w:t>Consolidated Statements of Comprehensive Loss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E32E1"/>
        </w:rPr>
        <w:t>Consolidated Statements of Stockholders’ Equity</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E32E1"/>
        </w:rPr>
        <w:t>Consolidated Statements of Cash Flows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E32E1"/>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89" w:name="page90"/>
    <w:bookmarkEnd w:id="89"/>
    <w:p>
      <w:pPr>
        <w:spacing w:after="0" w:line="200" w:lineRule="exact"/>
        <w:rPr>
          <w:sz w:val="20"/>
          <w:szCs w:val="20"/>
          <w:color w:val="auto"/>
        </w:rPr>
      </w:pPr>
    </w:p>
    <w:p>
      <w:pPr>
        <w:spacing w:after="0" w:line="229" w:lineRule="exact"/>
        <w:rPr>
          <w:sz w:val="20"/>
          <w:szCs w:val="20"/>
          <w:color w:val="auto"/>
        </w:rPr>
      </w:pPr>
    </w:p>
    <w:p>
      <w:pPr>
        <w:ind w:left="320" w:right="2600" w:firstLine="2276"/>
        <w:spacing w:after="0" w:line="51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C3.ai, Inc. </w:t>
      </w:r>
      <w:r>
        <w:rPr>
          <w:rFonts w:ascii="Times New Roman" w:cs="Times New Roman" w:eastAsia="Times New Roman" w:hAnsi="Times New Roman"/>
          <w:sz w:val="18"/>
          <w:szCs w:val="18"/>
          <w:b w:val="1"/>
          <w:bCs w:val="1"/>
          <w:color w:val="auto"/>
        </w:rPr>
        <w:t>Opinion on the Financial Statements</w:t>
      </w:r>
    </w:p>
    <w:p>
      <w:pPr>
        <w:spacing w:after="0" w:line="23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C3.ai, Inc. and subsidiaries (the “Company”) as of April 30, 2026 and 2025, the related consolidated statements of operations, comprehensive loss, stockholders’ equity, and cash flows, for each of the three fiscal years in the period ended April 30, 2026, and the related notes (collectively referred to as the “financial statements”). In our opinion, the financial statements present fairly, in all material respects, the financial position of the Company as of April 30, 2026 and 2025, and the results of its operations and its cash flows for each of the three years in the period ended April 30, 2026, in conformity with accounting principles generally accepted in the United States of America.</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April 30,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June 23, 2026, expressed an unqualified opinion on the Company’s internal control over financial reporting.</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Revenue - Refer to Notes 1 and 2 to the financial statements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Certain of the Company’s revenue contracts with customers include multiple performance obligations (such as delivery of software licenses, software-as-a-service, associated maintenance and support, professional services, and others). The Company typically negotiates contracts with its customers, and while many of these contracts contain standard terms and conditions, customer contracts may have customer specific terms and conditions due to the nature of the contracts.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Pursuant to accounting principles generally accepted in the United States of America, the Company is required to evaluate whether each performance obligation represents goods and services that are distinct. A good or service is distinct where the customer can benefit from the good or service either on its own or together with other resources that are readily available from third parties or from the Company, and is distinct in the context of the contract, where the transfer of the good or service is separately identifiable from other promises in the contract. The identification and evaluation of performance obligations can require significant judgment and could impact the amount of revenue recognized in a given period.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identified the Company’s identification and evaluation of performance obligations impacting revenue recognition as a critical audit matter because of the judgment management makes in evaluating the terms and conditions in such contracts and the impact of such judgment on the amount of revenue recognized in a given period. This required a high degree of auditor judgment and an increased extent of testing.</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audit procedures related to the Company’s identification and evaluation of performance obligations for customer contracts included the following, among others:</w:t>
      </w:r>
    </w:p>
    <w:p>
      <w:pPr>
        <w:spacing w:after="0" w:line="110" w:lineRule="exact"/>
        <w:rPr>
          <w:sz w:val="20"/>
          <w:szCs w:val="20"/>
          <w:color w:val="auto"/>
        </w:rPr>
      </w:pPr>
    </w:p>
    <w:p>
      <w:pPr>
        <w:ind w:left="640" w:hanging="316"/>
        <w:spacing w:after="0" w:line="274"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the Company’s process related to the identification of performance obligations, specifically around the review of the terms and conditions and proper evaluation of performance obligations.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 related to revenue recognition, including the identification of performance obligations, for reasonableness and compliance with generally accepted accounting principles.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contracts and performed the following:</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contract source documents, including order forms, master agreements, amendments, and other documents that were a part of the contract.</w:t>
      </w:r>
    </w:p>
    <w:p>
      <w:pPr>
        <w:spacing w:after="0" w:line="110" w:lineRule="exact"/>
        <w:rPr>
          <w:rFonts w:ascii="Times New Roman" w:cs="Times New Roman" w:eastAsia="Times New Roman" w:hAnsi="Times New Roman"/>
          <w:sz w:val="18"/>
          <w:szCs w:val="18"/>
          <w:color w:val="auto"/>
        </w:rPr>
      </w:pPr>
    </w:p>
    <w:p>
      <w:pPr>
        <w:ind w:left="1280" w:hanging="320"/>
        <w:spacing w:after="0" w:line="274" w:lineRule="auto"/>
        <w:tabs>
          <w:tab w:leader="none" w:pos="127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terms and conditions in the contract source documents and evaluated the appropriateness of management’s application of their accounting policies in the identification and evaluation of performance obligations.</w:t>
      </w:r>
    </w:p>
    <w:p>
      <w:pPr>
        <w:spacing w:after="0" w:line="200" w:lineRule="exact"/>
        <w:rPr>
          <w:sz w:val="20"/>
          <w:szCs w:val="20"/>
          <w:color w:val="auto"/>
        </w:rPr>
      </w:pPr>
    </w:p>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June 23, 2026</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66,197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164,358</w:t>
            </w: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509,252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578,330</w:t>
            </w:r>
          </w:p>
        </w:tc>
        <w:tc>
          <w:tcPr>
            <w:tcW w:w="0" w:type="dxa"/>
            <w:vAlign w:val="bottom"/>
          </w:tcPr>
          <w:p>
            <w:pPr>
              <w:spacing w:after="0"/>
              <w:rPr>
                <w:sz w:val="1"/>
                <w:szCs w:val="1"/>
                <w:color w:val="auto"/>
              </w:rPr>
            </w:pPr>
          </w:p>
        </w:tc>
      </w:tr>
      <w:tr>
        <w:trPr>
          <w:trHeight w:val="248"/>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of $1,065 and $877 as of April 30, 2026 and 2025, respectively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100,548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137,226</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31,965</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24,338</w:t>
            </w:r>
          </w:p>
        </w:tc>
        <w:tc>
          <w:tcPr>
            <w:tcW w:w="0" w:type="dxa"/>
            <w:vAlign w:val="bottom"/>
          </w:tcPr>
          <w:p>
            <w:pPr>
              <w:spacing w:after="0"/>
              <w:rPr>
                <w:sz w:val="1"/>
                <w:szCs w:val="1"/>
                <w:color w:val="auto"/>
              </w:rPr>
            </w:pPr>
          </w:p>
        </w:tc>
      </w:tr>
      <w:tr>
        <w:trPr>
          <w:trHeight w:val="238"/>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707,962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904,252</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79,298</w:t>
            </w:r>
          </w:p>
        </w:tc>
        <w:tc>
          <w:tcPr>
            <w:tcW w:w="0" w:type="dxa"/>
            <w:vAlign w:val="bottom"/>
          </w:tcPr>
          <w:p>
            <w:pPr>
              <w:spacing w:after="0"/>
              <w:rPr>
                <w:sz w:val="1"/>
                <w:szCs w:val="1"/>
                <w:color w:val="auto"/>
              </w:rPr>
            </w:pPr>
          </w:p>
        </w:tc>
      </w:tr>
      <w:tr>
        <w:trPr>
          <w:trHeight w:val="24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41,707</w:t>
            </w:r>
          </w:p>
        </w:tc>
        <w:tc>
          <w:tcPr>
            <w:tcW w:w="0" w:type="dxa"/>
            <w:vAlign w:val="bottom"/>
          </w:tcPr>
          <w:p>
            <w:pPr>
              <w:spacing w:after="0"/>
              <w:rPr>
                <w:sz w:val="1"/>
                <w:szCs w:val="1"/>
                <w:color w:val="auto"/>
              </w:rPr>
            </w:pPr>
          </w:p>
        </w:tc>
      </w:tr>
      <w:tr>
        <w:trPr>
          <w:trHeight w:val="263"/>
        </w:trPr>
        <w:tc>
          <w:tcPr>
            <w:tcW w:w="8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816,273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1,025,882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w:t>
            </w:r>
          </w:p>
        </w:tc>
        <w:tc>
          <w:tcPr>
            <w:tcW w:w="100" w:type="dxa"/>
            <w:vAlign w:val="bottom"/>
          </w:tcPr>
          <w:p>
            <w:pPr>
              <w:spacing w:after="0"/>
              <w:rPr>
                <w:sz w:val="19"/>
                <w:szCs w:val="19"/>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15,160</w:t>
            </w:r>
          </w:p>
        </w:tc>
        <w:tc>
          <w:tcPr>
            <w:tcW w:w="0" w:type="dxa"/>
            <w:vAlign w:val="bottom"/>
          </w:tcPr>
          <w:p>
            <w:pPr>
              <w:spacing w:after="0"/>
              <w:rPr>
                <w:sz w:val="1"/>
                <w:szCs w:val="1"/>
                <w:color w:val="auto"/>
              </w:rPr>
            </w:pPr>
          </w:p>
        </w:tc>
      </w:tr>
      <w:tr>
        <w:trPr>
          <w:trHeight w:val="248"/>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53,868</w:t>
            </w: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 current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36,561</w:t>
            </w:r>
          </w:p>
        </w:tc>
        <w:tc>
          <w:tcPr>
            <w:tcW w:w="0" w:type="dxa"/>
            <w:vAlign w:val="bottom"/>
          </w:tcPr>
          <w:p>
            <w:pPr>
              <w:spacing w:after="0"/>
              <w:rPr>
                <w:sz w:val="1"/>
                <w:szCs w:val="1"/>
                <w:color w:val="auto"/>
              </w:rPr>
            </w:pPr>
          </w:p>
        </w:tc>
      </w:tr>
      <w:tr>
        <w:trPr>
          <w:trHeight w:val="24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17,641</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26,295</w:t>
            </w:r>
          </w:p>
        </w:tc>
        <w:tc>
          <w:tcPr>
            <w:tcW w:w="0" w:type="dxa"/>
            <w:vAlign w:val="bottom"/>
          </w:tcPr>
          <w:p>
            <w:pPr>
              <w:spacing w:after="0"/>
              <w:rPr>
                <w:sz w:val="1"/>
                <w:szCs w:val="1"/>
                <w:color w:val="auto"/>
              </w:rPr>
            </w:pPr>
          </w:p>
        </w:tc>
      </w:tr>
      <w:tr>
        <w:trPr>
          <w:trHeight w:val="229"/>
        </w:trPr>
        <w:tc>
          <w:tcPr>
            <w:tcW w:w="82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131,884</w:t>
            </w:r>
          </w:p>
        </w:tc>
        <w:tc>
          <w:tcPr>
            <w:tcW w:w="0" w:type="dxa"/>
            <w:vAlign w:val="bottom"/>
          </w:tcPr>
          <w:p>
            <w:pPr>
              <w:spacing w:after="0"/>
              <w:rPr>
                <w:sz w:val="1"/>
                <w:szCs w:val="1"/>
                <w:color w:val="auto"/>
              </w:rPr>
            </w:pPr>
          </w:p>
        </w:tc>
      </w:tr>
      <w:tr>
        <w:trPr>
          <w:trHeight w:val="24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54,391</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55,695</w:t>
            </w:r>
          </w:p>
        </w:tc>
        <w:tc>
          <w:tcPr>
            <w:tcW w:w="0" w:type="dxa"/>
            <w:vAlign w:val="bottom"/>
          </w:tcPr>
          <w:p>
            <w:pPr>
              <w:spacing w:after="0"/>
              <w:rPr>
                <w:sz w:val="1"/>
                <w:szCs w:val="1"/>
                <w:color w:val="auto"/>
              </w:rPr>
            </w:pPr>
          </w:p>
        </w:tc>
      </w:tr>
      <w:tr>
        <w:trPr>
          <w:trHeight w:val="238"/>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162,522</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187,579</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$0.001 par value. 1,000,000,000 shares authorized as of April 30, 2026 and 2025, respectively;</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144,507,285 and 130,438,499 shares issued and outstanding as of April 30, 2026 and 2025, respectively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B common stock, $0.001 par value; 3,500,000 shares authorized as of April 30, 2026 and 2025, respectively; 3,499,992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3,499,992 shares issued and outstanding as of April 30, 2026 and 2025, respectively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2,502,657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2,216,284</w:t>
            </w:r>
          </w:p>
        </w:tc>
        <w:tc>
          <w:tcPr>
            <w:tcW w:w="0" w:type="dxa"/>
            <w:vAlign w:val="bottom"/>
          </w:tcPr>
          <w:p>
            <w:pPr>
              <w:spacing w:after="0"/>
              <w:rPr>
                <w:sz w:val="1"/>
                <w:szCs w:val="1"/>
                <w:color w:val="auto"/>
              </w:rPr>
            </w:pPr>
          </w:p>
        </w:tc>
      </w:tr>
      <w:tr>
        <w:trPr>
          <w:trHeight w:val="24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(1,849,004)</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(1,378,635)</w:t>
            </w:r>
          </w:p>
        </w:tc>
        <w:tc>
          <w:tcPr>
            <w:tcW w:w="0" w:type="dxa"/>
            <w:vAlign w:val="bottom"/>
          </w:tcPr>
          <w:p>
            <w:pPr>
              <w:spacing w:after="0"/>
              <w:rPr>
                <w:sz w:val="1"/>
                <w:szCs w:val="1"/>
                <w:color w:val="auto"/>
              </w:rPr>
            </w:pPr>
          </w:p>
        </w:tc>
      </w:tr>
      <w:tr>
        <w:trPr>
          <w:trHeight w:val="232"/>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653,751</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838,303</w:t>
            </w:r>
          </w:p>
        </w:tc>
        <w:tc>
          <w:tcPr>
            <w:tcW w:w="0" w:type="dxa"/>
            <w:vAlign w:val="bottom"/>
          </w:tcPr>
          <w:p>
            <w:pPr>
              <w:spacing w:after="0"/>
              <w:rPr>
                <w:sz w:val="1"/>
                <w:szCs w:val="1"/>
                <w:color w:val="auto"/>
              </w:rPr>
            </w:pP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816,273</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1,025,882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gridSpan w:val="6"/>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9"/>
              </w:rPr>
              <w:t>Fiscal Year Ended April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227,090</w:t>
            </w:r>
          </w:p>
        </w:tc>
        <w:tc>
          <w:tcPr>
            <w:tcW w:w="4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327,630</w:t>
            </w:r>
          </w:p>
        </w:tc>
        <w:tc>
          <w:tcPr>
            <w:tcW w:w="100" w:type="dxa"/>
            <w:vAlign w:val="bottom"/>
          </w:tcPr>
          <w:p>
            <w:pPr>
              <w:spacing w:after="0"/>
              <w:rPr>
                <w:sz w:val="23"/>
                <w:szCs w:val="23"/>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278,104</w:t>
            </w:r>
          </w:p>
        </w:tc>
        <w:tc>
          <w:tcPr>
            <w:tcW w:w="0" w:type="dxa"/>
            <w:vAlign w:val="bottom"/>
          </w:tcPr>
          <w:p>
            <w:pPr>
              <w:spacing w:after="0"/>
              <w:rPr>
                <w:sz w:val="1"/>
                <w:szCs w:val="1"/>
                <w:color w:val="auto"/>
              </w:rPr>
            </w:pPr>
          </w:p>
        </w:tc>
      </w:tr>
      <w:tr>
        <w:trPr>
          <w:trHeight w:val="26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r>
              <w:rPr>
                <w:rFonts w:ascii="Times New Roman" w:cs="Times New Roman" w:eastAsia="Times New Roman" w:hAnsi="Times New Roman"/>
                <w:sz w:val="22"/>
                <w:szCs w:val="22"/>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23,178</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0" w:type="dxa"/>
            <w:vAlign w:val="bottom"/>
          </w:tcPr>
          <w:p>
            <w:pPr>
              <w:spacing w:after="0"/>
              <w:rPr>
                <w:sz w:val="1"/>
                <w:szCs w:val="1"/>
                <w:color w:val="auto"/>
              </w:rPr>
            </w:pPr>
          </w:p>
        </w:tc>
      </w:tr>
      <w:tr>
        <w:trPr>
          <w:trHeight w:val="233"/>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250,268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310,582</w:t>
            </w:r>
          </w:p>
        </w:tc>
        <w:tc>
          <w:tcPr>
            <w:tcW w:w="0" w:type="dxa"/>
            <w:vAlign w:val="bottom"/>
          </w:tcPr>
          <w:p>
            <w:pPr>
              <w:spacing w:after="0"/>
              <w:rPr>
                <w:sz w:val="1"/>
                <w:szCs w:val="1"/>
                <w:color w:val="auto"/>
              </w:rPr>
            </w:pPr>
          </w:p>
        </w:tc>
      </w:tr>
      <w:tr>
        <w:trPr>
          <w:trHeight w:val="26"/>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166,291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0" w:type="dxa"/>
            <w:vAlign w:val="bottom"/>
          </w:tcPr>
          <w:p>
            <w:pPr>
              <w:spacing w:after="0"/>
              <w:rPr>
                <w:sz w:val="1"/>
                <w:szCs w:val="1"/>
                <w:color w:val="auto"/>
              </w:rPr>
            </w:pPr>
          </w:p>
        </w:tc>
      </w:tr>
      <w:tr>
        <w:trPr>
          <w:trHeight w:val="233"/>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172,886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132,022</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178,560</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(3)</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239,659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214,167</w:t>
            </w:r>
          </w:p>
        </w:tc>
        <w:tc>
          <w:tcPr>
            <w:tcW w:w="0" w:type="dxa"/>
            <w:vAlign w:val="bottom"/>
          </w:tcPr>
          <w:p>
            <w:pPr>
              <w:spacing w:after="0"/>
              <w:rPr>
                <w:sz w:val="1"/>
                <w:szCs w:val="1"/>
                <w:color w:val="auto"/>
              </w:rPr>
            </w:pPr>
          </w:p>
        </w:tc>
      </w:tr>
      <w:tr>
        <w:trPr>
          <w:trHeight w:val="24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201,365</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81,370</w:t>
            </w:r>
          </w:p>
        </w:tc>
        <w:tc>
          <w:tcPr>
            <w:tcW w:w="0" w:type="dxa"/>
            <w:vAlign w:val="bottom"/>
          </w:tcPr>
          <w:p>
            <w:pPr>
              <w:spacing w:after="0"/>
              <w:rPr>
                <w:sz w:val="1"/>
                <w:szCs w:val="1"/>
                <w:color w:val="auto"/>
              </w:rPr>
            </w:pPr>
          </w:p>
        </w:tc>
      </w:tr>
      <w:tr>
        <w:trPr>
          <w:trHeight w:val="24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575,880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496,902</w:t>
            </w:r>
          </w:p>
        </w:tc>
        <w:tc>
          <w:tcPr>
            <w:tcW w:w="0" w:type="dxa"/>
            <w:vAlign w:val="bottom"/>
          </w:tcPr>
          <w:p>
            <w:pPr>
              <w:spacing w:after="0"/>
              <w:rPr>
                <w:sz w:val="1"/>
                <w:szCs w:val="1"/>
                <w:color w:val="auto"/>
              </w:rPr>
            </w:pPr>
          </w:p>
        </w:tc>
      </w:tr>
      <w:tr>
        <w:trPr>
          <w:trHeight w:val="23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(498,498)</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(318,342)</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40,079</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(469,547)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(278,904)</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(470,369)</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Net loss per share attributable to Class A and Class B common stockholders, basic and diluted</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6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Class A and</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140,513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119,362</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stockholders,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320" w:hanging="314"/>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related party revenue of $10,581 for the fiscal year ended April 30, 2024.</w:t>
      </w:r>
    </w:p>
    <w:p>
      <w:pPr>
        <w:spacing w:after="0" w:line="24"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related party revenue of $5,804 for the fiscal year ended April 30, 2024.</w:t>
      </w:r>
    </w:p>
    <w:p>
      <w:pPr>
        <w:spacing w:after="0" w:line="22"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related party sales and marketing expense of $810 for the fiscal year ended April 30,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gridSpan w:val="6"/>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9"/>
              </w:rPr>
              <w:t>Fiscal Year Ended April 30,</w:t>
            </w:r>
          </w:p>
        </w:tc>
        <w:tc>
          <w:tcPr>
            <w:tcW w:w="1080" w:type="dxa"/>
            <w:vAlign w:val="bottom"/>
          </w:tcPr>
          <w:p>
            <w:pPr>
              <w:spacing w:after="0"/>
              <w:rPr>
                <w:sz w:val="16"/>
                <w:szCs w:val="16"/>
                <w:color w:val="auto"/>
              </w:rPr>
            </w:pPr>
          </w:p>
        </w:tc>
      </w:tr>
      <w:tr>
        <w:trPr>
          <w:trHeight w:val="38"/>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(470,369)</w:t>
            </w:r>
          </w:p>
        </w:tc>
        <w:tc>
          <w:tcPr>
            <w:tcW w:w="460" w:type="dxa"/>
            <w:vAlign w:val="bottom"/>
            <w:tcBorders>
              <w:bottom w:val="single" w:sz="8" w:color="CCEEFF"/>
            </w:tcBorders>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(279,696)</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 marketable securities,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5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(470,940)</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(279,874)</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restart"/>
          </w:tcPr>
          <w:p>
            <w:pPr>
              <w:jc w:val="center"/>
              <w:ind w:right="121"/>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2240" w:type="dxa"/>
            <w:vAlign w:val="bottom"/>
            <w:gridSpan w:val="5"/>
            <w:vMerge w:val="restart"/>
          </w:tcPr>
          <w:p>
            <w:pPr>
              <w:ind w:left="5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280" w:type="dxa"/>
            <w:vAlign w:val="bottom"/>
          </w:tcPr>
          <w:p>
            <w:pPr>
              <w:spacing w:after="0"/>
              <w:rPr>
                <w:sz w:val="10"/>
                <w:szCs w:val="10"/>
                <w:color w:val="auto"/>
              </w:rPr>
            </w:pPr>
          </w:p>
        </w:tc>
        <w:tc>
          <w:tcPr>
            <w:tcW w:w="22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line="134"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120" w:type="dxa"/>
            <w:vAlign w:val="bottom"/>
            <w:gridSpan w:val="3"/>
            <w:vMerge w:val="restart"/>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0" w:type="dxa"/>
            <w:vAlign w:val="bottom"/>
          </w:tcPr>
          <w:p>
            <w:pPr>
              <w:spacing w:after="0"/>
              <w:rPr>
                <w:sz w:val="10"/>
                <w:szCs w:val="10"/>
                <w:color w:val="auto"/>
              </w:rPr>
            </w:pPr>
          </w:p>
        </w:tc>
        <w:tc>
          <w:tcPr>
            <w:tcW w:w="1040" w:type="dxa"/>
            <w:vAlign w:val="bottom"/>
            <w:gridSpan w:val="2"/>
            <w:vMerge w:val="restart"/>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4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w w:val="99"/>
              </w:rPr>
              <w:t>Stockholders’</w:t>
            </w: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(Loss) Income</w:t>
            </w:r>
          </w:p>
        </w:tc>
        <w:tc>
          <w:tcPr>
            <w:tcW w:w="10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0" w:type="dxa"/>
            <w:vAlign w:val="bottom"/>
          </w:tcPr>
          <w:p>
            <w:pPr>
              <w:spacing w:after="0"/>
              <w:rPr>
                <w:sz w:val="18"/>
                <w:szCs w:val="18"/>
                <w:color w:val="auto"/>
              </w:rPr>
            </w:pPr>
          </w:p>
        </w:tc>
        <w:tc>
          <w:tcPr>
            <w:tcW w:w="840" w:type="dxa"/>
            <w:vAlign w:val="bottom"/>
          </w:tcPr>
          <w:p>
            <w:pPr>
              <w:jc w:val="center"/>
              <w:ind w:right="121"/>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2"/>
        </w:trPr>
        <w:tc>
          <w:tcPr>
            <w:tcW w:w="4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113,943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1,740,174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(810,237)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929,665</w:t>
            </w:r>
          </w:p>
        </w:tc>
        <w:tc>
          <w:tcPr>
            <w:tcW w:w="0" w:type="dxa"/>
            <w:vAlign w:val="bottom"/>
          </w:tcPr>
          <w:p>
            <w:pPr>
              <w:spacing w:after="0"/>
              <w:rPr>
                <w:sz w:val="1"/>
                <w:szCs w:val="1"/>
                <w:color w:val="auto"/>
              </w:rPr>
            </w:pPr>
          </w:p>
        </w:tc>
      </w:tr>
      <w:tr>
        <w:trPr>
          <w:trHeight w:val="198"/>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upon exercise of stock</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w:t>
            </w:r>
          </w:p>
        </w:tc>
        <w:tc>
          <w:tcPr>
            <w:tcW w:w="0" w:type="dxa"/>
            <w:vAlign w:val="bottom"/>
          </w:tcPr>
          <w:p>
            <w:pPr>
              <w:spacing w:after="0"/>
              <w:rPr>
                <w:sz w:val="1"/>
                <w:szCs w:val="1"/>
                <w:color w:val="auto"/>
              </w:rPr>
            </w:pPr>
          </w:p>
        </w:tc>
      </w:tr>
      <w:tr>
        <w:trPr>
          <w:trHeight w:val="248"/>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early exercised Class A common stock options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198"/>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withheld related to net share settlement of equity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0" w:type="dxa"/>
            <w:vAlign w:val="bottom"/>
          </w:tcPr>
          <w:p>
            <w:pPr>
              <w:spacing w:after="0"/>
              <w:rPr>
                <w:sz w:val="1"/>
                <w:szCs w:val="1"/>
                <w:color w:val="auto"/>
              </w:rPr>
            </w:pPr>
          </w:p>
        </w:tc>
      </w:tr>
      <w:tr>
        <w:trPr>
          <w:trHeight w:val="248"/>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34,833</w:t>
            </w:r>
          </w:p>
        </w:tc>
        <w:tc>
          <w:tcPr>
            <w:tcW w:w="0" w:type="dxa"/>
            <w:vAlign w:val="bottom"/>
          </w:tcPr>
          <w:p>
            <w:pPr>
              <w:spacing w:after="0"/>
              <w:rPr>
                <w:sz w:val="1"/>
                <w:szCs w:val="1"/>
                <w:color w:val="auto"/>
              </w:rPr>
            </w:pPr>
          </w:p>
        </w:tc>
      </w:tr>
      <w:tr>
        <w:trPr>
          <w:trHeight w:val="198"/>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under employee stock</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0" w:type="dxa"/>
            <w:vAlign w:val="bottom"/>
          </w:tcPr>
          <w:p>
            <w:pPr>
              <w:spacing w:after="0"/>
              <w:rPr>
                <w:sz w:val="1"/>
                <w:szCs w:val="1"/>
                <w:color w:val="auto"/>
              </w:rPr>
            </w:pPr>
          </w:p>
        </w:tc>
      </w:tr>
      <w:tr>
        <w:trPr>
          <w:trHeight w:val="248"/>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176,968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176,968</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48"/>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(279,696)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(279,696)</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2024</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123,706</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1,963,726</w:t>
            </w:r>
          </w:p>
        </w:tc>
        <w:tc>
          <w:tcPr>
            <w:tcW w:w="8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(1,089,933)</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873,353</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upon exercise of stock</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20,416</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Vesting of early exercised Class A common stock options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Shares withheld related to net share settlement of equity</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(9,079)</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41,001</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under employee stock</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10,880</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189,091</w:t>
            </w:r>
          </w:p>
        </w:tc>
        <w:tc>
          <w:tcPr>
            <w:tcW w:w="0" w:type="dxa"/>
            <w:vAlign w:val="bottom"/>
          </w:tcPr>
          <w:p>
            <w:pPr>
              <w:spacing w:after="0"/>
              <w:rPr>
                <w:sz w:val="1"/>
                <w:szCs w:val="1"/>
                <w:color w:val="auto"/>
              </w:rPr>
            </w:pPr>
          </w:p>
        </w:tc>
      </w:tr>
      <w:tr>
        <w:trPr>
          <w:trHeight w:val="248"/>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0" w:type="dxa"/>
            <w:vAlign w:val="bottom"/>
          </w:tcPr>
          <w:p>
            <w:pPr>
              <w:spacing w:after="0"/>
              <w:rPr>
                <w:sz w:val="1"/>
                <w:szCs w:val="1"/>
                <w:color w:val="auto"/>
              </w:rPr>
            </w:pPr>
          </w:p>
        </w:tc>
      </w:tr>
      <w:tr>
        <w:trPr>
          <w:trHeight w:val="232"/>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(288,702)</w:t>
            </w:r>
          </w:p>
        </w:tc>
        <w:tc>
          <w:tcPr>
            <w:tcW w:w="0" w:type="dxa"/>
            <w:vAlign w:val="bottom"/>
          </w:tcPr>
          <w:p>
            <w:pPr>
              <w:spacing w:after="0"/>
              <w:rPr>
                <w:sz w:val="1"/>
                <w:szCs w:val="1"/>
                <w:color w:val="auto"/>
              </w:rPr>
            </w:pPr>
          </w:p>
        </w:tc>
      </w:tr>
      <w:tr>
        <w:trPr>
          <w:trHeight w:val="263"/>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2025</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133,938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2,216,284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(1,378,635)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838,303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40"/>
          </w:cols>
          <w:pgMar w:left="320" w:top="119" w:right="6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restart"/>
          </w:tcPr>
          <w:p>
            <w:pPr>
              <w:jc w:val="center"/>
              <w:ind w:right="121"/>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2240" w:type="dxa"/>
            <w:vAlign w:val="bottom"/>
            <w:gridSpan w:val="5"/>
            <w:vMerge w:val="restart"/>
          </w:tcPr>
          <w:p>
            <w:pPr>
              <w:ind w:left="5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280" w:type="dxa"/>
            <w:vAlign w:val="bottom"/>
          </w:tcPr>
          <w:p>
            <w:pPr>
              <w:spacing w:after="0"/>
              <w:rPr>
                <w:sz w:val="10"/>
                <w:szCs w:val="10"/>
                <w:color w:val="auto"/>
              </w:rPr>
            </w:pPr>
          </w:p>
        </w:tc>
        <w:tc>
          <w:tcPr>
            <w:tcW w:w="22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line="134"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120" w:type="dxa"/>
            <w:vAlign w:val="bottom"/>
            <w:gridSpan w:val="3"/>
            <w:vMerge w:val="restart"/>
          </w:tcPr>
          <w:p>
            <w:pPr>
              <w:jc w:val="center"/>
              <w:ind w:right="80"/>
              <w:spacing w:after="0" w:line="134"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00" w:type="dxa"/>
            <w:vAlign w:val="bottom"/>
          </w:tcPr>
          <w:p>
            <w:pPr>
              <w:spacing w:after="0"/>
              <w:rPr>
                <w:sz w:val="10"/>
                <w:szCs w:val="10"/>
                <w:color w:val="auto"/>
              </w:rPr>
            </w:pPr>
          </w:p>
        </w:tc>
        <w:tc>
          <w:tcPr>
            <w:tcW w:w="1040" w:type="dxa"/>
            <w:vAlign w:val="bottom"/>
            <w:gridSpan w:val="2"/>
            <w:vMerge w:val="restart"/>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4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w w:val="99"/>
              </w:rPr>
              <w:t>Stockholders’</w:t>
            </w: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0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0" w:type="dxa"/>
            <w:vAlign w:val="bottom"/>
          </w:tcPr>
          <w:p>
            <w:pPr>
              <w:spacing w:after="0"/>
              <w:rPr>
                <w:sz w:val="18"/>
                <w:szCs w:val="18"/>
                <w:color w:val="auto"/>
              </w:rPr>
            </w:pPr>
          </w:p>
        </w:tc>
        <w:tc>
          <w:tcPr>
            <w:tcW w:w="840" w:type="dxa"/>
            <w:vAlign w:val="bottom"/>
          </w:tcPr>
          <w:p>
            <w:pPr>
              <w:jc w:val="center"/>
              <w:ind w:right="121"/>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2"/>
        </w:trPr>
        <w:tc>
          <w:tcPr>
            <w:tcW w:w="4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133,938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2,216,284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(1,378,635)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838,303</w:t>
            </w:r>
          </w:p>
        </w:tc>
        <w:tc>
          <w:tcPr>
            <w:tcW w:w="0" w:type="dxa"/>
            <w:vAlign w:val="bottom"/>
          </w:tcPr>
          <w:p>
            <w:pPr>
              <w:spacing w:after="0"/>
              <w:rPr>
                <w:sz w:val="1"/>
                <w:szCs w:val="1"/>
                <w:color w:val="auto"/>
              </w:rPr>
            </w:pPr>
          </w:p>
        </w:tc>
      </w:tr>
      <w:tr>
        <w:trPr>
          <w:trHeight w:val="198"/>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upon exercise of stock</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0" w:type="dxa"/>
            <w:vAlign w:val="bottom"/>
          </w:tcPr>
          <w:p>
            <w:pPr>
              <w:spacing w:after="0"/>
              <w:rPr>
                <w:sz w:val="1"/>
                <w:szCs w:val="1"/>
                <w:color w:val="auto"/>
              </w:rPr>
            </w:pPr>
          </w:p>
        </w:tc>
      </w:tr>
      <w:tr>
        <w:trPr>
          <w:trHeight w:val="248"/>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early exercised Class A common stock options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50,925</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under employee stock</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9,291</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218,483</w:t>
            </w:r>
          </w:p>
        </w:tc>
        <w:tc>
          <w:tcPr>
            <w:tcW w:w="0" w:type="dxa"/>
            <w:vAlign w:val="bottom"/>
          </w:tcPr>
          <w:p>
            <w:pPr>
              <w:spacing w:after="0"/>
              <w:rPr>
                <w:sz w:val="1"/>
                <w:szCs w:val="1"/>
                <w:color w:val="auto"/>
              </w:rPr>
            </w:pPr>
          </w:p>
        </w:tc>
      </w:tr>
      <w:tr>
        <w:trPr>
          <w:trHeight w:val="248"/>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32"/>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(470,369)</w:t>
            </w:r>
          </w:p>
        </w:tc>
        <w:tc>
          <w:tcPr>
            <w:tcW w:w="0" w:type="dxa"/>
            <w:vAlign w:val="bottom"/>
          </w:tcPr>
          <w:p>
            <w:pPr>
              <w:spacing w:after="0"/>
              <w:rPr>
                <w:sz w:val="1"/>
                <w:szCs w:val="1"/>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2026</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148,008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2,502,657</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(1,849,004)</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653,751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40"/>
          </w:cols>
          <w:pgMar w:left="320" w:top="119" w:right="6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8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w w:val="99"/>
              </w:rPr>
              <w:t>Fiscal Year Ended April 30,</w:t>
            </w:r>
          </w:p>
        </w:tc>
        <w:tc>
          <w:tcPr>
            <w:tcW w:w="1100" w:type="dxa"/>
            <w:vAlign w:val="bottom"/>
          </w:tcPr>
          <w:p>
            <w:pPr>
              <w:spacing w:after="0"/>
              <w:rPr>
                <w:sz w:val="16"/>
                <w:szCs w:val="16"/>
                <w:color w:val="auto"/>
              </w:rPr>
            </w:pPr>
          </w:p>
        </w:tc>
      </w:tr>
      <w:tr>
        <w:trPr>
          <w:trHeight w:val="38"/>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1"/>
        </w:trPr>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(470,369)</w:t>
            </w: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(288,702)</w:t>
            </w:r>
          </w:p>
        </w:tc>
        <w:tc>
          <w:tcPr>
            <w:tcW w:w="100" w:type="dxa"/>
            <w:vAlign w:val="bottom"/>
          </w:tcPr>
          <w:p>
            <w:pPr>
              <w:spacing w:after="0"/>
              <w:rPr>
                <w:sz w:val="19"/>
                <w:szCs w:val="19"/>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(279,696)</w:t>
            </w:r>
          </w:p>
        </w:tc>
      </w:tr>
      <w:tr>
        <w:trPr>
          <w:trHeight w:val="24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12,719</w:t>
            </w:r>
          </w:p>
        </w:tc>
      </w:tr>
      <w:tr>
        <w:trPr>
          <w:trHeight w:val="24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215,761</w:t>
            </w:r>
          </w:p>
        </w:tc>
      </w:tr>
      <w:tr>
        <w:trPr>
          <w:trHeight w:val="24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restructuring expense</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Accretion of discounts on marketable securities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(17,214)</w:t>
            </w:r>
          </w:p>
        </w:tc>
      </w:tr>
      <w:tr>
        <w:trPr>
          <w:trHeight w:val="24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w:t>
            </w:r>
          </w:p>
        </w:tc>
      </w:tr>
      <w:tr>
        <w:trPr>
          <w:trHeight w:val="238"/>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r>
              <w:rPr>
                <w:rFonts w:ascii="Times New Roman" w:cs="Times New Roman" w:eastAsia="Times New Roman" w:hAnsi="Times New Roman"/>
                <w:sz w:val="20"/>
                <w:szCs w:val="20"/>
                <w:color w:val="auto"/>
                <w:vertAlign w:val="superscript"/>
              </w:rPr>
              <w:t>(2)</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w:t>
            </w:r>
          </w:p>
        </w:tc>
      </w:tr>
      <w:tr>
        <w:trPr>
          <w:trHeight w:val="23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r>
              <w:rPr>
                <w:rFonts w:ascii="Times New Roman" w:cs="Times New Roman" w:eastAsia="Times New Roman" w:hAnsi="Times New Roman"/>
                <w:sz w:val="20"/>
                <w:szCs w:val="20"/>
                <w:color w:val="auto"/>
                <w:vertAlign w:val="superscript"/>
              </w:rPr>
              <w:t>(3)</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(6,218)</w:t>
            </w:r>
          </w:p>
        </w:tc>
      </w:tr>
      <w:tr>
        <w:trPr>
          <w:trHeight w:val="24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17,332</w:t>
            </w:r>
          </w:p>
        </w:tc>
      </w:tr>
      <w:tr>
        <w:trPr>
          <w:trHeight w:val="238"/>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0"/>
                <w:szCs w:val="20"/>
                <w:color w:val="auto"/>
                <w:vertAlign w:val="superscript"/>
              </w:rPr>
              <w:t>(4)</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8,155</w:t>
            </w:r>
          </w:p>
        </w:tc>
      </w:tr>
      <w:tr>
        <w:trPr>
          <w:trHeight w:val="23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r>
              <w:rPr>
                <w:rFonts w:ascii="Times New Roman" w:cs="Times New Roman" w:eastAsia="Times New Roman" w:hAnsi="Times New Roman"/>
                <w:sz w:val="20"/>
                <w:szCs w:val="20"/>
                <w:color w:val="auto"/>
                <w:vertAlign w:val="superscript"/>
              </w:rPr>
              <w:t>(5)</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w:t>
            </w:r>
          </w:p>
        </w:tc>
      </w:tr>
      <w:tr>
        <w:trPr>
          <w:trHeight w:val="225"/>
        </w:trPr>
        <w:tc>
          <w:tcPr>
            <w:tcW w:w="67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(190,228)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(62,362)</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(25,256)</w:t>
            </w:r>
          </w:p>
        </w:tc>
      </w:tr>
      <w:tr>
        <w:trPr>
          <w:trHeight w:val="24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(540,640)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(827,901)</w:t>
            </w:r>
          </w:p>
        </w:tc>
      </w:tr>
      <w:tr>
        <w:trPr>
          <w:trHeight w:val="24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Maturities and sales of investments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617,632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666,450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789,292</w:t>
            </w:r>
          </w:p>
        </w:tc>
      </w:tr>
      <w:tr>
        <w:trPr>
          <w:trHeight w:val="225"/>
        </w:trPr>
        <w:tc>
          <w:tcPr>
            <w:tcW w:w="67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75,084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(66,615)</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(13,220)</w:t>
            </w:r>
          </w:p>
        </w:tc>
      </w:tr>
      <w:tr>
        <w:trPr>
          <w:trHeight w:val="24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Class A common stock under employee stock purchase plan</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10,763</w:t>
            </w:r>
          </w:p>
        </w:tc>
      </w:tr>
      <w:tr>
        <w:trPr>
          <w:trHeight w:val="232"/>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Proceeds from exercise of Class A common stock options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13,751</w:t>
            </w:r>
          </w:p>
        </w:tc>
      </w:tr>
      <w:tr>
        <w:trPr>
          <w:trHeight w:val="238"/>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16,983</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11,294</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(117,683)</w:t>
            </w:r>
          </w:p>
        </w:tc>
      </w:tr>
      <w:tr>
        <w:trPr>
          <w:trHeight w:val="24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176,924</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179,712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297,395</w:t>
            </w:r>
          </w:p>
        </w:tc>
      </w:tr>
      <w:tr>
        <w:trPr>
          <w:trHeight w:val="232"/>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78,763</w:t>
            </w: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176,924</w:t>
            </w:r>
          </w:p>
        </w:tc>
        <w:tc>
          <w:tcPr>
            <w:tcW w:w="100" w:type="dxa"/>
            <w:vAlign w:val="bottom"/>
          </w:tcPr>
          <w:p>
            <w:pPr>
              <w:spacing w:after="0"/>
              <w:rPr>
                <w:sz w:val="20"/>
                <w:szCs w:val="20"/>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179,712</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66,197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167,146</w:t>
            </w:r>
          </w:p>
        </w:tc>
      </w:tr>
      <w:tr>
        <w:trPr>
          <w:trHeight w:val="232"/>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Restricted cash included in other assets, non-current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12,566</w:t>
            </w:r>
          </w:p>
        </w:tc>
      </w:tr>
      <w:tr>
        <w:trPr>
          <w:trHeight w:val="25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78,763</w:t>
            </w:r>
          </w:p>
        </w:tc>
        <w:tc>
          <w:tcPr>
            <w:tcW w:w="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179,712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w w:val="99"/>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7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76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67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 - cash paid for income taxes</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4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liabilities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 (including remeasurement of right-of-</w:t>
            </w: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760" w:type="dxa"/>
            <w:vAlign w:val="bottom"/>
            <w:vMerge w:val="continue"/>
          </w:tcPr>
          <w:p>
            <w:pPr>
              <w:spacing w:after="0"/>
              <w:rPr>
                <w:sz w:val="19"/>
                <w:szCs w:val="19"/>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460" w:type="dxa"/>
            <w:vAlign w:val="bottom"/>
            <w:gridSpan w:val="3"/>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9"/>
                <w:szCs w:val="19"/>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133"/>
        </w:trPr>
        <w:tc>
          <w:tcPr>
            <w:tcW w:w="6760" w:type="dxa"/>
            <w:vAlign w:val="bottom"/>
          </w:tcPr>
          <w:p>
            <w:pPr>
              <w:ind w:left="240"/>
              <w:spacing w:after="0" w:line="133" w:lineRule="exact"/>
              <w:rPr>
                <w:sz w:val="20"/>
                <w:szCs w:val="20"/>
                <w:color w:val="auto"/>
              </w:rPr>
            </w:pPr>
            <w:r>
              <w:rPr>
                <w:rFonts w:ascii="Times New Roman" w:cs="Times New Roman" w:eastAsia="Times New Roman" w:hAnsi="Times New Roman"/>
                <w:sz w:val="15"/>
                <w:szCs w:val="15"/>
                <w:color w:val="auto"/>
              </w:rPr>
              <w:t>use assets and lease liabilities due to changes in the timing of receipt of lease incentives)</w:t>
            </w:r>
          </w:p>
        </w:tc>
        <w:tc>
          <w:tcPr>
            <w:tcW w:w="9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shd w:val="clear" w:color="auto" w:fill="CCEEFF"/>
          </w:tcPr>
          <w:p>
            <w:pPr>
              <w:ind w:left="240"/>
              <w:spacing w:after="0" w:line="183" w:lineRule="exact"/>
              <w:rPr>
                <w:sz w:val="20"/>
                <w:szCs w:val="20"/>
                <w:color w:val="auto"/>
              </w:rPr>
            </w:pPr>
            <w:r>
              <w:rPr>
                <w:rFonts w:ascii="Times New Roman" w:cs="Times New Roman" w:eastAsia="Times New Roman" w:hAnsi="Times New Roman"/>
                <w:sz w:val="16"/>
                <w:szCs w:val="16"/>
                <w:color w:val="auto"/>
                <w:w w:val="99"/>
              </w:rPr>
              <w:t>Receivable from exercise of stock options included in prepaid expenses, other current assets and other</w:t>
            </w:r>
          </w:p>
        </w:tc>
        <w:tc>
          <w:tcPr>
            <w:tcW w:w="960" w:type="dxa"/>
            <w:vAlign w:val="bottom"/>
            <w:shd w:val="clear" w:color="auto" w:fill="CCEEFF"/>
          </w:tcPr>
          <w:p>
            <w:pPr>
              <w:jc w:val="right"/>
              <w:ind w:right="782"/>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shd w:val="clear" w:color="auto" w:fill="CCEEFF"/>
          </w:tcPr>
          <w:p>
            <w:pPr>
              <w:jc w:val="right"/>
              <w:ind w:right="161"/>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61"/>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60" w:type="dxa"/>
            <w:vAlign w:val="bottom"/>
            <w:gridSpan w:val="3"/>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7"/>
                <w:szCs w:val="17"/>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320" w:hanging="314"/>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$12,444 for the fiscal year ended April 30, 2024.</w:t>
      </w:r>
    </w:p>
    <w:p>
      <w:pPr>
        <w:spacing w:after="0" w:line="14"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$(810) for the fiscal year ended April 30, 2024.</w:t>
      </w:r>
    </w:p>
    <w:p>
      <w:pPr>
        <w:spacing w:after="0" w:line="6"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$248 for the fiscal year ended April 30, 2024.</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$(2,448) for the fiscal year ended April 30, 2024.</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$(46) for the fiscal year ended April 30,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right="6580" w:hanging="314"/>
        <w:spacing w:after="0" w:line="431" w:lineRule="auto"/>
        <w:tabs>
          <w:tab w:leader="none" w:pos="3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Business and Significant Accounting Policies </w:t>
      </w:r>
      <w:r>
        <w:rPr>
          <w:rFonts w:ascii="Times New Roman" w:cs="Times New Roman" w:eastAsia="Times New Roman" w:hAnsi="Times New Roman"/>
          <w:sz w:val="18"/>
          <w:szCs w:val="18"/>
          <w:b w:val="1"/>
          <w:bCs w:val="1"/>
          <w:i w:val="1"/>
          <w:iCs w:val="1"/>
          <w:color w:val="auto"/>
        </w:rPr>
        <w:t>Business</w:t>
      </w:r>
    </w:p>
    <w:p>
      <w:pPr>
        <w:spacing w:after="0" w:line="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C3.ai, Inc. (including its subsidiaries, “C3 AI” or “the Company”) is an enterprise artificial intelligence (“AI”) software provider. The Company delivers a family of fully integrated products including the C3 Agentic AI Platform, an end-to-end platform for developing, deploying, and operating enterprise AI applications, C3 AI Applications, a portfolio of industry-specific SaaS enterprise AI applications that enable the digital transformation of organizations globally, C3 Generative AI, a suite of domain-specific generative AI offerings for the enterprise. The Company supports customers in the United States, Europe, and other parts of the world. The Company was initially formed as a limited liability company in Delaware on January 8, 2009 and converted to a Delaware corporation in June 2012.</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generally accepted accounting principles in the United States (“U.S. GAAP”) and applicable rules and regulations of the U.S. Securities and Exchange commission (the “SEC”). The consolidated financial statements include the accounts of the Company and its wholly owned subsidiaries. All intercompany balances and transactions have been eliminated in consolidation.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The preparation of the accompanying consolidated financial statements in conformity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Actual results and outcomes could differ significantly from the Company’s estimates, judgments, and assumptions. Such estimates include, but are not limited to, determining standalone selling price for performance obligations in contracts with customers and estimating variable consideration, the estimated expected benefit period for deferred contract acquisition costs, the useful lives of long-lived assets, the incremental borrowing rate for operating leases, assumptions used to measure stock-based compensation, and the valuation of deferred income tax assets and uncertain tax positions.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fiscal year ends on April 30. References to fiscal 2026, 2025 and 2024 relate to the fiscal years ended April 30, 2026, 2025 and 2024, respectively.</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6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 xml:space="preserve">Financial instruments that potentially subject the Company to concentration of credit risk consist of cash and cash equivalents, marketable securities and accounts receivable. The majority of the Company’s cash and cash equivalents are held by one financial institution. The Company is exposed to that financial institution to the extent that its cash balance with that financial institution is in excess of Federal Deposit Insurance Company (“FDIC”) insurance limits. The Company’s investment policy is to invest in securities with a minimum rating of P-2 by Moody’s, A-2 by Standard &amp; Poor, F2 by Fitch or higher for short-term investments, minimum rating of BBB by Moody’s, Standard &amp; Poor, Fitch or higher for long-term investments with maturity dates between 12 to 18 months, and minimum rating of A or higher by Standard &amp; Poor and Fitch for long-term investments with maturity dates of 18 months or longer from the date of purchase. For accounts receivable, the Company is exposed to credit risk in the event of nonpayment by customers up to the amounts recorded on the consolidated balance sheets. The Company manages its accounts receivable credit risk through ongoing credit evaluation of its customers financial conditions. The Company generally does not require collateral from its customers. See </w:t>
      </w:r>
      <w:r>
        <w:rPr>
          <w:rFonts w:ascii="Times New Roman" w:cs="Times New Roman" w:eastAsia="Times New Roman" w:hAnsi="Times New Roman"/>
          <w:sz w:val="17"/>
          <w:szCs w:val="17"/>
          <w:i w:val="1"/>
          <w:iCs w:val="1"/>
          <w:color w:val="auto"/>
        </w:rPr>
        <w:t>Note 2. Revenue</w:t>
      </w:r>
      <w:r>
        <w:rPr>
          <w:rFonts w:ascii="Times New Roman" w:cs="Times New Roman" w:eastAsia="Times New Roman" w:hAnsi="Times New Roman"/>
          <w:sz w:val="17"/>
          <w:szCs w:val="17"/>
          <w:color w:val="auto"/>
        </w:rPr>
        <w:t xml:space="preserve"> for information regarding the Company’s significant customers.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purchase to be cash equivalents. The Company’s cash equivalents consisted of investments in money market funds, commercial paper, U.S. treasury securities and corporate debt securities as of April 30, 2026 and 2025.</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6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had restricted cash of $12.6 million at April 30, 2026 and 2025, representing a security deposit required by certain leases. The balance of restricted cash as of April 30, 2026 and 2025 was recorded in other assets, non-current on the consolidated balance sheets.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investments in marketable debt securities have been classified and accounted for as available-for-sale and are recorded at estimated fair value. The Company’s available-for-sale marketable securities comprised of U.S. treasury securities, certificates of deposit, U.S. government agency securities, commercial paper, and corporate debt securities, are classified as available-for-sale marketable securities. The Company considers all of its marketable securities as available for use in current operations, including those with maturity dates beyond one year, and therefore classifies these securities within current assets on the consolidated balance sheets. Purchase premiums and discounts are amortized or accreted using the effective interest method over the life of the related security and such amortization and accretion are included in interest income in the consolidated statements of operations.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 available-for-sale marketable securities in an unrealized loss position, the Company first assesses whether it intends to sell or it is more likely than not that the Company will be required to sell the security before the recovery of its entire amortized cost basis. If either of these criteria is met, the security’s amortized cost basis is written down to fair value through other income (expense), net in the consolidated statements of operations. If neither of these criteria is met, the Company further assesses whether the decline in fair value below amortized cost is due to credit or non-credit related factors. In making this assessment, the Company considers the extent to which fair value is less than amortized cost, any changes to the rating of the security by a rating agency, and any adverse conditions specifically related to the security, among other factors. Credit related unrealized losses are recognized as an allowance on the consolidated balance sheets with a corresponding charge in the other income (expense), net in the consolidated statements of operations. Non-credit related unrealized losses and unrealized gains on available-for-sale marketable securities are reported in other comprehensive income (loss) as a separate component on the consolidated statements of comprehensive loss. Realized gains and losses are determined based on the specific-identification method and are reported in interest income on the consolidated statements of operations.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Accounts receivable includes billed and unbilled receivables, net of allowance of doubtful accounts. Trade accounts receivable are recorded at invoiced amounts and do not bear interest. The expectation of collectability is based on a review of credit profiles of customers, contractual terms and conditions, current economic trends, and historical payment experience. The Company regularly reviews the adequacy of the allowance for doubtful accounts by considering the age of each outstanding invoice and the collection history of each customer to determine the appropriate amount of allowance for doubtful accounts. An allowance for doubtful accounts balance of $1.1 million and $0.9 million was recorded as of April 30, 2026 and 2025, respectively. Accounts receivable included unbilled receivables of as of April 30, 2026 and April 30, 2025 of $42.8 million and $40.2 million, respectively.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3—Inputs that are unobservable for the asset or liability.</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Prepaid expenses and other current assets are comprised primarily of prepaid cloud subscriptions, contractor costs, costs to obtain and fulfill a contract, prepaid software subscriptions, prepaid rent, and prepaid insurance premiums.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Assets are depreciated using the straight-line method over useful lives of three to five years. Leasehold improvements and certain furniture and fixtures are amortized using the straight-line method over the lesser of the remaining respective lease term or useful lives.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evaluates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April 30, 2026, 2025 and 2024.</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Goodwill is the amount by which the cost of acquired net assets in a business combination exceeds the fair value of the net identifiable assets on the date of purchase and is carried at its historical cost. The Company tests goodwill for impairment on an annual basis or more frequently if events or changes in circumstances indicate that the asset might be impaired. The Company performs its annual impairment test of goodwill as of February 1, and whenever events or circumstances indicate that the asset might be impaired. The tests did not result in an impairment to goodwill during the fiscal years ended April 30, 2026, 2025 and 2024.</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lease arrangements that include lease and non-lease components. The Company has elected to not account for the lease and non-lease components separately. For short-term leases, defined as leases with a lease term of 12 months or less, the Company elected to not recognize an associated lease liability and right-of-use (“ROU”), asset. Lease payments for short-term leases are expensed on a straight-line basis over the lease term.</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Company subleases certain of its unoccupied facilities to third parties. Any impairment to the associated right-of-use assets, leasehold improvements, or other assets as a result of a sublease is recognized in the period the sublease is executed and recorded in the consolidated statements of operations. The Company recognizes sublease income on a straight-line basis over the sublease term. Sublease income is recorded as a reduction to the Company’s operating lease costs.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does not have financing leases. Operating lease ROU assets represent the Company’s right to use an underlying asset for the lease term and lease liabilities represent its obligation to make lease payments arising from the lease. Operating lease ROU assets and liabilities are recognized at the commencement date based on the present value of remaining lease payments over the lease term. The Company uses the rate implicit in the lease when readily determinable at lease inception. If the implicit rate is not readily determinable, the Company uses its incremental borrowing rate based on the information available at the adoption date for leases that commenced prior to the adoption date and the commencement date for leases that commenced after the adoption date. The incremental borrowing rate assumptions include the lease term and the Company’s credit risk. The operating lease ROU asset also includes any advance lease payments made and excludes lease incentives. The Company’s lease terms include options to extend or terminate the lease when it is reasonably certain that the Company will exercise that option. Lease expense for lease payments is recognized on a straight-line basis as operating expense in the consolidated statements of operations over the lease term.</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capitalizes certain software development costs subsequent to the establishment of technological feasibility. Based on the Company’s product development process and substantial development risks, the Company’s products are made available for general release as soon as technological feasibility is reached.</w:t>
      </w:r>
    </w:p>
    <w:p>
      <w:pPr>
        <w:spacing w:after="0" w:line="12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 expenses the cost of purchased software that is to be sold, leased, or otherwise marketed as part of a product until the technological feasibility of the product has been established or where the software has an alternative future use. Once the technological feasibility of the product, to be externally marketed, has been established or where the software has an alternative future use, the Company capitalizes the cost of purchased software until the associated product is available for general release to customers, at which point the capitalized cost is amortized on a product-by-product basis at the greater of the ratio of current gross revenues to the total of current and anticipated future gross revenues or over the remaining estimated economic life of the product.</w:t>
      </w:r>
    </w:p>
    <w:p>
      <w:pPr>
        <w:spacing w:after="0" w:line="11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As of April 30, 2026 and 2025, net capitalized software costs of $0.6 million and $0.8 million, respectively, were included in other assets, non-current on the consolidated balance sheets. The Company recorded amortization of capitalized software costs of $0.2 million, $0.4 million and $1.3 million during the fiscal years ended April 30, 2026, 2025 and 2024, respectively, which is included in cost of subscription revenue in the consolidated statements of operations.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of the Company’s revenue recognition criteria are met. The portion of deferred revenue that is anticipated to be recognized as revenue during the succeeding twelve-month period is recorded as deferred revenue, current and the remaining portion is recorded as deferred revenue, non-current on the consolidated balance sheets. The Company’s contract liabilities are classified as deferred revenue upon the right to invoice or when payments have been received for undelivered products or services.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Accounting Standards Codifications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for all periods presented. The core principle of ASC 606 is to recognize revenue from the transfer of promised goods or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an amount that reflects the consideration the Company expects to be entitled to in exchange for those goods or services. This principle is achieved by applying the following five-step approach:</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Identification of the Contract, or Contracts, with a Customer. </w:t>
      </w:r>
      <w:r>
        <w:rPr>
          <w:rFonts w:ascii="Times New Roman" w:cs="Times New Roman" w:eastAsia="Times New Roman" w:hAnsi="Times New Roman"/>
          <w:sz w:val="18"/>
          <w:szCs w:val="18"/>
          <w:color w:val="auto"/>
        </w:rPr>
        <w:t>A contract with a customer exists when (1) the Company enters into an enforceable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customer that defines each party’s rights regarding the goods or services to be transferred and identifies the payment terms related to these goods or services, (2) the contract has commercial substance and (3) the Company determines that collection of substantially all consideration for goods or services that are transferred is probable based on the customer’s intent and ability to pay the promised consideration.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Identification of the Performance Obligations in the Contract. </w:t>
      </w:r>
      <w:r>
        <w:rPr>
          <w:rFonts w:ascii="Times New Roman" w:cs="Times New Roman" w:eastAsia="Times New Roman" w:hAnsi="Times New Roman"/>
          <w:sz w:val="18"/>
          <w:szCs w:val="18"/>
          <w:color w:val="auto"/>
        </w:rPr>
        <w:t>Performance obligations promised in a contract are identified based on the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 To the extent a contract includes multiple promised goods or services, the Company applies judgment to determine whether promised goods or services are capable of being distinct and distinct in the context of the contract. If these criteria are not met, the promised goods or services are accounted for as a combined performance obligation.</w:t>
      </w:r>
    </w:p>
    <w:p>
      <w:pPr>
        <w:spacing w:after="0" w:line="13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Determination of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net of sales taxes or value-added taxes. If the transaction price includes variable consideration, the Company includes an estimate of the amount it expects to receive if it is probable that a significant reversal of cumulative revenue recognized will not occur. Usage-based fees earned in exchange for the use of the Company’s software licenses and subscription services in excess of committed usage are recognized in the period when usage occurs.</w:t>
      </w:r>
    </w:p>
    <w:p>
      <w:pPr>
        <w:spacing w:after="0" w:line="12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Allocation of the Transaction Price to the Performance Obligations in the Contract. </w:t>
      </w:r>
      <w:r>
        <w:rPr>
          <w:rFonts w:ascii="Times New Roman" w:cs="Times New Roman" w:eastAsia="Times New Roman" w:hAnsi="Times New Roman"/>
          <w:sz w:val="18"/>
          <w:szCs w:val="18"/>
          <w:color w:val="auto"/>
        </w:rPr>
        <w:t>Contracts that contain multiple performance obligations require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of the transaction price to each performance obligation based on a relative standalone selling price (“SSP”). When appropriate, the Company determines SSP based on data points that include the price at which the performance obligation has previously been sold through past transactions on a stand-alone basis, internally approved pricing guidelines and other relevant data points. If there is no observable SSP, it is estimated by considering all reasonably available information including but not limited to pricing practices, competitor pricing strategies and other observable inputs. When the SSP of a license or subscription and bundled maintenance and support services is highly variable and the contract also includes additional performance obligations with observable SSP, the Company first allocates the transaction price to the performance obligations with established SSPs and then applies the residual approach to allocate the remaining transaction price to the license or subscription and bundled maintenance and support services. If applying the residual approach results in zero or very little consideration being allocated to the performance obligation, the Company considers all reasonably available data to determine an appropriate allocation of the transaction price. If the contract contains a single performance obligation, the entire transaction price is allocated to the single performance obligation.</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Recognition of Revenue when, or as, Performance Obligations are Satisfied</w:t>
      </w:r>
      <w:r>
        <w:rPr>
          <w:rFonts w:ascii="Times New Roman" w:cs="Times New Roman" w:eastAsia="Times New Roman" w:hAnsi="Times New Roman"/>
          <w:sz w:val="18"/>
          <w:szCs w:val="18"/>
          <w:color w:val="auto"/>
        </w:rPr>
        <w:t>. The Company satisfies substantially all of its performance obligations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as discussed in further detail below. Revenue is recognized at the time the related performance obligation is satisfied with the transfer of a promised good or service to a customer over time. Revenue from software licenses that do not require maintenance and support services is recognized when the control of the software is transferred to the customer.</w:t>
      </w:r>
    </w:p>
    <w:p>
      <w:pPr>
        <w:spacing w:after="0" w:line="1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Subscription Revenue</w:t>
      </w:r>
    </w:p>
    <w:p>
      <w:pPr>
        <w:spacing w:after="0" w:line="16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Subscription revenue is primarily comprised of software licenses, software-as-a-service offerings, stand-ready COE support services, initial production deployments of C3 AI Applications or Generative AI, and hosting charges. Software licenses grant customers the right to use C3 AI Software, either on their own cloud instances or their internal hardware infrastructures, during the contractual term. The Company also offers a premium stand ready service through its COE. Sales of the Company’s software-as-a-service offerings include a right to use C3 AI Software during the contract term. In addition, customers pay a usage-based runtime fee for C3 AI Software for specified levels of guaranteed minimum consumption. Subscriptions also include maintenance and support services, which include critical and continuous updates to the software that are integral to maintaining the intended utility of the software over the contractual term. For a significant majority of the Company’s offerings, software subscriptions and maintenance and support services are highly interdependent and interrelated and represent a single distinct performance obligation within the context of the contract. The Company also sells software licenses that do not require maintenance and support services. The Company currently has a small number of customers that license software offerings under a perpetual license model, and the Company expects that may continue for the foreseeable future for certain customers due to their specific contracting requirements.</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subscriptions are generally offered under renewable, multi-period, fixed fee contracts where payments are typically due in advance. A time-elapsed output method is used to measure progress because the nature of the promise is a stand-ready service. The Company also offers premium stand-ready C3 AI COE support services, hosting services and trial services, which are distinct performance obligations. A description of the Company’s offerings are as follows: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0" w:lineRule="exact"/>
        <w:rPr>
          <w:sz w:val="20"/>
          <w:szCs w:val="20"/>
          <w:color w:val="auto"/>
        </w:rPr>
      </w:pPr>
    </w:p>
    <w:p>
      <w:pPr>
        <w:jc w:val="both"/>
        <w:ind w:left="640" w:firstLine="320"/>
        <w:spacing w:after="0" w:line="248" w:lineRule="auto"/>
        <w:tabs>
          <w:tab w:leader="none" w:pos="1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C3 Agentic AI Platform. </w:t>
      </w:r>
      <w:r>
        <w:rPr>
          <w:rFonts w:ascii="Times New Roman" w:cs="Times New Roman" w:eastAsia="Times New Roman" w:hAnsi="Times New Roman"/>
          <w:sz w:val="18"/>
          <w:szCs w:val="18"/>
          <w:color w:val="auto"/>
        </w:rPr>
        <w:t>C3 Agentic AI Platform is a software platform that uses flexible, model-driven architecture to accelerate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the complexities of developing enterprise-grade AI applications. C3 AI Studio is the integrated development environment engineers, data scientists, and increasingly business analysts use to design, build, test, and deploy applications on the platform. With C3 Agentic AI Platform, organizations can integrate advanced AI capabilities seamlessly and deliver AI-enabled applications faster than alternative methods to capture value quickly. The C3 Agentic AI Platform offers advanced agentic AI services and capabilities, including omni-modal data fusion, secure deployment, advanced orchestration, and a robust agent and tools framework. These features enable seamless integration and management of multiple AI models within a unified workflow, supporting a wide range of high-value, cross-industry applications and enhancing operational efficiency, security, and decision-making across sectors. Customers primarily pay for the C3 Agentic AI Platform via fixed annual fees based on the number of development users allowed to access the C3 Agentic AI Platform. The C3 Agentic AI Platform offering is primarily a term subscription and may generate additional runtime subscription fees, a form of consumption or usage-based revenue based on compute and storage resources required to run the C3 Agentic AI Platform.</w:t>
      </w:r>
    </w:p>
    <w:p>
      <w:pPr>
        <w:spacing w:after="0" w:line="138" w:lineRule="exact"/>
        <w:rPr>
          <w:rFonts w:ascii="Times New Roman" w:cs="Times New Roman" w:eastAsia="Times New Roman" w:hAnsi="Times New Roman"/>
          <w:sz w:val="18"/>
          <w:szCs w:val="18"/>
          <w:color w:val="auto"/>
        </w:rPr>
      </w:pPr>
    </w:p>
    <w:p>
      <w:pPr>
        <w:jc w:val="both"/>
        <w:ind w:left="640" w:firstLine="320"/>
        <w:spacing w:after="0" w:line="251" w:lineRule="auto"/>
        <w:tabs>
          <w:tab w:leader="none" w:pos="1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Applications. </w:t>
      </w:r>
      <w:r>
        <w:rPr>
          <w:rFonts w:ascii="Times New Roman" w:cs="Times New Roman" w:eastAsia="Times New Roman" w:hAnsi="Times New Roman"/>
          <w:sz w:val="18"/>
          <w:szCs w:val="18"/>
          <w:color w:val="auto"/>
        </w:rPr>
        <w:t>C3 AI Applications are production applications that address a wide range of predictive analytics, reporting, visualization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Generative AI use cases. C3 AI Applications are industry-tested and proven enterprise-grade applications built on a cohesive suite architecture that is designed to integrate and process highly dynamic data sets from sensor networks and enterprise and extraprise information systems, and enable advanced ML capabilities. C3 AI Applications sold without the C3 Agentic AI Platform can be in the form of term or perpetual licenses or subscriptions and earn revenue through a fixed fee or through runtime subscription fees. This includes software licenses that are demonstration versions of C3 AI Applications configured for a customer and do not require maintenance and support services.</w:t>
      </w:r>
    </w:p>
    <w:p>
      <w:pPr>
        <w:spacing w:after="0" w:line="132" w:lineRule="exact"/>
        <w:rPr>
          <w:rFonts w:ascii="Times New Roman" w:cs="Times New Roman" w:eastAsia="Times New Roman" w:hAnsi="Times New Roman"/>
          <w:sz w:val="18"/>
          <w:szCs w:val="18"/>
          <w:color w:val="auto"/>
        </w:rPr>
      </w:pPr>
    </w:p>
    <w:p>
      <w:pPr>
        <w:jc w:val="both"/>
        <w:ind w:left="640" w:firstLine="320"/>
        <w:spacing w:after="0" w:line="261" w:lineRule="auto"/>
        <w:tabs>
          <w:tab w:leader="none" w:pos="1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Generative AI. </w:t>
      </w:r>
      <w:r>
        <w:rPr>
          <w:rFonts w:ascii="Times New Roman" w:cs="Times New Roman" w:eastAsia="Times New Roman" w:hAnsi="Times New Roman"/>
          <w:sz w:val="18"/>
          <w:szCs w:val="18"/>
          <w:color w:val="auto"/>
        </w:rPr>
        <w:t>C3 Generative AI combines the utility of LLMs, generative AI, reinforcement learning, natural language processing,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C3 Agentic AI Platform to rapidly locate, retrieve, and present information, disparate data stores, applications, and enterprise information systems.</w:t>
      </w:r>
    </w:p>
    <w:p>
      <w:pPr>
        <w:spacing w:after="0" w:line="119" w:lineRule="exact"/>
        <w:rPr>
          <w:rFonts w:ascii="Times New Roman" w:cs="Times New Roman" w:eastAsia="Times New Roman" w:hAnsi="Times New Roman"/>
          <w:sz w:val="18"/>
          <w:szCs w:val="18"/>
          <w:color w:val="auto"/>
        </w:rPr>
      </w:pPr>
    </w:p>
    <w:p>
      <w:pPr>
        <w:jc w:val="both"/>
        <w:ind w:left="640" w:firstLine="320"/>
        <w:spacing w:after="0" w:line="256" w:lineRule="auto"/>
        <w:tabs>
          <w:tab w:leader="none" w:pos="1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Maintenance and Support Services. </w:t>
      </w:r>
      <w:r>
        <w:rPr>
          <w:rFonts w:ascii="Times New Roman" w:cs="Times New Roman" w:eastAsia="Times New Roman" w:hAnsi="Times New Roman"/>
          <w:sz w:val="18"/>
          <w:szCs w:val="18"/>
          <w:color w:val="auto"/>
        </w:rPr>
        <w:t>C3 AI Maintenance and Support Services are provided for the C3 Agentic AI Platform and the C3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 Applications that are selected by the customer. This support includes standard monitoring, performance monitoring, database maintenance, security monitoring, upgrading, backup and restore, patching, etc. provided by the Company. The Company continuously provides updates that are critical to the continued and enhanced utility of the software.</w:t>
      </w:r>
    </w:p>
    <w:p>
      <w:pPr>
        <w:spacing w:after="0" w:line="123" w:lineRule="exact"/>
        <w:rPr>
          <w:rFonts w:ascii="Times New Roman" w:cs="Times New Roman" w:eastAsia="Times New Roman" w:hAnsi="Times New Roman"/>
          <w:sz w:val="18"/>
          <w:szCs w:val="18"/>
          <w:color w:val="auto"/>
        </w:rPr>
      </w:pPr>
    </w:p>
    <w:p>
      <w:pPr>
        <w:jc w:val="both"/>
        <w:ind w:left="640" w:firstLine="320"/>
        <w:spacing w:after="0" w:line="253" w:lineRule="auto"/>
        <w:tabs>
          <w:tab w:leader="none" w:pos="1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COE Support Services. </w:t>
      </w:r>
      <w:r>
        <w:rPr>
          <w:rFonts w:ascii="Times New Roman" w:cs="Times New Roman" w:eastAsia="Times New Roman" w:hAnsi="Times New Roman"/>
          <w:sz w:val="18"/>
          <w:szCs w:val="18"/>
          <w:color w:val="auto"/>
        </w:rPr>
        <w:t>COE Support Services provide premium development services and support by an available pool of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allow the customer to utilize, extend or modify C3 AI Applications and/or to develop its own applications on the C3 Agentic AI Platform COE Support Services represent a stand-ready performance obligation comprised of a series of distinct days of service that is satisfied and recognized in revenue ratably over the term of the COE agreement. Revenue for COE Support Services is included within subscription revenue in the consolidated statements of operations.</w:t>
      </w:r>
    </w:p>
    <w:p>
      <w:pPr>
        <w:spacing w:after="0" w:line="128" w:lineRule="exact"/>
        <w:rPr>
          <w:rFonts w:ascii="Times New Roman" w:cs="Times New Roman" w:eastAsia="Times New Roman" w:hAnsi="Times New Roman"/>
          <w:sz w:val="18"/>
          <w:szCs w:val="18"/>
          <w:color w:val="auto"/>
        </w:rPr>
      </w:pPr>
    </w:p>
    <w:p>
      <w:pPr>
        <w:jc w:val="both"/>
        <w:ind w:left="640" w:firstLine="320"/>
        <w:spacing w:after="0" w:line="256" w:lineRule="auto"/>
        <w:tabs>
          <w:tab w:leader="none" w:pos="1271"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Initial Production Deployments. </w:t>
      </w:r>
      <w:r>
        <w:rPr>
          <w:rFonts w:ascii="Times New Roman" w:cs="Times New Roman" w:eastAsia="Times New Roman" w:hAnsi="Times New Roman"/>
          <w:sz w:val="18"/>
          <w:szCs w:val="18"/>
          <w:color w:val="auto"/>
        </w:rPr>
        <w:t>Initial production deployments are subscriptions for developers access to C3 AI Application(s) and/or C3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Agentic AI Platform or C3 Generative AI and COE support services of up to six-months. Following the initial production deployment period, customers either pay a monthly fee and consumption charges using vCPU and vGPU hours as the metric to calculate payment or enter into a time-certain multi-period commitment that may include consumption charge.</w:t>
      </w:r>
    </w:p>
    <w:p>
      <w:pPr>
        <w:spacing w:after="0" w:line="123" w:lineRule="exact"/>
        <w:rPr>
          <w:rFonts w:ascii="Times New Roman" w:cs="Times New Roman" w:eastAsia="Times New Roman" w:hAnsi="Times New Roman"/>
          <w:sz w:val="18"/>
          <w:szCs w:val="18"/>
          <w:i w:val="1"/>
          <w:iCs w:val="1"/>
          <w:color w:val="auto"/>
        </w:rPr>
      </w:pPr>
    </w:p>
    <w:p>
      <w:pPr>
        <w:jc w:val="both"/>
        <w:ind w:left="640" w:firstLine="320"/>
        <w:spacing w:after="0" w:line="250" w:lineRule="auto"/>
        <w:tabs>
          <w:tab w:leader="none" w:pos="1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Hosting Services. </w:t>
      </w:r>
      <w:r>
        <w:rPr>
          <w:rFonts w:ascii="Times New Roman" w:cs="Times New Roman" w:eastAsia="Times New Roman" w:hAnsi="Times New Roman"/>
          <w:sz w:val="18"/>
          <w:szCs w:val="18"/>
          <w:color w:val="auto"/>
        </w:rPr>
        <w:t>For certain customers, the Company provides access to the C3 Agentic AI Platform and/or C3 AI Applications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cloud environment. The customer consumes and receives benefit throughout the hosting period from the entity’s performance of hosting and providing access to the hosted software, which the customer would otherwise have to undertake itself or obtain another party to do. The Company recognizes hosting services over time based on the consumption patterns of the customers. Customers who choose to install the C3 Agentic AI Platform and/or C3 AI Applications in their own cloud environments do not subscribe to the Company’s hosting services. Hosting services are generally offered as part of the subscription for C3 Agentic AI Platform and/or C3 AI Application arrangements and the amount of revenue recognized on a monthly basis varies based on actual consumption by the customer.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Professional Services</w:t>
      </w:r>
    </w:p>
    <w:p>
      <w:pPr>
        <w:spacing w:after="0" w:line="16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Company’s professional revenue primarily include service fees and prioritized engineering services. Service fees include revenue from services such as consulting, training, and paid implementation services. For service fees, revenue is typically recognized over time as the services are performed. Prioritized engineering services are undertaken when a customer requests that the Company accelerate the design, development, and delivery of software features and functions that are planned in future product roadmap. When the Company agrees to this, an agreed upon fee is negotiated to accelerate the development of the software as well as other terms, such as relevant specifications. When the software feature is delivered, it becomes integrated to the Company’s core product offering, is available to all subscribers of the underlying software product and enhances the operation of that product going forward. Such prioritized engineering services result in production-level computer software – compiled code that enhances the functionality of its production products – which is available for customers to use over the life of their software licenses. Prioritized engineering services revenue is recognized as professional services over the period in which the software development is completed.</w:t>
      </w:r>
    </w:p>
    <w:p>
      <w:pPr>
        <w:spacing w:after="0" w:line="1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typically invoices customers for subscription fees in annual increments upon execution of the initial contract or subsequent renewal, payable within 30 to 60 days, and providing customers access to the C3 Agentic AI Platform and/or C3 AI Applications. For initial production deployments, the Company typically invoices customers upon execution of the contract. Monthly usage-based runtime and hosting charges are billed as they are delivered or in arrears. Certain government contracts are cancellable during the subscription term depending on the future fiscal funding available to the contract. The Company has not experienced any cancellation due to the funding constraint related to such contracts.</w:t>
      </w:r>
    </w:p>
    <w:p>
      <w:pPr>
        <w:spacing w:after="0" w:line="13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timing of revenue recognition may differ from the timing of invoicing to customers. Accounts receivable are recorded at the invoiced amount, net of an allowance for doubtful accounts. A receivable is recognized in the period the Company delivers goods or provides services, or when the Company’s right to consideration is unconditional, whichever is earlier. In situations where revenue recognition occurs before invoicing, an unbilled receivable is recorded.</w:t>
      </w:r>
    </w:p>
    <w:p>
      <w:pPr>
        <w:spacing w:after="0" w:line="10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While the timing of revenue recognition usually differs from the timing of payment, the Company has determined the contracts generally do not include a significant financing component, because the period between when the Company transfers its software and services to a customer and when the customer pays for the software and service is typically one year or less. The primary purpose of the invoicing terms is to provide customers with simplified and predictable ways of purchasing the Company’s software and services, not to receive or provide financing.</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customer acquisition costs are primarily related to sales commissions if such costs are incremental costs to obtain a contract without a service condition.</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Sales commissions are deferred and then amortized taking into consideration the pattern of transfer to which assets relate. If the commissions paid on the initial and renewal contracts are not commensurate to each other, the Company amortizes the commissions paid on the initial contract over an expected period of benefit, including expected renewals, which is determined to be approximately five years. In arriving at the average period of benefit the Company considered the duration of the Company’s relationships with customers and the Company’s technology. Sales commissions for renewal contracts are generally deferred and amortized over the contract period. Sales commissions for renewal contracts are expensed as incurred when the expected amortization period is one year or less.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Costs to obtain a contract that will be amortized within the succeeding 12-month period are classified as current and included in prepaid expenses and other current assets on the consolidated balance sheets. The remaining balance is classified as non-current and are included in other assets on the consolidated balance sheets. Amortization expense is included in sales and marketing expenses in the consolidated statements of operations. Deferred commissions are periodically analyzed for impairment.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Cost of subscription revenue consists primarily of fulfillment costs related to compensation, including salaries, bonuses, benefits, stock-based compensation and other related expenses for the production environment, support and COE staff, third-party system integration partners, hosting of the Company’s AI Platform, including payments to outside cloud service providers, and allocated overhead and depreciation for facilities.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Cost of professional services revenue consists primarily of compensation, including salaries, bonuses, benefits, stock-based compensation and other related costs associated with the Company’s professional service personnel, prioritized engineering personnel, third-party system integration partners, and allocated overhead and depreciation for facilities.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offerings are warranted to perform in a manner consistent with industry standards.</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arrangements generally include provisions for indemnifying customers against liabilities if its services infringe on a third party’s intellectual property rights. They also generally include service-level agreements warranting defined levels of uptime reliability and performance.</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does not consider such assurance-type warranties as performance obligations under ASC 606. To date, the Company has not incurred material costs as a result of its warranties and indemnifications. There are no accrued liabilities related to these obligations on the consolidated financial statements.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Stock-based compensation expense related to stock option awards, restricted stock units (“RSUs”) and employee stock awards related to the Employee Stock Purchase Plan (“ESPP”) is recognized based on the fair value of the awards granted.</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fair value of each option and ESPP awards are estimated on the grant date using the Black-Scholes option pricing model. The Black-Scholes option pricing model requires the input of assumptions, including the fair value of the underlying common stock, the expected term of the option, the expected volatility of the price of the Company’s common stock, risk-free interest rates, and the expected dividend yield of the Company’s common stock, which are estimated as follows:</w:t>
      </w:r>
    </w:p>
    <w:p>
      <w:pPr>
        <w:spacing w:after="0" w:line="12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—For stock options considered to be “plain vanilla” options, the Company estimates the expected term based on the simplified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essentially the weighted average of the vesting period and contractual term, as the Company’s historical option exercise experience does not provide a reasonable basis upon which to estimate the expected term. The expected term for ESPP awards approximates the offering period.</w:t>
      </w:r>
    </w:p>
    <w:p>
      <w:pPr>
        <w:spacing w:after="0" w:line="12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Company uses the average volatility of its Class A common stock and the stocks of a peer group of representative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develop an expected volatility assumption.</w:t>
      </w:r>
    </w:p>
    <w:p>
      <w:pPr>
        <w:spacing w:after="0" w:line="10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—Risk-free rate is estimated based upon quoted market yields for the United States Treasury debt securities for a term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expected life of the awards in effect at the time of grant.</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expected dividend is assumed to be zero as the Company has never paid dividends and has no current plans to do so.</w:t>
      </w:r>
    </w:p>
    <w:p>
      <w:pPr>
        <w:spacing w:after="0" w:line="16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Fair value of underlying common stock</w:t>
      </w:r>
      <w:r>
        <w:rPr>
          <w:rFonts w:ascii="Times New Roman" w:cs="Times New Roman" w:eastAsia="Times New Roman" w:hAnsi="Times New Roman"/>
          <w:sz w:val="18"/>
          <w:szCs w:val="18"/>
          <w:color w:val="auto"/>
        </w:rPr>
        <w:t>—Since the completion of the IPO, the fair value of the Company’s common stock is determined by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on the date of grant, of its common stock, which is traded on the New York Stock Exchange.</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Stock-based compensation expense is recognized following the straight-line attribution method over the requisite service period for options, and over the offering period for ESPP awards.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RSUs include time-based RSUs and performance-based RSUs with market conditions (“PRSUs”). The fair value of each time-based RSU is based on the fair value of the Company’s common stock on the date of grant. The fair value of each PRSU is measured using a Monte Carlo simulation valuation model which requires the use of various assumptions, including the stock price volatility and risk-free interest rate as of the valuation date corresponding to the length of time remaining in the performance period. Stock-based compensation expense for awards with market conditions is recognized over the requisite service period using the accelerated attribution method and is not reversed if the market condition is not met. The related stock-based compensation expense is recognized on a straight-line basis over the requisite service period of the awards.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accounts for forfeitures as they occur.</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bonuses, benefits, and stock-based compensation for personnel involved in developing and refining platforms and applications, including adding new features and modules, increasing their functionality, and enhancing the usability of platforms and applications. Research and development expenses also include cloud infrastructure costs, third-party system integration partners, other IT-related costs, and allocated overhead and depreciation for facilities. This includes certain costs related to development of features and modules created through prioritized engineering services purchased by customers where the Company retains the related intellectual property. Research and development costs are expensed as incurred.</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Advertising expenses of $0.1 million, $18.3 million and $15.8 million incurred during the fiscal years ended April 30, 2026, 2025 and 2024, respectively, were expensed as incurred as a component of sales and marketing expenses on the consolidated statements of operations.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fiscal year ended April 30, 2026, the Company incurred restructuring expenses in connection with a comprehensive restructuring plan approved by the Board of Directors on February 24, 2026. Restructuring expenses consist of severance, employee-related termination benefits, stock-based compensation expense and write-off of property and equipment.</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may incur additional charges in connection with restructuring actions expected to be completed by approximately the second quarter of fiscal year 2027.</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fiscal years ended April 30, 2026, 2025 and 2024, the Company did not match any employee contributions.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 U.S. dollar. Accordingly, monetary assets and liabilities of the Company’s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recognized in other income (expense), net within the consolidated statements of operations.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included in the consolidated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Deferred tax assets are recognized to the extent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is able to realize its deferred tax assets in the future in excess of their net recorded amount, the Company records an adjustment to the deferred tax asset valuation allowance, which reduces the provision for income taxes.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Tax benefits from uncertain tax positions are recognized only if it is more likely than not that the tax position will be sustained on examination by the taxing authorities, based on the technical merits of the position. The tax benefits recognized in the Company’s consolidated financial statements from such positions are measured based on the largest benefit that has a greater than 50% likelihood of being realized. Interest and penalties are recognized associated with tax matters as part of the income tax provision and include accrued interest and penalties with the related income tax liability on the Company’s consolidated balance sheets.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rights, including the liquidation and dividend rights, of the holders of Class A and Class B common stock are identical, except with respect to voting and conversion. As the liquidation and dividend rights are identical, the undistributed earnings are allocated on a proportionate basis and the resulting net loss per share will, therefore, be the same for both Class A and Class B common stock on an individual or combined basis. The net loss is allocated on a proportionate basis to participating securities and the resulting net loss per share attributable to common stockholders was the same for Class A and Class B common shares.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RSUs and ESPP. As the Company has reported losses for all periods presented, all potentially dilutive securities are antidilutive and accordingly, basic net loss per share equals diluted net loss per share.</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comprehensive income (loss) during the fiscal years ended April 30, 2026, 2025 and 2024, was related to unrealized gain or losses from available-for-sale marketable securities, net of tax.</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has identified its Chief Executive Officer (“CEO”) and Executive Chairman as the chief operating decision makers (“CODMs”), who manage the Company’s business activities as a single operating and reportable segment at the consolidated level. The CODMs utilize consolidated GAAP and non-GAAP measures of profit and loss to evaluate the Company’s financial performance, allocate resources and make key operating decisions. Further, the CODMs review functional expenses (GAAP and non-GAAP cost of revenue, sales and marketing, research and development, and general and administrative) at the consolidated level to manage the Company’s operations. Other items included in GAAP and non-GAAP consolidated net income (loss) are interest income, other income (expense), net and the provision for income taxes, which are reflected in the consolidated statements of operations.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Recently Adopted</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ASU 2023-09, Income Taxes (Topic 740): Improvement to Income Tax Disclosures (“ASU 2023-09”) to provide disaggregated income tax disclosures on rate reconciliation and income taxes paid by jurisdiction. This guidance is effective for the Company for its fourth quarter of fiscal 2026 on a prospective basis, though early adoption is permitted. The Company adopted this guidance in its consolidated financial statements for the fiscal year ended April 30, 2026 on a prospective basis. While the adoption did not have impact on the Company’s consolidated financial results, it resulted in additional disclosures in the accompanying notes. See </w:t>
      </w:r>
      <w:r>
        <w:rPr>
          <w:rFonts w:ascii="Times New Roman" w:cs="Times New Roman" w:eastAsia="Times New Roman" w:hAnsi="Times New Roman"/>
          <w:sz w:val="17"/>
          <w:szCs w:val="17"/>
          <w:i w:val="1"/>
          <w:iCs w:val="1"/>
          <w:color w:val="auto"/>
        </w:rPr>
        <w:t>Note 10, “Income Taxes,”</w:t>
      </w:r>
      <w:r>
        <w:rPr>
          <w:rFonts w:ascii="Times New Roman" w:cs="Times New Roman" w:eastAsia="Times New Roman" w:hAnsi="Times New Roman"/>
          <w:sz w:val="17"/>
          <w:szCs w:val="17"/>
          <w:color w:val="auto"/>
        </w:rPr>
        <w:t xml:space="preserve"> for further details.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(Topic 220) Disaggregation of Income Statement Expenses (“ASU 2024-03”), to enhance the transparency and decision usefulness of financial information presented in the income statement by requiring disaggregated information about certain income statement expense line items. The Company is required to adopt the guidance in the fourth quarter of fiscal 2028, though early adoption permitted. The Company is currently evaluating the impact of this amendment on its consolidated financial statements.</w:t>
      </w:r>
    </w:p>
    <w:p>
      <w:pPr>
        <w:spacing w:after="0" w:line="1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(“ASU 2025-05”) to introduce a practical expedient for the application of the current expected credit loss model to current accounts receivable and contract assets. The amendment is effective beginning in the first quarter of fiscal 2027 on a prospective basis, with early adoption permitted. The Company is currently evaluating the impact of this amendment on its consolidated financial statements.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No. 2025-06, Intangibles - Goodwill and Other - Internal-Use Software (Subtopic 350-40): Targeted Improvements to the Accounting for Internal-Use Software (“ASU 2025-06”). The amendment in this ASU modernizes the accounting for internal-use software costs by increasing the operability of the recognition guidance considering different methods of software development. The amendment is effective beginning in the first quarter of fiscal 2029 on a prospective, retrospective or modified transition basis, with early adoption permitted. The Company is currently evaluating the impact of this amendment on its consolidated financial statements.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(ASU 2025-11), which clarifies interim disclosure requirements and the applicability of Topic 270. The amendment is effective beginning in the fourth quarter of fiscal 2028 on a prospective or retrospective basis, with early adoption permitted. The Company is currently evaluating the impact of this amendment on its consolidated financial statements.</w:t>
      </w:r>
    </w:p>
    <w:p>
      <w:pPr>
        <w:spacing w:after="0" w:line="125" w:lineRule="exact"/>
        <w:rPr>
          <w:sz w:val="20"/>
          <w:szCs w:val="20"/>
          <w:color w:val="auto"/>
        </w:rPr>
      </w:pPr>
    </w:p>
    <w:p>
      <w:pPr>
        <w:ind w:left="320" w:hanging="314"/>
        <w:spacing w:after="0"/>
        <w:tabs>
          <w:tab w:leader="none" w:pos="3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62"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8"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revenue by geographical region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000" w:type="dxa"/>
            <w:vAlign w:val="bottom"/>
          </w:tcPr>
          <w:p>
            <w:pPr>
              <w:spacing w:after="0"/>
              <w:rPr>
                <w:sz w:val="16"/>
                <w:szCs w:val="16"/>
                <w:color w:val="auto"/>
              </w:rPr>
            </w:pPr>
          </w:p>
        </w:tc>
      </w:tr>
      <w:tr>
        <w:trPr>
          <w:trHeight w:val="37"/>
        </w:trPr>
        <w:tc>
          <w:tcPr>
            <w:tcW w:w="7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7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6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225,809</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269,895</w:t>
            </w:r>
          </w:p>
        </w:tc>
      </w:tr>
      <w:tr>
        <w:trPr>
          <w:trHeight w:val="265"/>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r>
      <w:tr>
        <w:trPr>
          <w:trHeight w:val="26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r>
      <w:tr>
        <w:trPr>
          <w:trHeight w:val="265"/>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8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250,268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389,056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310,582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line="267" w:lineRule="auto"/>
        <w:tabs>
          <w:tab w:leader="none" w:pos="31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comprised 89%, 86% and 86% of the Company’s revenue in the fiscal years ended April 30, 2026, 2025 and 2024, respectively. No other country comprised 10% or greater of the Company’s revenue for each of the fiscal years ended April 30, 2026, 2025 and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with the transfer of a promised good or service to a customer over time. For the significant majority of the Company’s offerings, software and maintenance and support services are highly interdependent and interrelated and represent a single performance obligation within the context of the contract and are generally satisfied over time. Revenue from software licenses that do not require maintenance and support services is recognized when the control of the software is transferred to the customer. Revenue from such software licenses was $43.8 million, $94.2 million, and $29.6 million for the fiscal years ended April 30, 2026</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2025 and 2024, respectively.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professional services revenue comprised of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6"/>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9"/>
              </w:rPr>
              <w:t>Fiscal Year Ended April 30,</w:t>
            </w:r>
          </w:p>
        </w:tc>
        <w:tc>
          <w:tcPr>
            <w:tcW w:w="1040" w:type="dxa"/>
            <w:vAlign w:val="bottom"/>
          </w:tcPr>
          <w:p>
            <w:pPr>
              <w:spacing w:after="0"/>
              <w:rPr>
                <w:sz w:val="16"/>
                <w:szCs w:val="16"/>
                <w:color w:val="auto"/>
              </w:rPr>
            </w:pPr>
          </w:p>
        </w:tc>
      </w:tr>
      <w:tr>
        <w:trPr>
          <w:trHeight w:val="197"/>
        </w:trPr>
        <w:tc>
          <w:tcPr>
            <w:tcW w:w="6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81"/>
        </w:trPr>
        <w:tc>
          <w:tcPr>
            <w:tcW w:w="6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6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3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Prioritized engineering services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25,972</w:t>
            </w:r>
          </w:p>
        </w:tc>
      </w:tr>
      <w:tr>
        <w:trPr>
          <w:trHeight w:val="184"/>
        </w:trPr>
        <w:tc>
          <w:tcPr>
            <w:tcW w:w="6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fees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r>
      <w:tr>
        <w:trPr>
          <w:trHeight w:val="185"/>
        </w:trPr>
        <w:tc>
          <w:tcPr>
            <w:tcW w:w="6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professional services revenue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23,178</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r>
      <w:tr>
        <w:trPr>
          <w:trHeight w:val="183"/>
        </w:trPr>
        <w:tc>
          <w:tcPr>
            <w:tcW w:w="69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April 30, 2026 and 2025, the Company’s deferred revenue balances were $36.4 million and $36.6 million, respectively. Revenue of $36.5 million and $38.5 million was recognized during the fiscal years ended April 30, 2026 and 2025, respectively, that was included in the deferred revenue balances as of April 30, 2025 and 2024, respectively.</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Remaining performance obligations are committed and represent non-cancellable contracted revenue that has not yet been recognized and will be recognized as revenue in future periods. Some contracts allow customers to cancel the contracts without a significant penalty, and the cancellable amount is not included in the remaining performance obligations.</w:t>
      </w:r>
    </w:p>
    <w:p>
      <w:pPr>
        <w:spacing w:after="0" w:line="125"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Company excludes amounts related to performance obligations and usage-based royalties that are billed and recognized as they are delivered or billed and recognized in the same period. This primarily consists of monthly usage-based runtime and hosting charges in the duration of some revenue contracts.</w:t>
      </w:r>
    </w:p>
    <w:p>
      <w:pPr>
        <w:spacing w:after="0" w:line="8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Revenue expected to be recognized from remaining performance obligations was approximately $203.1 million as of April 30, 2026, which includes $50.7 million of non-cancellable commitments where actual product selection and quantities of specific products or services will be determined at a later date. Approximately $129.3 million is expected to be recognized over the next 12 months and a majority of the remaining amount is expected to be recognized over the next 13 to 48 months.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April 30, 2026 and 2025, the amount of costs to obtain a contract included in prepaid expenses and other current assets was $4.8 million and $7.1 million, respectively. The amount of costs to obtain a contract included in other assets, non-current as of April 30, 2026 and 2025 were $8.2 million and $7.9 million, respectively. Expenses recognized for costs to obtain a contract for the years ended April 30, 2026, 2025 and 2024 were $10.9 million, $13.5 million and $7.2 million, respectively, and are included in sales and marketing expenses on the consolidated statements of operations. The Company recognized immaterial impairment costs related to costs to obtain or fulfill a contract for the fiscal years ended April 30, 2026, 2025 and 2024, respectively.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 and Accounts Receivable</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 majority of the Company’s Customer-Entities consist of corporate and governmental entities. A Customer-Entity is defined as each entity that is the ultimate parent of a party contracting with the Company. A limited number of Customer-Entities have accounted for a large part of the Company’s revenue and accounts receivable to date. For the purpose of determining customer concentration and accounts receivable, unbilled receivables have been excluded from the accounts receivable balance. One Customer-Entity accounted for 14% of revenue for the fiscal year ended April 30, 2026. Two separate Customer-Entities accounted for 19% and 12% of revenue for the fiscal year ended April 30, 2025. Two separate Customer-Entities accounted for 27% and 14% of revenue for the year ended April 30, 2024. Two separate Customer-Entities accounted for 25% and 11% of accounts receivable at April 30, 2026. Three separate Customer-Entities accounted for 15%, 14%, and 12% of accounts receivable at April 30, 2025.</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0" w:lineRule="exact"/>
        <w:rPr>
          <w:sz w:val="20"/>
          <w:szCs w:val="20"/>
          <w:color w:val="auto"/>
        </w:rPr>
      </w:pPr>
    </w:p>
    <w:p>
      <w:pPr>
        <w:ind w:left="320" w:hanging="314"/>
        <w:spacing w:after="0"/>
        <w:tabs>
          <w:tab w:leader="none" w:pos="3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6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Company’s financial instruments consist primarily of cash equivalents, restricted cash, available-for-sale marketable securities, accounts receivable, and accounts payable. Cash equivalents and available-for-sale marketable securities are reported at their respective fair values on the consolidated balance sheets. The remaining financial instruments are reported on the consolidated balance sheets at amounts that approximate current fair values.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types of assets measured at fair value on a recurring basis by level within the fair value hierarchy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4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24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52,715</w:t>
            </w:r>
          </w:p>
        </w:tc>
        <w:tc>
          <w:tcPr>
            <w:tcW w:w="8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52,715</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0" w:type="dxa"/>
            <w:vAlign w:val="bottom"/>
          </w:tcPr>
          <w:p>
            <w:pPr>
              <w:spacing w:after="0"/>
              <w:rPr>
                <w:sz w:val="1"/>
                <w:szCs w:val="1"/>
                <w:color w:val="auto"/>
              </w:rPr>
            </w:pPr>
          </w:p>
        </w:tc>
      </w:tr>
      <w:tr>
        <w:trPr>
          <w:trHeight w:val="239"/>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0" w:type="dxa"/>
            <w:vAlign w:val="bottom"/>
          </w:tcPr>
          <w:p>
            <w:pPr>
              <w:spacing w:after="0"/>
              <w:rPr>
                <w:sz w:val="1"/>
                <w:szCs w:val="1"/>
                <w:color w:val="auto"/>
              </w:rPr>
            </w:pPr>
          </w:p>
        </w:tc>
      </w:tr>
      <w:tr>
        <w:trPr>
          <w:trHeight w:val="220"/>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113,787</w:t>
            </w:r>
          </w:p>
        </w:tc>
        <w:tc>
          <w:tcPr>
            <w:tcW w:w="0" w:type="dxa"/>
            <w:vAlign w:val="bottom"/>
          </w:tcPr>
          <w:p>
            <w:pPr>
              <w:spacing w:after="0"/>
              <w:rPr>
                <w:sz w:val="1"/>
                <w:szCs w:val="1"/>
                <w:color w:val="auto"/>
              </w:rPr>
            </w:pPr>
          </w:p>
        </w:tc>
      </w:tr>
      <w:tr>
        <w:trPr>
          <w:trHeight w:val="240"/>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315,405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315,405</w:t>
            </w:r>
          </w:p>
        </w:tc>
        <w:tc>
          <w:tcPr>
            <w:tcW w:w="0" w:type="dxa"/>
            <w:vAlign w:val="bottom"/>
          </w:tcPr>
          <w:p>
            <w:pPr>
              <w:spacing w:after="0"/>
              <w:rPr>
                <w:sz w:val="1"/>
                <w:szCs w:val="1"/>
                <w:color w:val="auto"/>
              </w:rPr>
            </w:pPr>
          </w:p>
        </w:tc>
      </w:tr>
      <w:tr>
        <w:trPr>
          <w:trHeight w:val="25"/>
        </w:trPr>
        <w:tc>
          <w:tcPr>
            <w:tcW w:w="2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Total cash equivalents and</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52,715</w:t>
            </w:r>
          </w:p>
        </w:tc>
        <w:tc>
          <w:tcPr>
            <w:tcW w:w="8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509,252</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561,967</w:t>
            </w:r>
          </w:p>
        </w:tc>
        <w:tc>
          <w:tcPr>
            <w:tcW w:w="8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608,467</w:t>
            </w:r>
          </w:p>
        </w:tc>
        <w:tc>
          <w:tcPr>
            <w:tcW w:w="1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696,339</w:t>
            </w:r>
          </w:p>
        </w:tc>
        <w:tc>
          <w:tcPr>
            <w:tcW w:w="0" w:type="dxa"/>
            <w:vAlign w:val="bottom"/>
          </w:tcPr>
          <w:p>
            <w:pPr>
              <w:spacing w:after="0"/>
              <w:rPr>
                <w:sz w:val="1"/>
                <w:szCs w:val="1"/>
                <w:color w:val="auto"/>
              </w:rPr>
            </w:pPr>
          </w:p>
        </w:tc>
      </w:tr>
      <w:tr>
        <w:trPr>
          <w:trHeight w:val="25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360" w:type="dxa"/>
            <w:vAlign w:val="bottom"/>
            <w:gridSpan w:val="2"/>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estimated fair value of securities classified as Level 2 financial instruments was determined based on third-party pricing services. The pricing services utilize industry standard valuation models, including both income- and market-based approaches, for which all significant inputs are observable, either directly or indirectly, to estimate fair value. Inputs used for fair value measurement categorized as Level 2 include benchmark yields, reported trades, broker or dealer quotes, issuer spreads, two-sided markets, benchmark securities, bids, offers, and reference data including market research publications.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0" w:lineRule="exact"/>
        <w:rPr>
          <w:sz w:val="20"/>
          <w:szCs w:val="20"/>
          <w:color w:val="auto"/>
        </w:rPr>
      </w:pPr>
    </w:p>
    <w:p>
      <w:pPr>
        <w:ind w:left="320" w:hanging="314"/>
        <w:spacing w:after="0"/>
        <w:tabs>
          <w:tab w:leader="none" w:pos="3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66"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Company’s cash equivalents and available-for-sale marketable securities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59"/>
        </w:trPr>
        <w:tc>
          <w:tcPr>
            <w:tcW w:w="2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28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
        </w:trPr>
        <w:tc>
          <w:tcPr>
            <w:tcW w:w="2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52,715</w:t>
            </w:r>
          </w:p>
        </w:tc>
        <w:tc>
          <w:tcPr>
            <w:tcW w:w="80" w:type="dxa"/>
            <w:vAlign w:val="bottom"/>
          </w:tcPr>
          <w:p>
            <w:pPr>
              <w:spacing w:after="0"/>
              <w:rPr>
                <w:sz w:val="20"/>
                <w:szCs w:val="20"/>
                <w:color w:val="auto"/>
              </w:rPr>
            </w:pP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0" w:type="dxa"/>
            <w:vAlign w:val="bottom"/>
          </w:tcPr>
          <w:p>
            <w:pPr>
              <w:spacing w:after="0"/>
              <w:rPr>
                <w:sz w:val="1"/>
                <w:szCs w:val="1"/>
                <w:color w:val="auto"/>
              </w:rPr>
            </w:pPr>
          </w:p>
        </w:tc>
      </w:tr>
      <w:tr>
        <w:trPr>
          <w:trHeight w:val="239"/>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0" w:type="dxa"/>
            <w:vAlign w:val="bottom"/>
          </w:tcPr>
          <w:p>
            <w:pPr>
              <w:spacing w:after="0"/>
              <w:rPr>
                <w:sz w:val="1"/>
                <w:szCs w:val="1"/>
                <w:color w:val="auto"/>
              </w:rPr>
            </w:pPr>
          </w:p>
        </w:tc>
      </w:tr>
      <w:tr>
        <w:trPr>
          <w:trHeight w:val="220"/>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agencies</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113,787</w:t>
            </w:r>
          </w:p>
        </w:tc>
        <w:tc>
          <w:tcPr>
            <w:tcW w:w="0" w:type="dxa"/>
            <w:vAlign w:val="bottom"/>
          </w:tcPr>
          <w:p>
            <w:pPr>
              <w:spacing w:after="0"/>
              <w:rPr>
                <w:sz w:val="1"/>
                <w:szCs w:val="1"/>
                <w:color w:val="auto"/>
              </w:rPr>
            </w:pPr>
          </w:p>
        </w:tc>
      </w:tr>
      <w:tr>
        <w:trPr>
          <w:trHeight w:val="240"/>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315,405</w:t>
            </w:r>
          </w:p>
        </w:tc>
        <w:tc>
          <w:tcPr>
            <w:tcW w:w="0" w:type="dxa"/>
            <w:vAlign w:val="bottom"/>
          </w:tcPr>
          <w:p>
            <w:pPr>
              <w:spacing w:after="0"/>
              <w:rPr>
                <w:sz w:val="1"/>
                <w:szCs w:val="1"/>
                <w:color w:val="auto"/>
              </w:rPr>
            </w:pPr>
          </w:p>
        </w:tc>
      </w:tr>
      <w:tr>
        <w:trPr>
          <w:trHeight w:val="25"/>
        </w:trPr>
        <w:tc>
          <w:tcPr>
            <w:tcW w:w="2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2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Total cash equivalents and</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26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562,015</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561,967</w:t>
            </w:r>
          </w:p>
        </w:tc>
        <w:tc>
          <w:tcPr>
            <w:tcW w:w="8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695,816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696,339</w:t>
            </w:r>
          </w:p>
        </w:tc>
        <w:tc>
          <w:tcPr>
            <w:tcW w:w="0" w:type="dxa"/>
            <w:vAlign w:val="bottom"/>
          </w:tcPr>
          <w:p>
            <w:pPr>
              <w:spacing w:after="0"/>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available-for-sale marketable securities by contractual maturity (in thousands):</w:t>
      </w:r>
    </w:p>
    <w:p>
      <w:pPr>
        <w:sectPr>
          <w:pgSz w:w="11900" w:h="16838" w:orient="portrait"/>
          <w:cols w:equalWidth="0" w:num="1">
            <w:col w:w="11240"/>
          </w:cols>
          <w:pgMar w:left="320" w:top="119" w:right="339" w:bottom="1440" w:gutter="0" w:footer="0" w:header="0"/>
        </w:sectPr>
      </w:pPr>
    </w:p>
    <w:p>
      <w:pPr>
        <w:spacing w:after="0" w:line="21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As of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38735</wp:posOffset>
            </wp:positionV>
            <wp:extent cx="16827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59" w:lineRule="exact"/>
        <w:rPr>
          <w:sz w:val="20"/>
          <w:szCs w:val="20"/>
          <w:color w:val="auto"/>
        </w:rPr>
      </w:pPr>
    </w:p>
    <w:p>
      <w:pPr>
        <w:ind w:left="5980"/>
        <w:spacing w:after="0"/>
        <w:tabs>
          <w:tab w:leader="none" w:pos="7500" w:val="left"/>
        </w:tabs>
        <w:rPr>
          <w:sz w:val="20"/>
          <w:szCs w:val="20"/>
          <w:color w:val="auto"/>
        </w:rPr>
      </w:pPr>
      <w:r>
        <w:rPr>
          <w:rFonts w:ascii="Times New Roman" w:cs="Times New Roman" w:eastAsia="Times New Roman" w:hAnsi="Times New Roman"/>
          <w:sz w:val="15"/>
          <w:szCs w:val="15"/>
          <w:b w:val="1"/>
          <w:bCs w:val="1"/>
          <w:color w:val="auto"/>
        </w:rPr>
        <w:t>Amortized Cost</w:t>
      </w:r>
      <w:r>
        <w:rPr>
          <w:sz w:val="20"/>
          <w:szCs w:val="20"/>
          <w:color w:val="auto"/>
        </w:rPr>
        <w:tab/>
      </w:r>
      <w:r>
        <w:rPr>
          <w:rFonts w:ascii="Times New Roman" w:cs="Times New Roman" w:eastAsia="Times New Roman" w:hAnsi="Times New Roman"/>
          <w:sz w:val="14"/>
          <w:szCs w:val="14"/>
          <w:b w:val="1"/>
          <w:bCs w:val="1"/>
          <w:color w:val="auto"/>
        </w:rPr>
        <w:t>Fair Value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color w:val="auto"/>
        </w:rPr>
        <w:t>As of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38735</wp:posOffset>
            </wp:positionV>
            <wp:extent cx="16827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5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5"/>
          <w:szCs w:val="15"/>
          <w:b w:val="1"/>
          <w:bCs w:val="1"/>
          <w:color w:val="auto"/>
        </w:rPr>
        <w:t>Amortized Cost</w:t>
      </w:r>
      <w:r>
        <w:rPr>
          <w:sz w:val="20"/>
          <w:szCs w:val="20"/>
          <w:color w:val="auto"/>
        </w:rPr>
        <w:tab/>
      </w:r>
      <w:r>
        <w:rPr>
          <w:rFonts w:ascii="Times New Roman" w:cs="Times New Roman" w:eastAsia="Times New Roman" w:hAnsi="Times New Roman"/>
          <w:sz w:val="14"/>
          <w:szCs w:val="14"/>
          <w:b w:val="1"/>
          <w:bCs w:val="1"/>
          <w:color w:val="auto"/>
        </w:rPr>
        <w:t>Fair Value</w:t>
      </w:r>
    </w:p>
    <w:p>
      <w:pPr>
        <w:spacing w:after="0" w:line="41" w:lineRule="exact"/>
        <w:rPr>
          <w:sz w:val="20"/>
          <w:szCs w:val="20"/>
          <w:color w:val="auto"/>
        </w:rPr>
      </w:pPr>
    </w:p>
    <w:p>
      <w:pPr>
        <w:sectPr>
          <w:pgSz w:w="11900" w:h="16838" w:orient="portrait"/>
          <w:cols w:equalWidth="0" w:num="2">
            <w:col w:w="8200" w:space="520"/>
            <w:col w:w="252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9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455,613</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455,956</w:t>
            </w:r>
          </w:p>
        </w:tc>
        <w:tc>
          <w:tcPr>
            <w:tcW w:w="0" w:type="dxa"/>
            <w:vAlign w:val="bottom"/>
          </w:tcPr>
          <w:p>
            <w:pPr>
              <w:spacing w:after="0"/>
              <w:rPr>
                <w:sz w:val="1"/>
                <w:szCs w:val="1"/>
                <w:color w:val="auto"/>
              </w:rPr>
            </w:pPr>
          </w:p>
        </w:tc>
      </w:tr>
      <w:tr>
        <w:trPr>
          <w:trHeight w:val="24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122,374</w:t>
            </w:r>
          </w:p>
        </w:tc>
        <w:tc>
          <w:tcPr>
            <w:tcW w:w="0" w:type="dxa"/>
            <w:vAlign w:val="bottom"/>
          </w:tcPr>
          <w:p>
            <w:pPr>
              <w:spacing w:after="0"/>
              <w:rPr>
                <w:sz w:val="1"/>
                <w:szCs w:val="1"/>
                <w:color w:val="auto"/>
              </w:rPr>
            </w:pPr>
          </w:p>
        </w:tc>
      </w:tr>
      <w:tr>
        <w:trPr>
          <w:trHeight w:val="25"/>
        </w:trPr>
        <w:tc>
          <w:tcPr>
            <w:tcW w:w="39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578,330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39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40" w:type="dxa"/>
            <w:vAlign w:val="bottom"/>
            <w:tcBorders>
              <w:bottom w:val="single" w:sz="8" w:color="9A9A9A"/>
            </w:tcBorders>
          </w:tcPr>
          <w:p>
            <w:pPr>
              <w:spacing w:after="0"/>
              <w:rPr>
                <w:sz w:val="23"/>
                <w:szCs w:val="23"/>
                <w:color w:val="auto"/>
              </w:rPr>
            </w:pPr>
          </w:p>
        </w:tc>
        <w:tc>
          <w:tcPr>
            <w:tcW w:w="190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summarizes the fair values and unrealized losses of the Company’s available-for-sale marketable securities classified by length of time that the securities have been in a continuous unrealized loss position but were not deemed to be other-than-temporarily impaired, as of April 30, 2026 and 2025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7"/>
        </w:trPr>
        <w:tc>
          <w:tcPr>
            <w:tcW w:w="3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81"/>
        </w:trPr>
        <w:tc>
          <w:tcPr>
            <w:tcW w:w="3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60" w:type="dxa"/>
            <w:vAlign w:val="bottom"/>
          </w:tcPr>
          <w:p>
            <w:pPr>
              <w:spacing w:after="0"/>
              <w:rPr>
                <w:sz w:val="15"/>
                <w:szCs w:val="15"/>
                <w:color w:val="auto"/>
              </w:rPr>
            </w:pPr>
          </w:p>
        </w:tc>
        <w:tc>
          <w:tcPr>
            <w:tcW w:w="22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60" w:type="dxa"/>
            <w:vAlign w:val="bottom"/>
          </w:tcPr>
          <w:p>
            <w:pPr>
              <w:spacing w:after="0"/>
              <w:rPr>
                <w:sz w:val="15"/>
                <w:szCs w:val="15"/>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5"/>
                <w:szCs w:val="15"/>
                <w:color w:val="auto"/>
              </w:rPr>
            </w:pPr>
          </w:p>
        </w:tc>
      </w:tr>
      <w:tr>
        <w:trPr>
          <w:trHeight w:val="197"/>
        </w:trPr>
        <w:tc>
          <w:tcPr>
            <w:tcW w:w="3540" w:type="dxa"/>
            <w:vAlign w:val="bottom"/>
          </w:tcPr>
          <w:p>
            <w:pPr>
              <w:spacing w:after="0"/>
              <w:rPr>
                <w:sz w:val="17"/>
                <w:szCs w:val="17"/>
                <w:color w:val="auto"/>
              </w:rPr>
            </w:pPr>
          </w:p>
        </w:tc>
        <w:tc>
          <w:tcPr>
            <w:tcW w:w="1280" w:type="dxa"/>
            <w:vAlign w:val="bottom"/>
            <w:tcBorders>
              <w:bottom w:val="single" w:sz="8" w:color="auto"/>
            </w:tcBorders>
            <w:gridSpan w:val="3"/>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gridSpan w:val="3"/>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81"/>
        </w:trPr>
        <w:tc>
          <w:tcPr>
            <w:tcW w:w="354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7"/>
        </w:trPr>
        <w:tc>
          <w:tcPr>
            <w:tcW w:w="35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3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agencies securities</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80" w:type="dxa"/>
            <w:vAlign w:val="bottom"/>
          </w:tcPr>
          <w:p>
            <w:pPr>
              <w:spacing w:after="0"/>
              <w:rPr>
                <w:sz w:val="20"/>
                <w:szCs w:val="20"/>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29,140</w:t>
            </w:r>
          </w:p>
        </w:tc>
      </w:tr>
      <w:tr>
        <w:trPr>
          <w:trHeight w:val="184"/>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3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80" w:type="dxa"/>
            <w:vAlign w:val="bottom"/>
          </w:tcPr>
          <w:p>
            <w:pPr>
              <w:spacing w:after="0"/>
              <w:rPr>
                <w:sz w:val="20"/>
                <w:szCs w:val="20"/>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100,768</w:t>
            </w:r>
          </w:p>
        </w:tc>
      </w:tr>
      <w:tr>
        <w:trPr>
          <w:trHeight w:val="185"/>
        </w:trPr>
        <w:tc>
          <w:tcPr>
            <w:tcW w:w="3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32,551</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129,908</w:t>
            </w:r>
          </w:p>
        </w:tc>
      </w:tr>
      <w:tr>
        <w:trPr>
          <w:trHeight w:val="178"/>
        </w:trPr>
        <w:tc>
          <w:tcPr>
            <w:tcW w:w="35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39"/>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7"/>
        </w:trPr>
        <w:tc>
          <w:tcPr>
            <w:tcW w:w="3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81"/>
        </w:trPr>
        <w:tc>
          <w:tcPr>
            <w:tcW w:w="3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60" w:type="dxa"/>
            <w:vAlign w:val="bottom"/>
          </w:tcPr>
          <w:p>
            <w:pPr>
              <w:spacing w:after="0"/>
              <w:rPr>
                <w:sz w:val="15"/>
                <w:szCs w:val="15"/>
                <w:color w:val="auto"/>
              </w:rPr>
            </w:pPr>
          </w:p>
        </w:tc>
        <w:tc>
          <w:tcPr>
            <w:tcW w:w="22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60" w:type="dxa"/>
            <w:vAlign w:val="bottom"/>
          </w:tcPr>
          <w:p>
            <w:pPr>
              <w:spacing w:after="0"/>
              <w:rPr>
                <w:sz w:val="15"/>
                <w:szCs w:val="15"/>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5"/>
                <w:szCs w:val="15"/>
                <w:color w:val="auto"/>
              </w:rPr>
            </w:pPr>
          </w:p>
        </w:tc>
      </w:tr>
      <w:tr>
        <w:trPr>
          <w:trHeight w:val="196"/>
        </w:trPr>
        <w:tc>
          <w:tcPr>
            <w:tcW w:w="3540" w:type="dxa"/>
            <w:vAlign w:val="bottom"/>
          </w:tcPr>
          <w:p>
            <w:pPr>
              <w:spacing w:after="0"/>
              <w:rPr>
                <w:sz w:val="17"/>
                <w:szCs w:val="17"/>
                <w:color w:val="auto"/>
              </w:rPr>
            </w:pPr>
          </w:p>
        </w:tc>
        <w:tc>
          <w:tcPr>
            <w:tcW w:w="1280" w:type="dxa"/>
            <w:vAlign w:val="bottom"/>
            <w:tcBorders>
              <w:bottom w:val="single" w:sz="8" w:color="auto"/>
            </w:tcBorders>
            <w:gridSpan w:val="3"/>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gridSpan w:val="3"/>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81"/>
        </w:trPr>
        <w:tc>
          <w:tcPr>
            <w:tcW w:w="354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35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185"/>
        </w:trPr>
        <w:tc>
          <w:tcPr>
            <w:tcW w:w="3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agencies securities</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r>
      <w:tr>
        <w:trPr>
          <w:trHeight w:val="184"/>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185"/>
        </w:trPr>
        <w:tc>
          <w:tcPr>
            <w:tcW w:w="3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72,746</w:t>
            </w:r>
          </w:p>
        </w:tc>
      </w:tr>
      <w:tr>
        <w:trPr>
          <w:trHeight w:val="184"/>
        </w:trPr>
        <w:tc>
          <w:tcPr>
            <w:tcW w:w="3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85,010</w:t>
            </w:r>
          </w:p>
        </w:tc>
      </w:tr>
      <w:tr>
        <w:trPr>
          <w:trHeight w:val="183"/>
        </w:trPr>
        <w:tc>
          <w:tcPr>
            <w:tcW w:w="35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of April 30, 2026, the Company had 125 marketable securities in an unrealized loss positions. As of April 30, 2025, the Company had 88 investment positions in an unrealized loss position. The Company considers factors such as the duration, the magnitude and the reason for the decline in value, the potential recovery period, creditworthiness of the issuers of the securities and its intent to sell. For marketable securities, it also considers whether (i) it is more likely than not that the Company will be required to sell the debt securities before recovery of their amortized cost basis, and (ii) the amortized cost basis cannot be recovered as a result of credit losses. No significant facts or circumstances have arisen to indicate that there has been any significant deterioration in the creditworthiness of the issuers of the securities held by the Company. The decline in fair value below amortized cost basis was not considered other-than-temporary as it is more likely than not that the Company will hold the securities until maturity or a recovery of the cost basis, and no significant credit-related impairment losses were recorded as of April 30, 2026 and 2025.</w:t>
      </w:r>
    </w:p>
    <w:p>
      <w:pPr>
        <w:spacing w:after="0" w:line="135" w:lineRule="exact"/>
        <w:rPr>
          <w:sz w:val="20"/>
          <w:szCs w:val="20"/>
          <w:color w:val="auto"/>
        </w:rPr>
      </w:pPr>
    </w:p>
    <w:p>
      <w:pPr>
        <w:ind w:left="320" w:right="8780" w:hanging="314"/>
        <w:spacing w:after="0" w:line="456" w:lineRule="auto"/>
        <w:tabs>
          <w:tab w:leader="none" w:pos="32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Details </w:t>
      </w:r>
      <w:r>
        <w:rPr>
          <w:rFonts w:ascii="Times New Roman" w:cs="Times New Roman" w:eastAsia="Times New Roman" w:hAnsi="Times New Roman"/>
          <w:sz w:val="17"/>
          <w:szCs w:val="17"/>
          <w:b w:val="1"/>
          <w:bCs w:val="1"/>
          <w:i w:val="1"/>
          <w:iCs w:val="1"/>
          <w:color w:val="auto"/>
        </w:rPr>
        <w:t>Property and Equipment, Net</w:t>
      </w:r>
    </w:p>
    <w:p>
      <w:pPr>
        <w:spacing w:after="0" w:line="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40" w:type="dxa"/>
            <w:vAlign w:val="bottom"/>
          </w:tcPr>
          <w:p>
            <w:pPr>
              <w:spacing w:after="0"/>
              <w:rPr>
                <w:sz w:val="16"/>
                <w:szCs w:val="16"/>
                <w:color w:val="auto"/>
              </w:rPr>
            </w:pPr>
          </w:p>
        </w:tc>
        <w:tc>
          <w:tcPr>
            <w:tcW w:w="16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r>
      <w:tr>
        <w:trPr>
          <w:trHeight w:val="38"/>
        </w:trPr>
        <w:tc>
          <w:tcPr>
            <w:tcW w:w="676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4"/>
        </w:trPr>
        <w:tc>
          <w:tcPr>
            <w:tcW w:w="676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 months)</w:t>
            </w: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67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82,510</w:t>
            </w: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r>
      <w:tr>
        <w:trPr>
          <w:trHeight w:val="25"/>
        </w:trPr>
        <w:tc>
          <w:tcPr>
            <w:tcW w:w="6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15,520</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work-in progress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NA</w:t>
            </w: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6"/>
        </w:trPr>
        <w:tc>
          <w:tcPr>
            <w:tcW w:w="67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equipment-gross</w:t>
            </w: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105,055</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(25,757)</w:t>
            </w:r>
          </w:p>
        </w:tc>
      </w:tr>
      <w:tr>
        <w:trPr>
          <w:trHeight w:val="26"/>
        </w:trPr>
        <w:tc>
          <w:tcPr>
            <w:tcW w:w="67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Leasehold improvements are amortized over the shorter of the estimated useful lives of the improvements or the remaining lease term.</w:t>
      </w:r>
    </w:p>
    <w:p>
      <w:pPr>
        <w:sectPr>
          <w:pgSz w:w="11900" w:h="16838" w:orient="portrait"/>
          <w:cols w:equalWidth="0" w:num="1">
            <w:col w:w="11240"/>
          </w:cols>
          <w:pgMar w:left="320" w:top="119" w:right="339" w:bottom="4"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4"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17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Capital work-in progress primarily consisted of costs related to various leasehold improvements in connection with leased space that is not considered available for use and has not yet been placed into service.</w:t>
      </w:r>
    </w:p>
    <w:p>
      <w:pPr>
        <w:spacing w:after="0" w:line="11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$13.3 million, $12.2 million, and $11.5 million for the fiscal years ended April 30, 2026, 2025 and 2024, respectively.</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 and Employee Benefits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Accrued compensation and employee benefits consisted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2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82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88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35,534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37,468</w:t>
            </w:r>
          </w:p>
        </w:tc>
        <w:tc>
          <w:tcPr>
            <w:tcW w:w="0" w:type="dxa"/>
            <w:vAlign w:val="bottom"/>
          </w:tcPr>
          <w:p>
            <w:pPr>
              <w:spacing w:after="0"/>
              <w:rPr>
                <w:sz w:val="1"/>
                <w:szCs w:val="1"/>
                <w:color w:val="auto"/>
              </w:rPr>
            </w:pPr>
          </w:p>
        </w:tc>
      </w:tr>
      <w:tr>
        <w:trPr>
          <w:trHeight w:val="24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taxes and benefits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4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contributions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4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48,560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82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82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82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general expenses</w:t>
            </w:r>
          </w:p>
        </w:tc>
        <w:tc>
          <w:tcPr>
            <w:tcW w:w="88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4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0" w:type="dxa"/>
            <w:vAlign w:val="bottom"/>
          </w:tcPr>
          <w:p>
            <w:pPr>
              <w:spacing w:after="0"/>
              <w:rPr>
                <w:sz w:val="1"/>
                <w:szCs w:val="1"/>
                <w:color w:val="auto"/>
              </w:rPr>
            </w:pPr>
          </w:p>
        </w:tc>
      </w:tr>
      <w:tr>
        <w:trPr>
          <w:trHeight w:val="24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cloud hosting services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payable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4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17,641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320" w:hanging="314"/>
        <w:spacing w:after="0"/>
        <w:tabs>
          <w:tab w:leader="none" w:pos="3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leases its facilities for office space under non-cancellable operating leases with various expiration dates through the fiscal year ending April 30, 2033. Certain lease agreements include options to renew or terminate the applicable lease, which are not reasonably certain to be exercised and therefore are not factored into the determination of lease payments.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August 25, 2021, the Company entered into a new lease to acquire approximately 283,015 square feet of office space in several phases in Redwood City, California. The lease commencement date was determined as the date when the landlord delivered the leased space to the Company. Accordingly, the first two phases of the lease commenced in the quarter ended January 31, 2022, the third phase of the lease commenced in the quarter ended October 31, 2022, the fourth phase of the lease commenced in the quarter ended April 30, 2023, the fifth phase of the lease commenced in the quarter ended July 31, 2023, the sixth phase of the lease commenced in the quarter ended January 31, 2024, and the seventh and final phase of the lease commenced in the quarter ended July 31, 2024.</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components of total lease costs, including variable lease costs, for the fiscal years ended April 30, 2026, 2025 and 2024 were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gridSpan w:val="6"/>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9"/>
              </w:rPr>
              <w:t>Fiscal Year Ended April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Costs</w:t>
            </w: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6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4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4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
        </w:trPr>
        <w:tc>
          <w:tcPr>
            <w:tcW w:w="6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costs, net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On February 21, 2023, the Company entered into a sublease agreement with First Virtual Group, Inc. (the “Subtenant”), whereby the Company agreed to sublease to the Subtenant approximately 3,130 square feet of space located in Redwood City, California. Refer to </w:t>
      </w:r>
      <w:r>
        <w:rPr>
          <w:rFonts w:ascii="Times New Roman" w:cs="Times New Roman" w:eastAsia="Times New Roman" w:hAnsi="Times New Roman"/>
          <w:sz w:val="18"/>
          <w:szCs w:val="18"/>
          <w:i w:val="1"/>
          <w:iCs w:val="1"/>
          <w:color w:val="auto"/>
        </w:rPr>
        <w:t>Note 12. Related Party Transactions</w:t>
      </w:r>
      <w:r>
        <w:rPr>
          <w:rFonts w:ascii="Times New Roman" w:cs="Times New Roman" w:eastAsia="Times New Roman" w:hAnsi="Times New Roman"/>
          <w:sz w:val="18"/>
          <w:szCs w:val="18"/>
          <w:color w:val="auto"/>
        </w:rPr>
        <w:t xml:space="preserve"> for more information.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Variable lease costs are primarily related to payments made to the Company’s landlords for common area maintenance, property taxes, insurance, and other operating expenses. Short-term lease costs primarily represent payments related to marketing arrangements that contain embedded short-term leases of billboards. Supplemental cash flow information and non-cash activity related to leases was as follows (in thousands):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8"/>
          <w:szCs w:val="18"/>
          <w:color w:val="auto"/>
        </w:rPr>
        <w:t>Cash payments included in the measurement of operating lease liabilities – operating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-313055</wp:posOffset>
            </wp:positionV>
            <wp:extent cx="7109460" cy="3111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09460" cy="311150"/>
                    </a:xfrm>
                    <a:prstGeom prst="rect">
                      <a:avLst/>
                    </a:prstGeom>
                    <a:noFill/>
                  </pic:spPr>
                </pic:pic>
              </a:graphicData>
            </a:graphic>
          </wp:anchor>
        </w:drawing>
      </w:r>
    </w:p>
    <w:p>
      <w:pPr>
        <w:ind w:left="120"/>
        <w:spacing w:after="0" w:line="259" w:lineRule="auto"/>
        <w:rPr>
          <w:sz w:val="20"/>
          <w:szCs w:val="20"/>
          <w:color w:val="auto"/>
        </w:rPr>
      </w:pPr>
      <w:r>
        <w:rPr>
          <w:rFonts w:ascii="Times New Roman" w:cs="Times New Roman" w:eastAsia="Times New Roman" w:hAnsi="Times New Roman"/>
          <w:sz w:val="18"/>
          <w:szCs w:val="18"/>
          <w:color w:val="auto"/>
        </w:rPr>
        <w:t>Right-of-use assets obtained in exchange for lease obligations (including remeasurement of right-of-use assets and lease liabilities due to changes in the timing of receipt of lease incentives)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339"/>
        </w:trPr>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80" w:type="dxa"/>
            <w:vAlign w:val="bottom"/>
          </w:tcPr>
          <w:p>
            <w:pPr>
              <w:spacing w:after="0"/>
              <w:rPr>
                <w:sz w:val="24"/>
                <w:szCs w:val="24"/>
                <w:color w:val="auto"/>
              </w:rPr>
            </w:pPr>
          </w:p>
        </w:tc>
        <w:tc>
          <w:tcPr>
            <w:tcW w:w="92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1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r>
      <w:tr>
        <w:trPr>
          <w:trHeight w:val="583"/>
        </w:trPr>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4"/>
                <w:szCs w:val="24"/>
                <w:color w:val="auto"/>
              </w:rPr>
            </w:pPr>
          </w:p>
        </w:tc>
        <w:tc>
          <w:tcPr>
            <w:tcW w:w="92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r>
    </w:tbl>
    <w:p>
      <w:pPr>
        <w:spacing w:after="0" w:line="426" w:lineRule="exact"/>
        <w:rPr>
          <w:sz w:val="20"/>
          <w:szCs w:val="20"/>
          <w:color w:val="auto"/>
        </w:rPr>
      </w:pPr>
    </w:p>
    <w:p>
      <w:pPr>
        <w:sectPr>
          <w:pgSz w:w="11900" w:h="16838" w:orient="portrait"/>
          <w:cols w:equalWidth="0" w:num="2">
            <w:col w:w="6580" w:space="140"/>
            <w:col w:w="4520"/>
          </w:cols>
          <w:pgMar w:left="320" w:top="119" w:right="339" w:bottom="1440" w:gutter="0" w:footer="0" w:header="0"/>
          <w:type w:val="continuous"/>
        </w:sectPr>
      </w:pPr>
    </w:p>
    <w:p>
      <w:pPr>
        <w:spacing w:after="0" w:line="3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lease balances within the consolidated balance sheets, weighted-average remaining lease term, and weighted-average discount rates related to the Company’s operating leases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00" w:type="dxa"/>
            <w:vAlign w:val="bottom"/>
            <w:vMerge w:val="continue"/>
          </w:tcPr>
          <w:p>
            <w:pPr>
              <w:spacing w:after="0"/>
              <w:rPr>
                <w:sz w:val="15"/>
                <w:szCs w:val="15"/>
                <w:color w:val="auto"/>
              </w:rPr>
            </w:pPr>
          </w:p>
        </w:tc>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0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28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 non-current</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18,785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42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428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53,104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58,681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5"/>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00" w:type="dxa"/>
            <w:vAlign w:val="bottom"/>
            <w:vMerge w:val="continue"/>
          </w:tcPr>
          <w:p>
            <w:pPr>
              <w:spacing w:after="0"/>
              <w:rPr>
                <w:sz w:val="15"/>
                <w:szCs w:val="15"/>
                <w:color w:val="auto"/>
              </w:rPr>
            </w:pPr>
          </w:p>
        </w:tc>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0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4"/>
        </w:trPr>
        <w:tc>
          <w:tcPr>
            <w:tcW w:w="4000" w:type="dxa"/>
            <w:vAlign w:val="bottom"/>
          </w:tcPr>
          <w:p>
            <w:pPr>
              <w:spacing w:after="0"/>
              <w:rPr>
                <w:sz w:val="24"/>
                <w:szCs w:val="24"/>
                <w:color w:val="auto"/>
              </w:rPr>
            </w:pPr>
          </w:p>
        </w:tc>
        <w:tc>
          <w:tcPr>
            <w:tcW w:w="3940" w:type="dxa"/>
            <w:vAlign w:val="bottom"/>
          </w:tcPr>
          <w:p>
            <w:pPr>
              <w:jc w:val="right"/>
              <w:ind w:right="209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tcBorders>
              <w:bottom w:val="single" w:sz="8" w:color="9A9A9A"/>
            </w:tcBorders>
          </w:tcPr>
          <w:p>
            <w:pPr>
              <w:spacing w:after="0"/>
              <w:rPr>
                <w:sz w:val="23"/>
                <w:szCs w:val="23"/>
                <w:color w:val="auto"/>
              </w:rPr>
            </w:pPr>
          </w:p>
        </w:tc>
        <w:tc>
          <w:tcPr>
            <w:tcW w:w="39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20" w:type="dxa"/>
            <w:vAlign w:val="bottom"/>
          </w:tcPr>
          <w:p>
            <w:pPr>
              <w:ind w:left="5160"/>
              <w:spacing w:after="0"/>
              <w:rPr>
                <w:sz w:val="20"/>
                <w:szCs w:val="20"/>
                <w:color w:val="auto"/>
              </w:rPr>
            </w:pPr>
            <w:r>
              <w:rPr>
                <w:rFonts w:ascii="Times New Roman" w:cs="Times New Roman" w:eastAsia="Times New Roman" w:hAnsi="Times New Roman"/>
                <w:sz w:val="18"/>
                <w:szCs w:val="18"/>
                <w:b w:val="1"/>
                <w:bCs w:val="1"/>
                <w:color w:val="auto"/>
              </w:rPr>
              <w:t>C3.AI, INC.</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982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769"/>
        </w:trPr>
        <w:tc>
          <w:tcPr>
            <w:tcW w:w="9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Future minimum payments under lease obligations as of April 30, 2026 were as follows (in thousands):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9"/>
        </w:trPr>
        <w:tc>
          <w:tcPr>
            <w:tcW w:w="9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86"/>
        </w:trPr>
        <w:tc>
          <w:tcPr>
            <w:tcW w:w="9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April 30, 2026</w:t>
            </w:r>
          </w:p>
        </w:tc>
      </w:tr>
      <w:tr>
        <w:trPr>
          <w:trHeight w:val="38"/>
        </w:trPr>
        <w:tc>
          <w:tcPr>
            <w:tcW w:w="98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8"/>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rPr>
              <w:t>10,387</w:t>
            </w:r>
          </w:p>
        </w:tc>
      </w:tr>
      <w:tr>
        <w:trPr>
          <w:trHeight w:val="240"/>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80" w:type="dxa"/>
            <w:vAlign w:val="bottom"/>
          </w:tcPr>
          <w:p>
            <w:pPr>
              <w:spacing w:after="0"/>
              <w:rPr>
                <w:sz w:val="20"/>
                <w:szCs w:val="20"/>
                <w:color w:val="auto"/>
              </w:rPr>
            </w:pPr>
          </w:p>
        </w:tc>
        <w:tc>
          <w:tcPr>
            <w:tcW w:w="124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rPr>
              <w:t>10,706</w:t>
            </w:r>
          </w:p>
        </w:tc>
      </w:tr>
      <w:tr>
        <w:trPr>
          <w:trHeight w:val="25"/>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6"/>
              </w:rPr>
              <w:t>11,012</w:t>
            </w:r>
          </w:p>
        </w:tc>
      </w:tr>
      <w:tr>
        <w:trPr>
          <w:trHeight w:val="240"/>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80" w:type="dxa"/>
            <w:vAlign w:val="bottom"/>
          </w:tcPr>
          <w:p>
            <w:pPr>
              <w:spacing w:after="0"/>
              <w:rPr>
                <w:sz w:val="20"/>
                <w:szCs w:val="20"/>
                <w:color w:val="auto"/>
              </w:rPr>
            </w:pPr>
          </w:p>
        </w:tc>
        <w:tc>
          <w:tcPr>
            <w:tcW w:w="1240" w:type="dxa"/>
            <w:vAlign w:val="bottom"/>
          </w:tcPr>
          <w:p>
            <w:pPr>
              <w:jc w:val="center"/>
              <w:ind w:left="555"/>
              <w:spacing w:after="0"/>
              <w:rPr>
                <w:sz w:val="20"/>
                <w:szCs w:val="20"/>
                <w:color w:val="auto"/>
              </w:rPr>
            </w:pPr>
            <w:r>
              <w:rPr>
                <w:rFonts w:ascii="Times New Roman" w:cs="Times New Roman" w:eastAsia="Times New Roman" w:hAnsi="Times New Roman"/>
                <w:sz w:val="18"/>
                <w:szCs w:val="18"/>
                <w:color w:val="auto"/>
                <w:w w:val="96"/>
              </w:rPr>
              <w:t>11,338</w:t>
            </w:r>
          </w:p>
        </w:tc>
      </w:tr>
      <w:tr>
        <w:trPr>
          <w:trHeight w:val="25"/>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 and 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rPr>
              <w:t>35,076</w:t>
            </w:r>
          </w:p>
        </w:tc>
      </w:tr>
      <w:tr>
        <w:trPr>
          <w:trHeight w:val="233"/>
        </w:trPr>
        <w:tc>
          <w:tcPr>
            <w:tcW w:w="9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rPr>
              <w:t>78,519</w:t>
            </w:r>
          </w:p>
        </w:tc>
      </w:tr>
      <w:tr>
        <w:trPr>
          <w:trHeight w:val="25"/>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7"/>
              </w:rPr>
              <w:t>(19,838)</w:t>
            </w:r>
          </w:p>
        </w:tc>
      </w:tr>
      <w:tr>
        <w:trPr>
          <w:trHeight w:val="233"/>
        </w:trPr>
        <w:tc>
          <w:tcPr>
            <w:tcW w:w="9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rPr>
              <w:t>58,681</w:t>
            </w:r>
          </w:p>
        </w:tc>
      </w:tr>
      <w:tr>
        <w:trPr>
          <w:trHeight w:val="26"/>
        </w:trPr>
        <w:tc>
          <w:tcPr>
            <w:tcW w:w="9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right="8560" w:hanging="314"/>
        <w:spacing w:after="0" w:line="456" w:lineRule="auto"/>
        <w:tabs>
          <w:tab w:leader="none" w:pos="179"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Non-cancellable Commitments</w:t>
      </w:r>
    </w:p>
    <w:p>
      <w:pPr>
        <w:spacing w:after="0" w:line="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non-cancellable purchase commitments with various parties. As of April 30, 2026, the Company had remaining purchase commitments of $379.8 million related to cloud hosting and associated services and $61.6 million related to professional services due over the next one to four years. The Company incurred costs totaling $104.6 million, $117.1 million, and $43.1 million during the fiscal years ended April 30, 2026, 2025, and 2024 respectively, under these arrangements.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66"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March 4, 2022, a putative securities class action complaint (captioned The Reckstin Family Trust v. C3.ai, Inc. et al., 22-cv-01413-HSG) was filed in the U.S. District Court for the Northern District of California against the Company, and certain current and former officers and directors. On December 12, 2022, the court appointed a lead plaintiff and lead counsel. On February 15, 2023, the lead plaintiff and three additional named plaintiffs filed an amended complaint. The amended complaint names as defendants the Company, four current and former officers and directors, the underwriters in the Company’s initial public offering (“IPO”), and Baker Hughes Company (“Baker Hughes”). The amended complaint alleged that defendants made misstatements or omissions in connection with the Company’s IPO in violation of Sections 11 and 15 of the Securities Act of 1933 and between December 9, 2020 and December 2, 2021, inclusive, in violation of Sections 10(b) and 20(a) of the Securities Exchange Act of 1934. The amended complaint further alleged that certain defendants engaged in insider trading in violation of Section 20A of the Securities Exchange Act of 1934. All defendants moved to dismiss Plaintiffs’ amended complaint on May 1, 2023. On June 30, 2023, Plaintiffs voluntarily dismissed the underwriter defendants. On February 22, 2024, the court granted the motion to dismiss on all claims except for portions of the alleged violations of Section 11 and Section 15. Plaintiffs filed a second amended complaint on April 4, 2024. Defendants filed motions to dismiss on May 17, 2024. While the motions were pending, Plaintiffs filed a motion to amend their second amended complaint on September 27, 2024 to add new factual allegations. On February 13, 2025, the Court granted Plaintiffs’ motion to amend, and the Plaintiffs filed their third amended complaint on February 14, 2025. Plaintiffs seek unspecified damages, interest, fees and costs. On March 25, 2025, defendants filed motions to dismiss the third amended complaint. On March 12, 2026, the court granted defendants’ motions to dismiss, without further leave to amend, of all claims except for claims against the Company and Thomas Siebel, Lorenzo Simonelli and David Barter, that the Company’s registration statement issued in connection with its December 2020 IPO contained a misleading statement regarding one of its resellers.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0"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 xml:space="preserve">Six putative shareholder derivative actions have been filed: (1) </w:t>
      </w:r>
      <w:r>
        <w:rPr>
          <w:rFonts w:ascii="Times New Roman" w:cs="Times New Roman" w:eastAsia="Times New Roman" w:hAnsi="Times New Roman"/>
          <w:sz w:val="17"/>
          <w:szCs w:val="17"/>
          <w:i w:val="1"/>
          <w:iCs w:val="1"/>
          <w:color w:val="auto"/>
        </w:rPr>
        <w:t>Suri v. Siebel et al.</w:t>
      </w:r>
      <w:r>
        <w:rPr>
          <w:rFonts w:ascii="Times New Roman" w:cs="Times New Roman" w:eastAsia="Times New Roman" w:hAnsi="Times New Roman"/>
          <w:sz w:val="17"/>
          <w:szCs w:val="17"/>
          <w:color w:val="auto"/>
        </w:rPr>
        <w:t xml:space="preserve"> (No. 4:22-cv-03031) filed on May 23, 2022 in the U.S. District Court for the Northern District of California; (2) </w:t>
      </w:r>
      <w:r>
        <w:rPr>
          <w:rFonts w:ascii="Times New Roman" w:cs="Times New Roman" w:eastAsia="Times New Roman" w:hAnsi="Times New Roman"/>
          <w:sz w:val="17"/>
          <w:szCs w:val="17"/>
          <w:i w:val="1"/>
          <w:iCs w:val="1"/>
          <w:color w:val="auto"/>
        </w:rPr>
        <w:t>Rabasca v. Siebel et al.</w:t>
      </w:r>
      <w:r>
        <w:rPr>
          <w:rFonts w:ascii="Times New Roman" w:cs="Times New Roman" w:eastAsia="Times New Roman" w:hAnsi="Times New Roman"/>
          <w:sz w:val="17"/>
          <w:szCs w:val="17"/>
          <w:color w:val="auto"/>
        </w:rPr>
        <w:t xml:space="preserve"> (No.4: 23-cv-01566) filed on April 3, 2023 in the U.S. District Court for the Northern District of California; (3) </w:t>
      </w:r>
      <w:r>
        <w:rPr>
          <w:rFonts w:ascii="Times New Roman" w:cs="Times New Roman" w:eastAsia="Times New Roman" w:hAnsi="Times New Roman"/>
          <w:sz w:val="17"/>
          <w:szCs w:val="17"/>
          <w:i w:val="1"/>
          <w:iCs w:val="1"/>
          <w:color w:val="auto"/>
        </w:rPr>
        <w:t>Vo v. Siebel et al.</w:t>
      </w:r>
      <w:r>
        <w:rPr>
          <w:rFonts w:ascii="Times New Roman" w:cs="Times New Roman" w:eastAsia="Times New Roman" w:hAnsi="Times New Roman"/>
          <w:sz w:val="17"/>
          <w:szCs w:val="17"/>
          <w:color w:val="auto"/>
        </w:rPr>
        <w:t xml:space="preserve"> (No.1:23-cv-00428) filed on April 19, 2023 in the U.S. District Court for the District of Delaware, and transferred on August 3, 2023, to the U.S. District Court for the Northern District of California (No.3:23-cv-03895); (4) </w:t>
      </w:r>
      <w:r>
        <w:rPr>
          <w:rFonts w:ascii="Times New Roman" w:cs="Times New Roman" w:eastAsia="Times New Roman" w:hAnsi="Times New Roman"/>
          <w:sz w:val="17"/>
          <w:szCs w:val="17"/>
          <w:i w:val="1"/>
          <w:iCs w:val="1"/>
          <w:color w:val="auto"/>
        </w:rPr>
        <w:t>Lanfair v. Siebel et al.</w:t>
      </w:r>
      <w:r>
        <w:rPr>
          <w:rFonts w:ascii="Times New Roman" w:cs="Times New Roman" w:eastAsia="Times New Roman" w:hAnsi="Times New Roman"/>
          <w:sz w:val="17"/>
          <w:szCs w:val="17"/>
          <w:color w:val="auto"/>
        </w:rPr>
        <w:t xml:space="preserve"> (No.3:24-cv-01869) filed on March 26, 2024 in the U.S. District Court for the Northern District of California; (5) </w:t>
      </w:r>
      <w:r>
        <w:rPr>
          <w:rFonts w:ascii="Times New Roman" w:cs="Times New Roman" w:eastAsia="Times New Roman" w:hAnsi="Times New Roman"/>
          <w:sz w:val="17"/>
          <w:szCs w:val="17"/>
          <w:i w:val="1"/>
          <w:iCs w:val="1"/>
          <w:color w:val="auto"/>
        </w:rPr>
        <w:t>Pankow v. Siebel et al.</w:t>
      </w:r>
      <w:r>
        <w:rPr>
          <w:rFonts w:ascii="Times New Roman" w:cs="Times New Roman" w:eastAsia="Times New Roman" w:hAnsi="Times New Roman"/>
          <w:sz w:val="17"/>
          <w:szCs w:val="17"/>
          <w:color w:val="auto"/>
        </w:rPr>
        <w:t xml:space="preserve"> (No.2024-0520-NAC) on May 15, 2024 in the Chancery Court of Delaware; and (6) </w:t>
      </w:r>
      <w:r>
        <w:rPr>
          <w:rFonts w:ascii="Times New Roman" w:cs="Times New Roman" w:eastAsia="Times New Roman" w:hAnsi="Times New Roman"/>
          <w:sz w:val="17"/>
          <w:szCs w:val="17"/>
          <w:i w:val="1"/>
          <w:iCs w:val="1"/>
          <w:color w:val="auto"/>
        </w:rPr>
        <w:t>Rosenfeld v. Siebel et al.</w:t>
      </w:r>
      <w:r>
        <w:rPr>
          <w:rFonts w:ascii="Times New Roman" w:cs="Times New Roman" w:eastAsia="Times New Roman" w:hAnsi="Times New Roman"/>
          <w:sz w:val="17"/>
          <w:szCs w:val="17"/>
          <w:color w:val="auto"/>
        </w:rPr>
        <w:t xml:space="preserve"> (No.2024-0698-NAC) on June 28, 2024 in the Chancery Court of Delaware. In these cases, the plaintiffs assert claims on the Company’s behalf against certain of the Company’s current and former officers and directors for breach of fiduciary duty, aiding and abetting breach of fiduciary duty, gross mismanagement, corporate waste, abuse of control, unjust enrichment, and violations of the Securities Exchange Act of 1934. In all six cases, the Company is named as a nominal defendant. The derivative complaints seek unspecified damages, disgorgement of profits from board member stock sales, an award of costs and expenses, including reasonable attorneys’ fees, and corporate governance reforms. On September 7, 2022, </w:t>
      </w:r>
      <w:r>
        <w:rPr>
          <w:rFonts w:ascii="Times New Roman" w:cs="Times New Roman" w:eastAsia="Times New Roman" w:hAnsi="Times New Roman"/>
          <w:sz w:val="17"/>
          <w:szCs w:val="17"/>
          <w:i w:val="1"/>
          <w:iCs w:val="1"/>
          <w:color w:val="auto"/>
        </w:rPr>
        <w:t>Suri</w:t>
      </w:r>
      <w:r>
        <w:rPr>
          <w:rFonts w:ascii="Times New Roman" w:cs="Times New Roman" w:eastAsia="Times New Roman" w:hAnsi="Times New Roman"/>
          <w:sz w:val="17"/>
          <w:szCs w:val="17"/>
          <w:color w:val="auto"/>
        </w:rPr>
        <w:t xml:space="preserve"> was stayed pending resolution of the </w:t>
      </w:r>
      <w:r>
        <w:rPr>
          <w:rFonts w:ascii="Times New Roman" w:cs="Times New Roman" w:eastAsia="Times New Roman" w:hAnsi="Times New Roman"/>
          <w:sz w:val="17"/>
          <w:szCs w:val="17"/>
          <w:i w:val="1"/>
          <w:iCs w:val="1"/>
          <w:color w:val="auto"/>
        </w:rPr>
        <w:t>Reckstin</w:t>
      </w:r>
      <w:r>
        <w:rPr>
          <w:rFonts w:ascii="Times New Roman" w:cs="Times New Roman" w:eastAsia="Times New Roman" w:hAnsi="Times New Roman"/>
          <w:sz w:val="17"/>
          <w:szCs w:val="17"/>
          <w:color w:val="auto"/>
        </w:rPr>
        <w:t xml:space="preserve"> case. On August 3, 2023, </w:t>
      </w:r>
      <w:r>
        <w:rPr>
          <w:rFonts w:ascii="Times New Roman" w:cs="Times New Roman" w:eastAsia="Times New Roman" w:hAnsi="Times New Roman"/>
          <w:sz w:val="17"/>
          <w:szCs w:val="17"/>
          <w:i w:val="1"/>
          <w:iCs w:val="1"/>
          <w:color w:val="auto"/>
        </w:rPr>
        <w:t>Vo</w:t>
      </w:r>
      <w:r>
        <w:rPr>
          <w:rFonts w:ascii="Times New Roman" w:cs="Times New Roman" w:eastAsia="Times New Roman" w:hAnsi="Times New Roman"/>
          <w:sz w:val="17"/>
          <w:szCs w:val="17"/>
          <w:color w:val="auto"/>
        </w:rPr>
        <w:t xml:space="preserve"> was transferred to the U.S. District Court for the Northern District of California (No. 3:23-cv-03895). On August 30, 2023, the </w:t>
      </w:r>
      <w:r>
        <w:rPr>
          <w:rFonts w:ascii="Times New Roman" w:cs="Times New Roman" w:eastAsia="Times New Roman" w:hAnsi="Times New Roman"/>
          <w:sz w:val="17"/>
          <w:szCs w:val="17"/>
          <w:i w:val="1"/>
          <w:iCs w:val="1"/>
          <w:color w:val="auto"/>
        </w:rPr>
        <w:t>Vo</w:t>
      </w:r>
      <w:r>
        <w:rPr>
          <w:rFonts w:ascii="Times New Roman" w:cs="Times New Roman" w:eastAsia="Times New Roman" w:hAnsi="Times New Roman"/>
          <w:sz w:val="17"/>
          <w:szCs w:val="17"/>
          <w:color w:val="auto"/>
        </w:rPr>
        <w:t xml:space="preserve"> action was stayed on the same terms as the </w:t>
      </w:r>
      <w:r>
        <w:rPr>
          <w:rFonts w:ascii="Times New Roman" w:cs="Times New Roman" w:eastAsia="Times New Roman" w:hAnsi="Times New Roman"/>
          <w:sz w:val="17"/>
          <w:szCs w:val="17"/>
          <w:i w:val="1"/>
          <w:iCs w:val="1"/>
          <w:color w:val="auto"/>
        </w:rPr>
        <w:t>Suri</w:t>
      </w:r>
      <w:r>
        <w:rPr>
          <w:rFonts w:ascii="Times New Roman" w:cs="Times New Roman" w:eastAsia="Times New Roman" w:hAnsi="Times New Roman"/>
          <w:sz w:val="17"/>
          <w:szCs w:val="17"/>
          <w:color w:val="auto"/>
        </w:rPr>
        <w:t xml:space="preserve"> action. On December 21, 2023, </w:t>
      </w:r>
      <w:r>
        <w:rPr>
          <w:rFonts w:ascii="Times New Roman" w:cs="Times New Roman" w:eastAsia="Times New Roman" w:hAnsi="Times New Roman"/>
          <w:sz w:val="17"/>
          <w:szCs w:val="17"/>
          <w:i w:val="1"/>
          <w:iCs w:val="1"/>
          <w:color w:val="auto"/>
        </w:rPr>
        <w:t>Rabasca</w:t>
      </w:r>
      <w:r>
        <w:rPr>
          <w:rFonts w:ascii="Times New Roman" w:cs="Times New Roman" w:eastAsia="Times New Roman" w:hAnsi="Times New Roman"/>
          <w:sz w:val="17"/>
          <w:szCs w:val="17"/>
          <w:color w:val="auto"/>
        </w:rPr>
        <w:t xml:space="preserve"> was stayed on the same terms as </w:t>
      </w:r>
      <w:r>
        <w:rPr>
          <w:rFonts w:ascii="Times New Roman" w:cs="Times New Roman" w:eastAsia="Times New Roman" w:hAnsi="Times New Roman"/>
          <w:sz w:val="17"/>
          <w:szCs w:val="17"/>
          <w:i w:val="1"/>
          <w:iCs w:val="1"/>
          <w:color w:val="auto"/>
        </w:rPr>
        <w:t>Suri</w:t>
      </w:r>
      <w:r>
        <w:rPr>
          <w:rFonts w:ascii="Times New Roman" w:cs="Times New Roman" w:eastAsia="Times New Roman" w:hAnsi="Times New Roman"/>
          <w:sz w:val="17"/>
          <w:szCs w:val="17"/>
          <w:color w:val="auto"/>
        </w:rPr>
        <w:t xml:space="preserve">, and both </w:t>
      </w:r>
      <w:r>
        <w:rPr>
          <w:rFonts w:ascii="Times New Roman" w:cs="Times New Roman" w:eastAsia="Times New Roman" w:hAnsi="Times New Roman"/>
          <w:sz w:val="17"/>
          <w:szCs w:val="17"/>
          <w:i w:val="1"/>
          <w:iCs w:val="1"/>
          <w:color w:val="auto"/>
        </w:rPr>
        <w:t>Rabasca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Vo</w:t>
      </w:r>
      <w:r>
        <w:rPr>
          <w:rFonts w:ascii="Times New Roman" w:cs="Times New Roman" w:eastAsia="Times New Roman" w:hAnsi="Times New Roman"/>
          <w:sz w:val="17"/>
          <w:szCs w:val="17"/>
          <w:color w:val="auto"/>
        </w:rPr>
        <w:t xml:space="preserve"> were consolidated with </w:t>
      </w:r>
      <w:r>
        <w:rPr>
          <w:rFonts w:ascii="Times New Roman" w:cs="Times New Roman" w:eastAsia="Times New Roman" w:hAnsi="Times New Roman"/>
          <w:sz w:val="17"/>
          <w:szCs w:val="17"/>
          <w:i w:val="1"/>
          <w:iCs w:val="1"/>
          <w:color w:val="auto"/>
        </w:rPr>
        <w:t>Suri</w:t>
      </w:r>
      <w:r>
        <w:rPr>
          <w:rFonts w:ascii="Times New Roman" w:cs="Times New Roman" w:eastAsia="Times New Roman" w:hAnsi="Times New Roman"/>
          <w:sz w:val="17"/>
          <w:szCs w:val="17"/>
          <w:color w:val="auto"/>
        </w:rPr>
        <w:t xml:space="preserve">. On July 1, 2024, </w:t>
      </w:r>
      <w:r>
        <w:rPr>
          <w:rFonts w:ascii="Times New Roman" w:cs="Times New Roman" w:eastAsia="Times New Roman" w:hAnsi="Times New Roman"/>
          <w:sz w:val="17"/>
          <w:szCs w:val="17"/>
          <w:i w:val="1"/>
          <w:iCs w:val="1"/>
          <w:color w:val="auto"/>
        </w:rPr>
        <w:t>Lanfair</w:t>
      </w:r>
      <w:r>
        <w:rPr>
          <w:rFonts w:ascii="Times New Roman" w:cs="Times New Roman" w:eastAsia="Times New Roman" w:hAnsi="Times New Roman"/>
          <w:sz w:val="17"/>
          <w:szCs w:val="17"/>
          <w:color w:val="auto"/>
        </w:rPr>
        <w:t xml:space="preserve"> was consolidated with </w:t>
      </w:r>
      <w:r>
        <w:rPr>
          <w:rFonts w:ascii="Times New Roman" w:cs="Times New Roman" w:eastAsia="Times New Roman" w:hAnsi="Times New Roman"/>
          <w:sz w:val="17"/>
          <w:szCs w:val="17"/>
          <w:i w:val="1"/>
          <w:iCs w:val="1"/>
          <w:color w:val="auto"/>
        </w:rPr>
        <w:t>Suri</w:t>
      </w:r>
      <w:r>
        <w:rPr>
          <w:rFonts w:ascii="Times New Roman" w:cs="Times New Roman" w:eastAsia="Times New Roman" w:hAnsi="Times New Roman"/>
          <w:sz w:val="17"/>
          <w:szCs w:val="17"/>
          <w:color w:val="auto"/>
        </w:rPr>
        <w:t xml:space="preserve"> and stayed on the same terms. The </w:t>
      </w:r>
      <w:r>
        <w:rPr>
          <w:rFonts w:ascii="Times New Roman" w:cs="Times New Roman" w:eastAsia="Times New Roman" w:hAnsi="Times New Roman"/>
          <w:sz w:val="17"/>
          <w:szCs w:val="17"/>
          <w:i w:val="1"/>
          <w:iCs w:val="1"/>
          <w:color w:val="auto"/>
        </w:rPr>
        <w:t>Pankow</w:t>
      </w:r>
      <w:r>
        <w:rPr>
          <w:rFonts w:ascii="Times New Roman" w:cs="Times New Roman" w:eastAsia="Times New Roman" w:hAnsi="Times New Roman"/>
          <w:sz w:val="17"/>
          <w:szCs w:val="17"/>
          <w:color w:val="auto"/>
        </w:rPr>
        <w:t xml:space="preserve"> and Rosenfeld actions have not been consolidated with the </w:t>
      </w:r>
      <w:r>
        <w:rPr>
          <w:rFonts w:ascii="Times New Roman" w:cs="Times New Roman" w:eastAsia="Times New Roman" w:hAnsi="Times New Roman"/>
          <w:sz w:val="17"/>
          <w:szCs w:val="17"/>
          <w:i w:val="1"/>
          <w:iCs w:val="1"/>
          <w:color w:val="auto"/>
        </w:rPr>
        <w:t>Suri</w:t>
      </w:r>
      <w:r>
        <w:rPr>
          <w:rFonts w:ascii="Times New Roman" w:cs="Times New Roman" w:eastAsia="Times New Roman" w:hAnsi="Times New Roman"/>
          <w:sz w:val="17"/>
          <w:szCs w:val="17"/>
          <w:color w:val="auto"/>
        </w:rPr>
        <w:t xml:space="preserve"> action but were stayed on November 13, 2024 and January 15, 2025 respectively. The Company has not yet been required to answer the complaints in any of the derivative actions.</w:t>
      </w:r>
    </w:p>
    <w:p>
      <w:pPr>
        <w:spacing w:after="0" w:line="12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On August 22, 2025, a putative securities class action complaint (captioned </w:t>
      </w:r>
      <w:r>
        <w:rPr>
          <w:rFonts w:ascii="Times New Roman" w:cs="Times New Roman" w:eastAsia="Times New Roman" w:hAnsi="Times New Roman"/>
          <w:sz w:val="18"/>
          <w:szCs w:val="18"/>
          <w:i w:val="1"/>
          <w:iCs w:val="1"/>
          <w:color w:val="auto"/>
        </w:rPr>
        <w:t>John Liggett Sr. v. C3.ai, Inc. et al.</w:t>
      </w:r>
      <w:r>
        <w:rPr>
          <w:rFonts w:ascii="Times New Roman" w:cs="Times New Roman" w:eastAsia="Times New Roman" w:hAnsi="Times New Roman"/>
          <w:sz w:val="18"/>
          <w:szCs w:val="18"/>
          <w:color w:val="auto"/>
        </w:rPr>
        <w:t>, No. 3:25-cv-07129) (“the Liggett case”) was filed in the U.S. District Court for the Northern District of California against the Company, Mr. Siebel, our Chief Executive Officer and Chairman, and our chief financial officer. The court appointed a lead plaintiff on January 7, 2026. The lead plaintiff filed an amended complaint on January 28, 2026. The amended complaint alleges that the defendants made false and materially misleading statements during February to July 2025, regarding the status of the health of Mr. Siebel and its impact on the Company’s business operations. It asserts causes of action for violations of (i) Sections 10(b) of the Securities Exchange Act of 1934 (“Exchange Act”) and Rule 10b-5, (ii) Section 20(a) of the Exchange Act, and (iii) Section 20A of the Exchange Act. The plaintiff seeks to represent a class of investors who acquired C3.ai securities from February 18, 2025 through August 8, 2025. The amended complaint requests unspecified damages and other relief. The defendants have not filed a response to the amended complaint. On April 28, 2026, all defendants moved to dismiss plaintiff’s amended complaint, and the motion is scheduled for hearing on June 23, 2026.</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Three putative shareholder derivative actions have been filed based on allegations similar to those in the </w:t>
      </w:r>
      <w:r>
        <w:rPr>
          <w:rFonts w:ascii="Times New Roman" w:cs="Times New Roman" w:eastAsia="Times New Roman" w:hAnsi="Times New Roman"/>
          <w:sz w:val="18"/>
          <w:szCs w:val="18"/>
          <w:i w:val="1"/>
          <w:iCs w:val="1"/>
          <w:color w:val="auto"/>
        </w:rPr>
        <w:t>Liggett</w:t>
      </w:r>
      <w:r>
        <w:rPr>
          <w:rFonts w:ascii="Times New Roman" w:cs="Times New Roman" w:eastAsia="Times New Roman" w:hAnsi="Times New Roman"/>
          <w:sz w:val="18"/>
          <w:szCs w:val="18"/>
          <w:color w:val="auto"/>
        </w:rPr>
        <w:t xml:space="preserve"> case: (1) </w:t>
      </w:r>
      <w:r>
        <w:rPr>
          <w:rFonts w:ascii="Times New Roman" w:cs="Times New Roman" w:eastAsia="Times New Roman" w:hAnsi="Times New Roman"/>
          <w:sz w:val="18"/>
          <w:szCs w:val="18"/>
          <w:i w:val="1"/>
          <w:iCs w:val="1"/>
          <w:color w:val="auto"/>
        </w:rPr>
        <w:t>Jaffee v. Siebel et al.</w:t>
      </w:r>
      <w:r>
        <w:rPr>
          <w:rFonts w:ascii="Times New Roman" w:cs="Times New Roman" w:eastAsia="Times New Roman" w:hAnsi="Times New Roman"/>
          <w:sz w:val="18"/>
          <w:szCs w:val="18"/>
          <w:color w:val="auto"/>
        </w:rPr>
        <w:t xml:space="preserve"> (No.3:25-cv-07334) filed on August 29, 2025 in the U.S. District Court for the Northern District of California; (2) </w:t>
      </w:r>
      <w:r>
        <w:rPr>
          <w:rFonts w:ascii="Times New Roman" w:cs="Times New Roman" w:eastAsia="Times New Roman" w:hAnsi="Times New Roman"/>
          <w:sz w:val="18"/>
          <w:szCs w:val="18"/>
          <w:i w:val="1"/>
          <w:iCs w:val="1"/>
          <w:color w:val="auto"/>
        </w:rPr>
        <w:t>Steffens v. Siebel et al.</w:t>
      </w:r>
      <w:r>
        <w:rPr>
          <w:rFonts w:ascii="Times New Roman" w:cs="Times New Roman" w:eastAsia="Times New Roman" w:hAnsi="Times New Roman"/>
          <w:sz w:val="18"/>
          <w:szCs w:val="18"/>
          <w:color w:val="auto"/>
        </w:rPr>
        <w:t xml:space="preserve"> (No. 3:25-cv-07669) filed on September 9, 2025 in the U.S. District Court for the Northern District of California; and (3) </w:t>
      </w:r>
      <w:r>
        <w:rPr>
          <w:rFonts w:ascii="Times New Roman" w:cs="Times New Roman" w:eastAsia="Times New Roman" w:hAnsi="Times New Roman"/>
          <w:sz w:val="18"/>
          <w:szCs w:val="18"/>
          <w:i w:val="1"/>
          <w:iCs w:val="1"/>
          <w:color w:val="auto"/>
        </w:rPr>
        <w:t>Fernicola v. Siebel et al.</w:t>
      </w:r>
      <w:r>
        <w:rPr>
          <w:rFonts w:ascii="Times New Roman" w:cs="Times New Roman" w:eastAsia="Times New Roman" w:hAnsi="Times New Roman"/>
          <w:sz w:val="18"/>
          <w:szCs w:val="18"/>
          <w:color w:val="auto"/>
        </w:rPr>
        <w:t xml:space="preserve"> (No. 3:25-cv-07750) filed on September 11, 2025 in the U.S. District Court for the District of California. In these cases, the plaintiffs assert claims on the Company’s behalf against Mr. Siebel, our Executive Chairman, our chief financial officer, and members of our board of directors. All three complaints name the Company as a nominal defendant. All three of the complaints seek unspecified damages to the Company, recovery of attorneys’ fees and other costs and expenses, corporate governance reforms, and other relief. On October 3, 2025, the three derivative cases were consolidated. On November 7, 2025, the three derivative cases were stayed pending resolution of the </w:t>
      </w:r>
      <w:r>
        <w:rPr>
          <w:rFonts w:ascii="Times New Roman" w:cs="Times New Roman" w:eastAsia="Times New Roman" w:hAnsi="Times New Roman"/>
          <w:sz w:val="18"/>
          <w:szCs w:val="18"/>
          <w:i w:val="1"/>
          <w:iCs w:val="1"/>
          <w:color w:val="auto"/>
        </w:rPr>
        <w:t>Liggett</w:t>
      </w:r>
      <w:r>
        <w:rPr>
          <w:rFonts w:ascii="Times New Roman" w:cs="Times New Roman" w:eastAsia="Times New Roman" w:hAnsi="Times New Roman"/>
          <w:sz w:val="18"/>
          <w:szCs w:val="18"/>
          <w:color w:val="auto"/>
        </w:rPr>
        <w:t xml:space="preserve"> case.</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the date of this report, the Company does not believe it is probable that these cases will result in an unfavorable outcome; however, if an unfavorable outcome were to occur in these cases, it is possible that the impact could be material to the Company’s results of operations in the period(s) in which any such outcome becomes probable and estimable. Due to the early stages of these legal proceedings, neither the likelihood that a loss, if any, will be realized, nor an estimate of the possible loss or range of loss, if any, can be determined.</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27, 2024, the Company filed a lawsuit in the Court of Rome, Italy against Enel Global Services S.r.l. and any involved corporate affiliates (“Enel”). The claims in the suit against Enel include misappropriation of trade secrets under Articles 98 and 99 of the Italian Industrial Property Code and breach of contract. In this action, the Company seeks compensatory damages in the amount of €2.1 billion, equitable and other relief, as well as fees and costs. The Company has also filed a report of criminal misconduct with Italian law enforcement under Article 623 of the Italian Criminal Code.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December 23, 2024, Enel initiated two lawsuits against the Company in Rome, claiming ownership of two of C3’s patent applications filed in the European Patent Office. Motions to stay prosecution of the applications were granted. Because any legal action is unpredictable, it is difficult to quantify the potential recoveries, associated potential costs, and timeline associated with resolution of this matter. Any gain on this matter is considered a gain contingency and will be recognized in the period in which the award is realized or realizable.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from time to time, the Company is involved in various other legal proceedings arising in the ordinary course of business. Apart from the foregoing, the Company is not presently a party to any other such litigation the outcome of which, the Company believes, if determined adversely to the Company, would individually, or taken together, have a material adverse effect on the Company’s business, operating results, cash flows, or financial condition.</w:t>
      </w:r>
    </w:p>
    <w:p>
      <w:pPr>
        <w:spacing w:after="0" w:line="125" w:lineRule="exact"/>
        <w:rPr>
          <w:sz w:val="20"/>
          <w:szCs w:val="20"/>
          <w:color w:val="auto"/>
        </w:rPr>
      </w:pPr>
    </w:p>
    <w:p>
      <w:pPr>
        <w:jc w:val="center"/>
        <w:ind w:right="9460"/>
        <w:spacing w:after="0"/>
        <w:rPr>
          <w:sz w:val="20"/>
          <w:szCs w:val="20"/>
          <w:color w:val="auto"/>
        </w:rPr>
      </w:pPr>
      <w:r>
        <w:rPr>
          <w:rFonts w:ascii="Times New Roman" w:cs="Times New Roman" w:eastAsia="Times New Roman" w:hAnsi="Times New Roman"/>
          <w:sz w:val="17"/>
          <w:szCs w:val="17"/>
          <w:b w:val="1"/>
          <w:bCs w:val="1"/>
          <w:color w:val="auto"/>
        </w:rPr>
        <w:t>8. Stockholders’ Equity</w:t>
      </w:r>
    </w:p>
    <w:p>
      <w:pPr>
        <w:spacing w:after="0" w:line="174" w:lineRule="exact"/>
        <w:rPr>
          <w:sz w:val="20"/>
          <w:szCs w:val="20"/>
          <w:color w:val="auto"/>
        </w:rPr>
      </w:pPr>
    </w:p>
    <w:p>
      <w:pPr>
        <w:jc w:val="center"/>
        <w:ind w:right="9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authorized 200,000,000 shares of undesignated preferred stock with a par value of $0.001 per share with rights and preferences, including voting rights, designated from time to time by the board of directors. As of April 30, 2026, there were no shares of Preferred Stock issued or outstanding.</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has authorized 1,000,000,000 shares of Class A common stock and 3,500,000 shares of Class B common stock. The shares of Class A common stock and Class B common stock are identical, except with respect to voting, conversion, and transfer rights. Each share of Class A common stock is entitled to one vote. Each share of Class B common stock is entitled to 50 votes. Class A and Class B common stock have a par value of $0.001 per share and are referred to as common stock throughout the notes to the consolidated financial statements, unless otherwise noted. Holders of common stock are entitled to receive any dividends as may be declared from time to time by the board of directors.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Shares of Class B common stock may be converted to Class A common stock at any time at the option of the stockholder. Each share of Class B common stock will be automatically converted into one share of Class A common stock upon the earliest of the following: (i) the date that is six months following the death or incapacity of Mr. Siebel; (ii) the date that is six months following the date that Mr. Siebel is no longer providing services to the Company as an officer, employee, director, or consultant; (iii) December 11, 2040, which is the twentieth anniversary of the completion of the IPO; or (iv) the date specified by the holders of a majority of the then outstanding shares of Class B common stock, voting as a separate class. Future transfers by holders of Class B common stock will generally result in those shares converting to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November 27, 2020, the Company’s board of directors adopted, and its stockholders approved, the 2020 Incentive Plan, which became effective in connection with the IPO. The 2020 Incentive Plan provides for the grant of incentive stock options, non-statutory stock options, stock appreciation rights, restricted stock awards, restricted stock unit (“RSU”) awards, performance awards and other equity awards.</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April 30, 2026, the number of shares of Class A common stock available for issuance was 5,276,035 under the 2020 Incentive Plan. The number of shares of Class A common stock reserved for issuance under the 2020 Incentive Plan is subject to automatic evergreen increases annually through (and including) May 1, 2030 pursuant to the terms of the 2020 Incentive Plan. There was an automatic annual increase on May 1, 2024 in the number of shares reserved for future issuance pursuant to the 2020 Incentive Plan in an amount equal to seven percent (7%) of the total number of shares of the Company’s Class A common stock and Class B common stock outstanding on April 30, 2025.</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September 2025, the Company’s board of directors adopted the C3.ai, Inc. 2025 Inducement Plan (the “Inducement Plan”). The Inducement Plan provides for the grant of non-statutory stock options, stock appreciation rights, restricted stock awards, RSU awards, performance awards and other stock-based awards as permitted by the Inducement Plan. The Board has reserved 5,000,000 shares of the Company’s Class A Common Stock for issuance pursuant to awards granted under the Inducement Plan. Awards under the Inducement Plan may be granted only to persons who satisfy the standards for “employment inducement awards” under Section 303A.08 of the New York Stock Exchange Listed Company Manual. As of April 30, 2026, a total of 2,576,959 shares of common stock remained available for issuance under the Inducement Plan.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Stock options generally expire 10 years from the date of grant, or earlier if services are terminated. Generally, each stock option for common stock is subject to a vesting schedule such that one fifth of the award vests after the first-year anniversary and one-sixtieth of the award vests each month thereafter over the remaining four years, subject to continuous service.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Company’s option activity during the periods indicated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57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67"/>
        </w:trPr>
        <w:tc>
          <w:tcPr>
            <w:tcW w:w="5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9"/>
        </w:trPr>
        <w:tc>
          <w:tcPr>
            <w:tcW w:w="5720" w:type="dxa"/>
            <w:vAlign w:val="bottom"/>
          </w:tcPr>
          <w:p>
            <w:pPr>
              <w:spacing w:after="0"/>
              <w:rPr>
                <w:sz w:val="13"/>
                <w:szCs w:val="13"/>
                <w:color w:val="auto"/>
              </w:rPr>
            </w:pPr>
          </w:p>
        </w:tc>
        <w:tc>
          <w:tcPr>
            <w:tcW w:w="14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080" w:type="dxa"/>
            <w:vAlign w:val="bottom"/>
          </w:tcPr>
          <w:p>
            <w:pPr>
              <w:jc w:val="center"/>
              <w:ind w:right="157"/>
              <w:spacing w:after="0" w:line="15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3"/>
                <w:szCs w:val="13"/>
                <w:color w:val="auto"/>
              </w:rPr>
            </w:pPr>
          </w:p>
        </w:tc>
        <w:tc>
          <w:tcPr>
            <w:tcW w:w="142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3"/>
                <w:szCs w:val="13"/>
                <w:color w:val="auto"/>
              </w:rPr>
            </w:pPr>
          </w:p>
        </w:tc>
        <w:tc>
          <w:tcPr>
            <w:tcW w:w="1120" w:type="dxa"/>
            <w:vAlign w:val="bottom"/>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Aggregate</w:t>
            </w:r>
          </w:p>
        </w:tc>
      </w:tr>
      <w:tr>
        <w:trPr>
          <w:trHeight w:val="172"/>
        </w:trPr>
        <w:tc>
          <w:tcPr>
            <w:tcW w:w="572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4"/>
                <w:szCs w:val="14"/>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80" w:type="dxa"/>
            <w:vAlign w:val="bottom"/>
          </w:tcPr>
          <w:p>
            <w:pPr>
              <w:spacing w:after="0"/>
              <w:rPr>
                <w:sz w:val="14"/>
                <w:szCs w:val="14"/>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9"/>
        </w:trPr>
        <w:tc>
          <w:tcPr>
            <w:tcW w:w="572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40" w:type="dxa"/>
            <w:vAlign w:val="bottom"/>
          </w:tcPr>
          <w:p>
            <w:pPr>
              <w:spacing w:after="0"/>
              <w:rPr>
                <w:sz w:val="17"/>
                <w:szCs w:val="17"/>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Life (years)</w:t>
            </w:r>
          </w:p>
        </w:tc>
        <w:tc>
          <w:tcPr>
            <w:tcW w:w="180" w:type="dxa"/>
            <w:vAlign w:val="bottom"/>
          </w:tcPr>
          <w:p>
            <w:pPr>
              <w:spacing w:after="0"/>
              <w:rPr>
                <w:sz w:val="17"/>
                <w:szCs w:val="17"/>
                <w:color w:val="auto"/>
              </w:rPr>
            </w:pPr>
          </w:p>
        </w:tc>
        <w:tc>
          <w:tcPr>
            <w:tcW w:w="11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4"/>
        </w:trPr>
        <w:tc>
          <w:tcPr>
            <w:tcW w:w="57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572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color w:val="auto"/>
              </w:rPr>
              <w:t>(in thousands)</w:t>
            </w:r>
          </w:p>
        </w:tc>
      </w:tr>
      <w:tr>
        <w:trPr>
          <w:trHeight w:val="38"/>
        </w:trPr>
        <w:tc>
          <w:tcPr>
            <w:tcW w:w="57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268,167</w:t>
            </w:r>
          </w:p>
        </w:tc>
      </w:tr>
      <w:tr>
        <w:trPr>
          <w:trHeight w:val="265"/>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5"/>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5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cancelled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r>
      <w:tr>
        <w:trPr>
          <w:trHeight w:val="283"/>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38"/>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5"/>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5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cancelled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r>
      <w:tr>
        <w:trPr>
          <w:trHeight w:val="283"/>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3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April 30, 2026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April 30, 2026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fiscal years ended April 30, 2026, 2025 and 2024 was $7.85, $13.49 and $16.70, respectively. Aggregate intrinsic value represents the difference between the estimated fair value of the underlying common stock and the exercise price of outstanding in-the-money options. The total intrinsic value of options exercised during the fiscal years ended April 30, 2026, 2025 and 2024 was $25.1 million, $94.1 million and $89.7 million, respectively. The total grant date fair value of options vested during the fiscal years ended April 30, 2026, 2025 and 2024 was $33.0 million, $34.7 million and $34.7 million, respectively.</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April 30, 2026 and 2025, there was $73.3 million and $56.1 million, respectively, of unrecognized compensation cost related to stock options which are expected to be recognized over an estimated weighted-average period of 2.7 years and 2.0 years, respectively.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grant-date fair value of the options issued for the fiscal years ended April 30, 2026, 2025 and 2024 are estimated on the date of grant using the Black-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Scholes-Merton option pricing model. The assumptions underlying the fair value estimation are provided in the following table:</w:t>
      </w:r>
    </w:p>
    <w:p>
      <w:pPr>
        <w:spacing w:after="0" w:line="17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
        </w:trPr>
        <w:tc>
          <w:tcPr>
            <w:tcW w:w="5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- 71.0%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65.5 - 66.2%</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62.3 - 62.3%</w:t>
            </w:r>
          </w:p>
        </w:tc>
      </w:tr>
      <w:tr>
        <w:trPr>
          <w:trHeight w:val="23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5.8 - 6.5</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6.0 - 6.5</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6.5 - 6.5</w:t>
            </w:r>
          </w:p>
        </w:tc>
      </w:tr>
      <w:tr>
        <w:trPr>
          <w:trHeight w:val="25"/>
        </w:trPr>
        <w:tc>
          <w:tcPr>
            <w:tcW w:w="5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- 3.95%</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3.5 - 4.6%</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4.7 - 4.7%</w:t>
            </w:r>
          </w:p>
        </w:tc>
      </w:tr>
      <w:tr>
        <w:trPr>
          <w:trHeight w:val="25"/>
        </w:trPr>
        <w:tc>
          <w:tcPr>
            <w:tcW w:w="5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RSUs include time-based RSUs and PRSUs.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Time-based RSUs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time-based RSUs are typically subject to service-based vesting conditions satisfied over five years with one-fifth of the award vesting after the first-year anniversary and one-twentieth of the award vesting quarterly thereafter. The related stock-based compensation is recognized on a straight-line basis over the requisite service period. For the fiscal year ended April 30, 2026, 2025 and 2024, the Company recognized stock-based compensation expense of $174.5 million, $142.2 million and $130.6 million, respectively, associated with such time-based RSUs.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PRSUs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July 2022, the compensation committee of the board of directors (the “Compensation Committee”) approved the grant of a maximum of 1,700,000 performance-based restricted stock units (the “PRSU Award”) to the CEO, pursuant to the 2020 Incentive Plan, subject to and conditioned upon the subsequent determination by the board of directors of performance metrics upon the achievement of which the PRSU Award would vest. In August 2022, the board of directors approved performance metrics in concept, subject to further action by the Compensation Committee. In December 2022, the Compensation Committee: (a) determined and approved the performance metrics, which are based on the achievement of certain total shareholder return results, as measured against certain stock price hurdles (the “Market Condition”); and (b) extended the vesting period of the PRSU Award through December 31, 2027. As an additional condition to vesting of each tranche of the PRSU Award, Mr. Siebel must remain in continuous service to the Company through a minimum service date that applies to such tranche or, if later, the date the applicable performance metric is achieved (the “Service Condition”). The grant date of the PRSU Award was established in December 2022.</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Stock-based compensation expense associated with the PRSU Award will be recognized over the longer of the expected achievement period for the Market Condition or the Service Condition. For the fiscal years ended April 30, 2026, 2025 and 2024, the Company recorded stock-based compensation expense of $1.6 million, $3.8 million and $5.4 million, respectively, related to the PRSU Award.</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determined the grant date fair value of the PRSU Award using a Monte Carlo simulation model with the following assumptions: stock price of $12.90, risk-free interest rate of 3.7%, dividend yield of 0% and expected volatility of 51.4%.</w:t>
      </w:r>
    </w:p>
    <w:p>
      <w:pPr>
        <w:sectPr>
          <w:pgSz w:w="11900" w:h="16838" w:orient="portrait"/>
          <w:cols w:equalWidth="0" w:num="1">
            <w:col w:w="11240"/>
          </w:cols>
          <w:pgMar w:left="320" w:top="119" w:right="339" w:bottom="1440" w:gutter="0" w:footer="0" w:header="0"/>
        </w:sectPr>
      </w:pP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Company’s RSU activities and related information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695325</wp:posOffset>
            </wp:positionV>
            <wp:extent cx="7134860" cy="168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Balance as of April 30, 2024</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68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vested</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936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Balance as of April 30, 2025</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68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vested</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936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Balance as of April 30, 2026</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RSUs Outstanding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72"/>
        </w:trPr>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40" w:type="dxa"/>
            <w:vAlign w:val="bottom"/>
          </w:tcPr>
          <w:p>
            <w:pPr>
              <w:spacing w:after="0"/>
              <w:rPr>
                <w:sz w:val="14"/>
                <w:szCs w:val="14"/>
                <w:color w:val="auto"/>
              </w:rPr>
            </w:pPr>
          </w:p>
        </w:tc>
        <w:tc>
          <w:tcPr>
            <w:tcW w:w="18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6"/>
        </w:trPr>
        <w:tc>
          <w:tcPr>
            <w:tcW w:w="2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1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65"/>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65"/>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65"/>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5"/>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5"/>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65"/>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65"/>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5"/>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19,414</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5"/>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00" w:space="720"/>
            <w:col w:w="4320"/>
          </w:cols>
          <w:pgMar w:left="320" w:top="119" w:right="339" w:bottom="1440" w:gutter="0" w:footer="0" w:header="0"/>
          <w:type w:val="continuous"/>
        </w:sectPr>
      </w:pPr>
    </w:p>
    <w:p>
      <w:pPr>
        <w:spacing w:after="0" w:line="3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As of April 30, 2026 and 2025, there was $383.7 million and $562.9 million, respectively, of unrecognized stock-based compensation expense related to outstanding RSUs granted to employees that is expected to be recognized over a weighted-average period of 3.3 years and 3.7 years, respectively.</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fiscal year 2026 and 2025, the Compensation Committee approved the payment of fiscal year 2025 and 2024 bonuses, respectively, under the Company’s annual bonus program in the form of fully vested RSUs covering shares of Class A common stock to employees. The Company issued 951,779 and 751,927 shares of Class A common stock pursuant to this program during the fiscal years ended April 30, 2026 and 2025, respectively.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Shares issued in settlement of fully vested RSUs granted under this bonus program were issued from the 2020 Incentive Plan and reduced the shares available for issuance under the 2020 Incentive Plan.</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November 27, 2020, the Company’s board of directors also adopted, and its stockholders also approved, the 2020 Employee Stock Purchase Plan (the “2020 ESPP”), which became effective immediately prior to the IPO. The 2020 ESPP authorizes the issuance of shares of Class A common stock pursuant to purchase rights granted to employees. A total of 3,000,000 shares of Class A common stock were initially reserved for future issuance under the 2020 ESPP. The number of shares of Class A common stock reserved for issuance under the 2020 ESPP is subject to automatic evergreen increases annually through (and including) May 1, 2030 pursuant to the terms of the 2020 ESPP. There was an automatic annual increase on May 1, 2025 in the number of shares reserved for future issuance pursuant to the 2020 ESPP in an amount equal to one percent (1%) of the total number of shares of the Company’s Class A common stock and Class B common stock outstanding on April 30, 2025. The 2020 ESPP permits participants to purchase shares of Class A common stock in an amount not exceeding 15% of their earnings during the relevant offering period. The offering dates and purchase dates for the 2020 ESPP are determined at the discretion of the Company’s board of directors.</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Except for the initial offering period under the 2020 ESPP, which commenced on October 16, 2022 and ended on September 15, 2024, the 2020 ESPP provides for 24-month offering periods beginning September 15 and March 15 of each year, with each offering period consisting of four six-month purchase periods. The 2020 ESPP allows eligible employees to purchase shares of the Company’s Class A common stock, subject to purchase limits of 2,500 shares during each six-month period or $25,000 worth of stock for each calendar year, through payroll deductions at price per share equal to 85% of the lesser of the fair market value of the Company’s Class A common stock on (i) the first trading day of the applicable offering period and (ii) the last trading day of each purchase period in the applicable offering period. If the price per share of the Company’s Class A common stock on any purchase date in the offering period is lower than the price per share of the Company’s Class A common stock price on the enrollment date of that offering period, the offering period will immediately reset after the purchase of shares on such purchase date and automatically roll into a new 24-month offering period.</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uses a Black-Scholes-Merton option pricing model to determine the fair value of employee stock purchase rights granted under the 2020 ESPP.</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shares to be granted under the 2020 ESPP during the period:</w:t>
      </w:r>
    </w:p>
    <w:p>
      <w:pPr>
        <w:spacing w:after="0" w:line="21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0" w:type="dxa"/>
            <w:vAlign w:val="bottom"/>
            <w:tcBorders>
              <w:top w:val="single" w:sz="8" w:color="auto"/>
            </w:tcBorders>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40" w:type="dxa"/>
            <w:vAlign w:val="bottom"/>
            <w:tcBorders>
              <w:top w:val="single" w:sz="8" w:color="auto"/>
            </w:tcBorders>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tcBorders>
              <w:top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3720" w:type="dxa"/>
            <w:vAlign w:val="bottom"/>
            <w:tcBorders>
              <w:bottom w:val="single" w:sz="8" w:color="CCEEFF"/>
            </w:tcBorders>
          </w:tcPr>
          <w:p>
            <w:pPr>
              <w:spacing w:after="0"/>
              <w:rPr>
                <w:sz w:val="3"/>
                <w:szCs w:val="3"/>
                <w:color w:val="auto"/>
              </w:rPr>
            </w:pPr>
          </w:p>
        </w:tc>
        <w:tc>
          <w:tcPr>
            <w:tcW w:w="27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5"/>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27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40"/>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270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
        </w:trPr>
        <w:tc>
          <w:tcPr>
            <w:tcW w:w="37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3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4500" w:type="dxa"/>
            <w:vAlign w:val="bottom"/>
            <w:tcBorders>
              <w:bottom w:val="single" w:sz="8" w:color="CCEEFF"/>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63.9 - 67.6%</w:t>
            </w:r>
          </w:p>
        </w:tc>
        <w:tc>
          <w:tcPr>
            <w:tcW w:w="164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56.2 - 79.8%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54.5 - 73.3%</w:t>
            </w:r>
          </w:p>
        </w:tc>
      </w:tr>
      <w:tr>
        <w:trPr>
          <w:trHeight w:val="240"/>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4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0.5 - 2.0</w:t>
            </w:r>
          </w:p>
        </w:tc>
        <w:tc>
          <w:tcPr>
            <w:tcW w:w="16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0.5 - 2.0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0.50 - 2.0</w:t>
            </w:r>
          </w:p>
        </w:tc>
      </w:tr>
      <w:tr>
        <w:trPr>
          <w:trHeight w:val="25"/>
        </w:trPr>
        <w:tc>
          <w:tcPr>
            <w:tcW w:w="37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3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4500" w:type="dxa"/>
            <w:vAlign w:val="bottom"/>
            <w:tcBorders>
              <w:bottom w:val="single" w:sz="8" w:color="CCEEFF"/>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3.51 - 3.8%</w:t>
            </w:r>
          </w:p>
        </w:tc>
        <w:tc>
          <w:tcPr>
            <w:tcW w:w="164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3.6 - 4.6%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4.7 - 5.5%</w:t>
            </w:r>
          </w:p>
        </w:tc>
      </w:tr>
      <w:tr>
        <w:trPr>
          <w:trHeight w:val="889"/>
        </w:trPr>
        <w:tc>
          <w:tcPr>
            <w:tcW w:w="3720" w:type="dxa"/>
            <w:vAlign w:val="bottom"/>
          </w:tcPr>
          <w:p>
            <w:pPr>
              <w:spacing w:after="0"/>
              <w:rPr>
                <w:sz w:val="24"/>
                <w:szCs w:val="24"/>
                <w:color w:val="auto"/>
              </w:rPr>
            </w:pPr>
          </w:p>
        </w:tc>
        <w:tc>
          <w:tcPr>
            <w:tcW w:w="27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120</w:t>
            </w: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3720" w:type="dxa"/>
            <w:vAlign w:val="bottom"/>
            <w:tcBorders>
              <w:bottom w:val="single" w:sz="8" w:color="9A9A9A"/>
            </w:tcBorders>
          </w:tcPr>
          <w:p>
            <w:pPr>
              <w:spacing w:after="0"/>
              <w:rPr>
                <w:sz w:val="23"/>
                <w:szCs w:val="23"/>
                <w:color w:val="auto"/>
              </w:rPr>
            </w:pPr>
          </w:p>
        </w:tc>
        <w:tc>
          <w:tcPr>
            <w:tcW w:w="2700" w:type="dxa"/>
            <w:vAlign w:val="bottom"/>
            <w:tcBorders>
              <w:bottom w:val="single" w:sz="8" w:color="9A9A9A"/>
            </w:tcBorders>
          </w:tcPr>
          <w:p>
            <w:pPr>
              <w:spacing w:after="0"/>
              <w:rPr>
                <w:sz w:val="23"/>
                <w:szCs w:val="23"/>
                <w:color w:val="auto"/>
              </w:rPr>
            </w:pPr>
          </w:p>
        </w:tc>
        <w:tc>
          <w:tcPr>
            <w:tcW w:w="1800" w:type="dxa"/>
            <w:vAlign w:val="bottom"/>
            <w:tcBorders>
              <w:bottom w:val="single" w:sz="8" w:color="9A9A9A"/>
            </w:tcBorders>
          </w:tcPr>
          <w:p>
            <w:pPr>
              <w:spacing w:after="0"/>
              <w:rPr>
                <w:sz w:val="23"/>
                <w:szCs w:val="23"/>
                <w:color w:val="auto"/>
              </w:rPr>
            </w:pPr>
          </w:p>
        </w:tc>
        <w:tc>
          <w:tcPr>
            <w:tcW w:w="1640" w:type="dxa"/>
            <w:vAlign w:val="bottom"/>
            <w:tcBorders>
              <w:bottom w:val="single" w:sz="8" w:color="9A9A9A"/>
            </w:tcBorders>
          </w:tcPr>
          <w:p>
            <w:pPr>
              <w:spacing w:after="0"/>
              <w:rPr>
                <w:sz w:val="23"/>
                <w:szCs w:val="23"/>
                <w:color w:val="auto"/>
              </w:rPr>
            </w:pPr>
          </w:p>
        </w:tc>
        <w:tc>
          <w:tcPr>
            <w:tcW w:w="13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the fiscal years ended April 30, 2026, 2025 and 2024, the Company recognized $6.8 million, $6.9 million and $5.4 million, respectively, of stock-based compensation expense related to the 2020 ESPP. During the fiscal years ended April 30, 2026, 2025 and 2024, the Company’s employees purchased 903,451, 697,498 and 863,412, respectively, shares of its Class A common stock under the 2020 ESPP. As of April 30, 2026 and 2025, there was $6.8 million and $11.2 million, respectively, of unrecognized stock-based compensation expense that is expected to be recognized over the remaining term of the respective offering periods. As of April 30, 2026 and 2025, 6,024,644 and 5,588,711, respectively, shares of Class A common stock were available for future issuance under the 2020 ESPP.</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effects of stock-based compensation on the Company’s consolidated statements of operations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20" w:type="dxa"/>
            <w:vAlign w:val="bottom"/>
            <w:gridSpan w:val="6"/>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080" w:type="dxa"/>
            <w:vAlign w:val="bottom"/>
          </w:tcPr>
          <w:p>
            <w:pPr>
              <w:spacing w:after="0"/>
              <w:rPr>
                <w:sz w:val="16"/>
                <w:szCs w:val="16"/>
                <w:color w:val="auto"/>
              </w:rPr>
            </w:pPr>
          </w:p>
        </w:tc>
      </w:tr>
      <w:tr>
        <w:trPr>
          <w:trHeight w:val="24"/>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35,616</w:t>
            </w:r>
          </w:p>
        </w:tc>
        <w:tc>
          <w:tcPr>
            <w:tcW w:w="480" w:type="dxa"/>
            <w:vAlign w:val="bottom"/>
            <w:tcBorders>
              <w:bottom w:val="single" w:sz="8" w:color="CCEEFF"/>
            </w:tcBorders>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34,032</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6"/>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95,531</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71,751</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72,036</w:t>
            </w:r>
          </w:p>
        </w:tc>
      </w:tr>
      <w:tr>
        <w:trPr>
          <w:trHeight w:val="25"/>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36,654</w:t>
            </w:r>
          </w:p>
        </w:tc>
      </w:tr>
      <w:tr>
        <w:trPr>
          <w:trHeight w:val="233"/>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 excluding restructuring</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263,715</w:t>
            </w:r>
          </w:p>
        </w:tc>
        <w:tc>
          <w:tcPr>
            <w:tcW w:w="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215,761</w:t>
            </w:r>
          </w:p>
        </w:tc>
      </w:tr>
      <w:tr>
        <w:trPr>
          <w:trHeight w:val="26"/>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268,532</w:t>
            </w:r>
          </w:p>
        </w:tc>
        <w:tc>
          <w:tcPr>
            <w:tcW w:w="6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230,988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215,761</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records stock-based compensation associated with the Company’s annual bonus program and retention bonus program for certain employees, which may be paid out in fully vested RSUs that are settled in shares of Class A common stock. During the fiscal years ended April 30, 2026 and 2025, the Company recognized $41.8 million and $41.9 million respectively, of stock-based compensation expense associated with these programs, of which $35.5 million and $37.5 million was reflected under accrued compensation and employee benefits in the consolidated balance sheets as of April 30, 2026 and 2025, respectively. Upon settlement, this amount will be reflected under common stock and additional paid-in capital in the consolidated statements of stockholders’ equity.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components of the Company’s net loss before provision for income taxes for the fiscal years ended April 30, 2026, 2025 and 2024 were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gridSpan w:val="6"/>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9"/>
              </w:rPr>
              <w:t>Fiscal Year Ended April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3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3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4320" w:type="dxa"/>
            <w:vAlign w:val="bottom"/>
            <w:tcBorders>
              <w:bottom w:val="single" w:sz="8" w:color="CCEEFF"/>
            </w:tcBorders>
          </w:tcPr>
          <w:p>
            <w:pPr>
              <w:spacing w:after="0"/>
              <w:rPr>
                <w:sz w:val="3"/>
                <w:szCs w:val="3"/>
                <w:color w:val="auto"/>
              </w:rPr>
            </w:pPr>
          </w:p>
        </w:tc>
        <w:tc>
          <w:tcPr>
            <w:tcW w:w="2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(473,506)</w:t>
            </w: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(282,036)</w:t>
            </w:r>
          </w:p>
        </w:tc>
        <w:tc>
          <w:tcPr>
            <w:tcW w:w="0" w:type="dxa"/>
            <w:vAlign w:val="bottom"/>
          </w:tcPr>
          <w:p>
            <w:pPr>
              <w:spacing w:after="0"/>
              <w:rPr>
                <w:sz w:val="1"/>
                <w:szCs w:val="1"/>
                <w:color w:val="auto"/>
              </w:rPr>
            </w:pPr>
          </w:p>
        </w:tc>
      </w:tr>
      <w:tr>
        <w:trPr>
          <w:trHeight w:val="24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5"/>
        </w:trPr>
        <w:tc>
          <w:tcPr>
            <w:tcW w:w="43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2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(469,547)</w:t>
            </w: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(278,904)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912"/>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43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20" w:type="dxa"/>
            <w:vAlign w:val="bottom"/>
            <w:tcBorders>
              <w:bottom w:val="single" w:sz="8" w:color="9A9A9A"/>
            </w:tcBorders>
          </w:tcPr>
          <w:p>
            <w:pPr>
              <w:spacing w:after="0"/>
              <w:rPr>
                <w:sz w:val="23"/>
                <w:szCs w:val="23"/>
                <w:color w:val="auto"/>
              </w:rPr>
            </w:pPr>
          </w:p>
        </w:tc>
        <w:tc>
          <w:tcPr>
            <w:tcW w:w="24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the Company’s provision for income taxes for the fiscal years ended April 30, 2026, 2025 and 2024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6"/>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080" w:type="dxa"/>
            <w:vAlign w:val="bottom"/>
          </w:tcPr>
          <w:p>
            <w:pPr>
              <w:spacing w:after="0"/>
              <w:rPr>
                <w:sz w:val="16"/>
                <w:szCs w:val="16"/>
                <w:color w:val="auto"/>
              </w:rPr>
            </w:pPr>
          </w:p>
        </w:tc>
      </w:tr>
      <w:tr>
        <w:trPr>
          <w:trHeight w:val="38"/>
        </w:trPr>
        <w:tc>
          <w:tcPr>
            <w:tcW w:w="67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6760" w:type="dxa"/>
            <w:vAlign w:val="bottom"/>
          </w:tcPr>
          <w:p>
            <w:pPr>
              <w:spacing w:after="0"/>
              <w:rPr>
                <w:sz w:val="15"/>
                <w:szCs w:val="15"/>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7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2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9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4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4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5"/>
        </w:trPr>
        <w:tc>
          <w:tcPr>
            <w:tcW w:w="6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6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w:t>
            </w:r>
          </w:p>
        </w:tc>
        <w:tc>
          <w:tcPr>
            <w:tcW w:w="9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adopted ASU 2023-09, Income Taxes - Improvement to Income Tax Disclosures, for the annual disclosures for the fiscal year ended April 30, 2026 on a prospective basis. Comparative financial information for prior periods has not been restated and continues to be reported under the accounting standards in effect for those periods.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U.S. federal statutory rate to the Company’s effective tax rate was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Fiscal Year Ended April 30, 2026</w:t>
            </w:r>
          </w:p>
        </w:tc>
      </w:tr>
      <w:tr>
        <w:trPr>
          <w:trHeight w:val="38"/>
        </w:trPr>
        <w:tc>
          <w:tcPr>
            <w:tcW w:w="81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1"/>
        </w:trPr>
        <w:tc>
          <w:tcPr>
            <w:tcW w:w="8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8"/>
        </w:trPr>
        <w:tc>
          <w:tcPr>
            <w:tcW w:w="8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benefit at federal statutory rate</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(98,605)</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4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expense—net of federal benefit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5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(0.01)</w:t>
            </w:r>
          </w:p>
        </w:tc>
      </w:tr>
      <w:tr>
        <w:trPr>
          <w:trHeight w:val="25"/>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0.04</w:t>
            </w:r>
          </w:p>
        </w:tc>
      </w:tr>
      <w:tr>
        <w:trPr>
          <w:trHeight w:val="24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credit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20"/>
                <w:szCs w:val="20"/>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0.86</w:t>
            </w:r>
          </w:p>
        </w:tc>
      </w:tr>
      <w:tr>
        <w:trPr>
          <w:trHeight w:val="25"/>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(14.98)</w:t>
            </w:r>
          </w:p>
        </w:tc>
      </w:tr>
      <w:tr>
        <w:trPr>
          <w:trHeight w:val="27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2"/>
                <w:szCs w:val="22"/>
                <w:color w:val="auto"/>
                <w:vertAlign w:val="superscript"/>
              </w:rPr>
              <w:t>†</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29,614</w:t>
            </w:r>
          </w:p>
        </w:tc>
        <w:tc>
          <w:tcPr>
            <w:tcW w:w="100" w:type="dxa"/>
            <w:vAlign w:val="bottom"/>
          </w:tcPr>
          <w:p>
            <w:pPr>
              <w:spacing w:after="0"/>
              <w:rPr>
                <w:sz w:val="24"/>
                <w:szCs w:val="24"/>
                <w:color w:val="auto"/>
              </w:rPr>
            </w:pPr>
          </w:p>
        </w:tc>
        <w:tc>
          <w:tcPr>
            <w:tcW w:w="15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(6.31)</w:t>
            </w:r>
          </w:p>
        </w:tc>
      </w:tr>
      <w:tr>
        <w:trPr>
          <w:trHeight w:val="24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(0.32)</w:t>
            </w:r>
          </w:p>
        </w:tc>
      </w:tr>
      <w:tr>
        <w:trPr>
          <w:trHeight w:val="24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 (Gross)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0"/>
                <w:szCs w:val="20"/>
                <w:color w:val="auto"/>
              </w:rPr>
            </w:pPr>
          </w:p>
        </w:tc>
        <w:tc>
          <w:tcPr>
            <w:tcW w:w="15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(0.46)</w:t>
            </w:r>
          </w:p>
        </w:tc>
      </w:tr>
      <w:tr>
        <w:trPr>
          <w:trHeight w:val="25"/>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fiscal year ended April 30, 2026, state taxes in Texas comprise the majority of the domestic state and local income taxes, net of federal benefit.</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difference in the Company’s effective tax rate and the U.S. federal statutory tax rate is primarily due to recording a full valuation allowance and the increase of disallowed stock based compensation on the Company’s U.S.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16827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324"/>
        <w:spacing w:after="0" w:line="217" w:lineRule="auto"/>
        <w:tabs>
          <w:tab w:leader="none" w:pos="419"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amounts related to non-deductible stock-based compensation, including non-deductible executive compensation, in addition to excess tax benefits or shortfall from stock-based compensation.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expected tax provision at the statutory federal income tax rate to the Company’s recorded tax provision consisted of the following, prior to the adoption of ASU 2023-09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38"/>
        </w:trPr>
        <w:tc>
          <w:tcPr>
            <w:tcW w:w="82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8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8"/>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benefit at federal statutory rate</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(58,570)</w:t>
            </w:r>
          </w:p>
        </w:tc>
      </w:tr>
      <w:tr>
        <w:trPr>
          <w:trHeight w:val="24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expense—net of federal benefit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5"/>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credit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6"/>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66,556</w:t>
            </w:r>
          </w:p>
        </w:tc>
      </w:tr>
      <w:tr>
        <w:trPr>
          <w:trHeight w:val="23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r>
      <w:tr>
        <w:trPr>
          <w:trHeight w:val="26"/>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 740-10 Reserve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58"/>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required disclosures pursuant to ASU 2023-09 regarding the amount of income taxes paid, net of refunds received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3"/>
                <w:szCs w:val="13"/>
                <w:color w:val="auto"/>
              </w:rPr>
            </w:pPr>
          </w:p>
        </w:tc>
        <w:tc>
          <w:tcPr>
            <w:tcW w:w="18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186"/>
        </w:trPr>
        <w:tc>
          <w:tcPr>
            <w:tcW w:w="9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51"/>
        </w:trPr>
        <w:tc>
          <w:tcPr>
            <w:tcW w:w="93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25"/>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(net of refunds)</w:t>
            </w:r>
          </w:p>
        </w:tc>
        <w:tc>
          <w:tcPr>
            <w:tcW w:w="4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r>
      <w:tr>
        <w:trPr>
          <w:trHeight w:val="24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5"/>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0"/>
        </w:trPr>
        <w:tc>
          <w:tcPr>
            <w:tcW w:w="9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5"/>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5"/>
        </w:trPr>
        <w:tc>
          <w:tcPr>
            <w:tcW w:w="9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US and Local</w:t>
            </w:r>
          </w:p>
        </w:tc>
        <w:tc>
          <w:tcPr>
            <w:tcW w:w="4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5"/>
        </w:trPr>
        <w:tc>
          <w:tcPr>
            <w:tcW w:w="9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5"/>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r>
      <w:tr>
        <w:trPr>
          <w:trHeight w:val="240"/>
        </w:trPr>
        <w:tc>
          <w:tcPr>
            <w:tcW w:w="9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5"/>
        </w:trPr>
        <w:tc>
          <w:tcPr>
            <w:tcW w:w="9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40"/>
        </w:trPr>
        <w:tc>
          <w:tcPr>
            <w:tcW w:w="9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5"/>
        </w:trPr>
        <w:tc>
          <w:tcPr>
            <w:tcW w:w="9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Foreign</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4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5"/>
        </w:trPr>
        <w:tc>
          <w:tcPr>
            <w:tcW w:w="9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0"/>
        </w:trPr>
        <w:tc>
          <w:tcPr>
            <w:tcW w:w="9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tax year end April 30, 2026, state taxes in Texas comprise the majority of the domestic state and local income taxes, net of federal benefit.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deferred tax assets and liabilities as of April 30, 2026 and 2025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r>
      <w:tr>
        <w:trPr>
          <w:trHeight w:val="38"/>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2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4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payroll</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tcPr>
          <w:p>
            <w:pPr>
              <w:spacing w:after="0"/>
              <w:rPr>
                <w:sz w:val="20"/>
                <w:szCs w:val="20"/>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r>
      <w:tr>
        <w:trPr>
          <w:trHeight w:val="25"/>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5"/>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accruals &amp; reserves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r>
      <w:tr>
        <w:trPr>
          <w:trHeight w:val="24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w:t>
            </w:r>
          </w:p>
        </w:tc>
      </w:tr>
      <w:tr>
        <w:trPr>
          <w:trHeight w:val="25"/>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5"/>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4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179,554</w:t>
            </w:r>
          </w:p>
        </w:tc>
      </w:tr>
      <w:tr>
        <w:trPr>
          <w:trHeight w:val="25"/>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5"/>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R&amp;D tax credit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w:t>
            </w:r>
          </w:p>
        </w:tc>
      </w:tr>
      <w:tr>
        <w:trPr>
          <w:trHeight w:val="24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w:t>
            </w:r>
          </w:p>
        </w:tc>
      </w:tr>
      <w:tr>
        <w:trPr>
          <w:trHeight w:val="25"/>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5"/>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R&amp;D expenditure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93,759</w:t>
            </w:r>
          </w:p>
        </w:tc>
      </w:tr>
      <w:tr>
        <w:trPr>
          <w:trHeight w:val="24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5"/>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8"/>
        </w:trPr>
        <w:tc>
          <w:tcPr>
            <w:tcW w:w="8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416,357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335,737</w:t>
            </w:r>
          </w:p>
        </w:tc>
      </w:tr>
      <w:tr>
        <w:trPr>
          <w:trHeight w:val="24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(400,447)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(320,939)</w:t>
            </w:r>
          </w:p>
        </w:tc>
      </w:tr>
      <w:tr>
        <w:trPr>
          <w:trHeight w:val="25"/>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8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6"/>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5"/>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4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w:t>
            </w:r>
          </w:p>
        </w:tc>
      </w:tr>
      <w:tr>
        <w:trPr>
          <w:trHeight w:val="25"/>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5"/>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r>
      <w:tr>
        <w:trPr>
          <w:trHeight w:val="233"/>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(14,798)</w:t>
            </w:r>
          </w:p>
        </w:tc>
      </w:tr>
      <w:tr>
        <w:trPr>
          <w:trHeight w:val="25"/>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its deferred tax assets are recoverable. In assessing the ultimate realizability of its net deferred tax assets, the Company considers all available evidence, including cumulative losses since inception and expected future losses and as such, management does not believe it is more likely than not that the deferred tax assets will be realized. Accordingly, a full valuation allowance has been established in the U.S. and no deferred tax assets and related tax benefit have been recognized in the accompanying financial statements. The valuation allowance as of April 30, 2026 and 2025 was $400.4 million and $320.9 million, respectively. The net change in the valuation allowance for the year was an increase of $79.5 million. The increase in Company’s valuation allowance compared to the prior year was primarily due to an increase in deferred tax assets arising from capitalized R&amp;D expenditures and net operating loss.</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April 30, 2026 and 2025, the Company had net operating loss carryforwards for federal income tax purposes of approximately $1,044.5 million and $764.7 million, respectively. The federal net operating loss carryforwards will expire, if not utilized, beginning in year 2029. Federal research and development tax credit carryforwards of approximately $29.9 million, will expire beginning in 2032 if not utilized. Federal charitable contribution carryforwards of approximately $11.5 million will expire beginning in 2027 if not utilized.</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as of April 30, 2026 and 2025, the Company had net operating loss carryforwards for state income tax purposes of approximately $400.4 million and $310.7 million, respectively. The state net operating loss carryforwards will expire, if not utilized, beginning in the year 2029. The Company had state research and development tax credit carryforwards of approximately $23.3 million. The state research and development tax credits do not expire.</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Tax Reform Act of 1986 and similar legislation impose substantial restrictions on the utilization of net operating losses and tax credit carryforwards in the event that there is a change in ownership as provided by Section 382 of the Internal Revenue Code and similar state provisions. Such a limitation could result in the expiration of the net operating loss carryforwards and tax credits before utilization.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Company’s total gross unrecognized tax benefits was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r>
      <w:tr>
        <w:trPr>
          <w:trHeight w:val="38"/>
        </w:trPr>
        <w:tc>
          <w:tcPr>
            <w:tcW w:w="82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8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2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May 1</w:t>
            </w:r>
          </w:p>
        </w:tc>
        <w:tc>
          <w:tcPr>
            <w:tcW w:w="88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22,561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w:t>
            </w:r>
          </w:p>
        </w:tc>
      </w:tr>
      <w:tr>
        <w:trPr>
          <w:trHeight w:val="23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Increases for tax positions related to the prior year</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
        </w:trPr>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5"/>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Increases for tax positions related to the current year</w:t>
            </w: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r>
      <w:tr>
        <w:trPr>
          <w:trHeight w:val="25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April 30</w:t>
            </w:r>
          </w:p>
        </w:tc>
        <w:tc>
          <w:tcPr>
            <w:tcW w:w="880" w:type="dxa"/>
            <w:vAlign w:val="bottom"/>
            <w:tcBorders>
              <w:top w:val="single" w:sz="8" w:color="auto"/>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26,945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22,561</w:t>
            </w:r>
          </w:p>
        </w:tc>
      </w:tr>
      <w:tr>
        <w:trPr>
          <w:trHeight w:val="20"/>
        </w:trPr>
        <w:tc>
          <w:tcPr>
            <w:tcW w:w="8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April 30, 2026, $0.3 million of unrecognized tax benefits, if recognized, would impact the Company’s effective income tax rate, given the Company’s full valuation allowance position.</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income tax expense. As of April 30, 2026, the Company had immaterial cumulative interest and penalties related to unrecognized tax benefits. As of April 30, 2025, the Company had immaterial cumulative interest and penalties related to unrecognized tax benefits. The Company does not anticipate a significant change in the unrecognized tax benefits over the next 12 months.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American Rescue Plan Act of 2021 (“ARPA”) was signed by President Biden on March 11, 2021. The legislation revised IRC Section 162(m) which will go into effect beginning with tax years that begin after December 31, 2026. It expanded the definition of “covered employees” to include an additional five highest-compensated employees who do not remain as covered employees indefinitely. The Company has assessed the relevant provisions and concludes the tax provisions of the ARPA did not have a material impact on the Company’s consolidated financial statements for the fiscal year ended April 30, 2026.</w:t>
      </w:r>
    </w:p>
    <w:p>
      <w:pPr>
        <w:spacing w:after="0" w:line="11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introducing several significant corporate income tax provisions, including the option to immediately deduct domestic research and development expenses or continue to capitalize and amortize such expenses for tax years beginning after December 31, 2024, the permanent extension of 100% bonus depreciation for qualified property placed in service after January 19, 2025, and modifications to international tax rules such as future changes to the calculation of Global Intangible Low-Taxed Income (GILTI) and the Foreign-Derived Intangible Income (FDII) deduction. The impacts of OBBBA on our financial statements for the fiscal year ended April 30, 2026 were not material because of the valuation allowance against our deferred tax assets. As our business operations or financial results change, or as additional regulations and administrative guidance are issued, we will evaluate any further impacts to our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Basic net loss per share was the same as diluted net loss per share for the periods presented because the Company was in a loss position for fiscal years ended April 30, 2026, 2025 and 2024. For purposes of this calculation, stock options, RSUs, Class A common stock issuable in connection with the 2020 ESPP and early exercised stock options subject to repurchase are considered to be potential common stock equivalents but have been excluded from the calculation of diluted net loss per share attributable to common stockholders as their effect is anti-dilutive.</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per share data):</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gridSpan w:val="6"/>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9"/>
              </w:rPr>
              <w:t>Fiscal Year Ended April 30,</w:t>
            </w:r>
          </w:p>
        </w:tc>
        <w:tc>
          <w:tcPr>
            <w:tcW w:w="1080" w:type="dxa"/>
            <w:vAlign w:val="bottom"/>
          </w:tcPr>
          <w:p>
            <w:pPr>
              <w:spacing w:after="0"/>
              <w:rPr>
                <w:sz w:val="16"/>
                <w:szCs w:val="16"/>
                <w:color w:val="auto"/>
              </w:rPr>
            </w:pPr>
          </w:p>
        </w:tc>
      </w:tr>
      <w:tr>
        <w:trPr>
          <w:trHeight w:val="38"/>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2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4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(470,369)</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(288,702)</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(279,696)</w:t>
            </w:r>
          </w:p>
        </w:tc>
      </w:tr>
      <w:tr>
        <w:trPr>
          <w:trHeight w:val="25"/>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Class A and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1"/>
        </w:trPr>
        <w:tc>
          <w:tcPr>
            <w:tcW w:w="6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B common stockholders, basic and diluted</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119,362</w:t>
            </w:r>
          </w:p>
        </w:tc>
      </w:tr>
      <w:tr>
        <w:trPr>
          <w:trHeight w:val="26"/>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attributable to common stockholders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 net loss per Class A and Class B common shares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bl>
    <w:p>
      <w:pPr>
        <w:spacing w:after="0" w:line="2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 presented because including them would have had an antidilutive effect were as follows (in thousands):</w:t>
      </w:r>
    </w:p>
    <w:p>
      <w:pPr>
        <w:spacing w:after="0" w:line="15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76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7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32,419</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31,371</w:t>
            </w:r>
          </w:p>
        </w:tc>
      </w:tr>
      <w:tr>
        <w:trPr>
          <w:trHeight w:val="23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19,414</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w:t>
            </w:r>
          </w:p>
        </w:tc>
      </w:tr>
      <w:tr>
        <w:trPr>
          <w:trHeight w:val="26"/>
        </w:trPr>
        <w:tc>
          <w:tcPr>
            <w:tcW w:w="6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6"/>
        </w:trPr>
        <w:tc>
          <w:tcPr>
            <w:tcW w:w="67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Transactions with Baker Hughes Company</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June 2019, the Company entered into multiple agreements with Baker Hughes under which Baker Hughes received a three-year subscription to use the Company’s software. This arrangement was revised in June 2020 to extend the term to five years and modify the subscription fees due. Under the agreements as revised in June 2020, Baker Hughes made minimum, non-cancellable revenue commitments, inclusive of their direct subscription fees and third party revenue generated through a joint marketing arrangement with Baker Hughes in the amount of $46.7 million in fiscal year 2020, $53.3 million in fiscal year ending April 30, 2021, $75.0 million in the fiscal year ending April 30, 2022, $125.0 million in fiscal year ending April 30, 2023, and $150.0 million in fiscal year ending April 30, 2024. The Company also agreed to pay Baker Hughes a sales commission on subscriptions and services offerings it resold in excess of the minimum revenue commitments.</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and Baker Hughes again revised this arrangement in October 2021 to extend the term by an additional year, for a total of six years, with an expiration date in the fiscal year ending April 30, 2025, to modify the amount of Baker Hughes’ annual commitments to $85.0 million in fiscal year 2023, $110.0 million in fiscal year 2024, and $125.0 million in fiscal year 2025, and to revise the structure of the arrangement to simplify the sales process for Baker Hughes. Beginning in the fiscal year ended April 30, 2023, Baker Hughes’ annual commitments were reduced by any revenue the Company generates from certain customers. Known and estimable revenue from certain customers related to the arrangement is a form of variable consideration, which was determined at contract inception and reduced the revenue recognized from the arrangement. The Company acknowledged that Baker Hughes had met its minimum annual revenue commitment for the fiscal year 2022 and recognized $16.0 million of sales commission as deferred costs during the fiscal quarter ended October 31, 2021 related to this arrangement, which will be amortized over an expected period of five years.</w:t>
      </w:r>
    </w:p>
    <w:p>
      <w:pPr>
        <w:spacing w:after="0" w:line="13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and Baker Hughes again revised and expanded the agreements in January 2023. Pursuant to this revised arrangement, the frequency of payments due from Baker Hughes to the Company was accelerated, Baker Hughes obtained expanded reseller rights, and the Company agreed to provide additional products and services. This results in an increase of the overall transaction price of the arrangement by eliminating potential variable consideration attributable to any revenue the Company generated from certain customers. The amount of consideration to the Company may increase if Baker Hughes exceeds certain thresholds. The Company also provided Baker Hughes the option to extend the subscription term upon payment of a renewal fee. Pursuant to the January 2023 revised agreement, the transaction price of the Baker Hughes arrangement is not impacted by revenue the Company recognizes from certain customers in the oil and gas field.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Baker Hughes ceased to qualify as a related party of the Company as of June 30, 2023 and the amounts disclosed related to them are accordingly presented only for the periods in which they were considered a related party.</w:t>
      </w:r>
    </w:p>
    <w:p>
      <w:pPr>
        <w:spacing w:after="0" w:line="11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Company recognized subscription revenue from direct subscription fees from Baker Hughes of $10.6 million during the fiscal years ended April 30, 2024. The Company recognized professional services revenue from Baker Hughes of $5.8 million during the during the fiscal years ended April 30, 2024.</w:t>
      </w:r>
    </w:p>
    <w:p>
      <w:pPr>
        <w:spacing w:after="0" w:line="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recognized sales and marketing expenses related to Baker Hughes of $0.8 million (inclusive of amortization of $0.8 million of deferred commissions) for the fiscal years ended April 30, 2024.</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Sublease Arrangement</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February 21, 2023, the Company entered into a sublease agreement (the “Sublease”) with First Virtual Group, Inc. (the “Subtenant”), whereby the Company agreed to sublease to the Subtenant approximately 3,130 square feet of space located in Redwood City, California (the “Subleased Space”). The Company previously entered into a lease (the “Original Lease”) with DWF IV 1400-1500 Seaport Blvd, LLC dated August 25, 2021 for approximately 283,015 square feet of office space split between two office towers, including the Subleased Space. Thomas M. Siebel, Chief Executive Officer and Chairman of the Company, serves as Chairman of the Subtenant. The term of the Sublease commenced on February 1, 2023. The Sublease was automatically renewed on October 1, 2023 and will be automatically renewed for successive one year periods thereafter unless the Subtenant notifies the Company of its election to terminate the Sublease, up to the expiration date of the Original Lease. The monthly base rent for the Sublease is equal to the rate per square foot paid by the Company as stated in the Original Lease. The monthly base rent the Subtenant pays was approximately $8,608 through September 30, 2023, increasing annually thereafter. In addition to base rent, the Subtenant is responsible for its allocated share of costs incurred and expenditures made by the Company in the operation and management of the Subleased Space.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February 24, 2026, the Company's Board of Directors approved a restructuring plan (the “Plan”) intended to improve operating efficiency and reposition the Company for long-term success. The Plan includes (i) a target reduction of approximately 26% of the Company's global workforce, representing approximately 280 full-time employees, which was completed during the fourth quarter of fiscal year 2026, and (ii) a target reduction of approximately 30% in annualized vendor-related costs through contract termination and rationalization actions, which is expected to be completed by approximately the second quarter of fiscal year 2027. The Company recognized restructuring charges of $10.8 million during the fiscal year ended April 30, 2026, of which $5.2 million represented cash-based severance and related employee termination costs, all of which were paid during the fiscal year ended April 30, 2026, and $5.6 million represented non-cash charges related to stock-based compensation and write-off of property and equipment.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Executive Leadership Transition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Effective May 8, 2026, Thomas M. Siebel resumed the role of Chief Executive Officer of the Company and continues to serve as Chairman of the Board of Directors. Stephen Ehikian continues as President of the Company, reporting to Mr. Siebel.</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Cummins Inc. Trade Secret Litigation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November 2023, the Company filed a lawsuit against Cummins Inc. in the Superior Court of the State of Delaware, alleging misappropriation of the Company's trade secrets.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May 19, 2026, a jury returned a unanimous verdict in favor of the Company, finding that Cummins had misappropriated C3 AI's trade secrets and awarding the Company $23.3 million in damages.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 ended April 30, 2026, the Company did not recognize any amounts in its consolidated financial statements related to the jury’s verdict. There can be no guarantee that the Company will be able to collect all or any portion of the damages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8" w:name="page129"/>
    <w:bookmarkEnd w:id="128"/>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Exchange Act Rules 13a-15(e) and 15d-15(e)) as of the end of the period covered by this Annual Report on Form 10-K, and have concluded that, based on such evaluation, our disclosure controls and procedures were effective as of April 30, 2026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preparation of financial statements for external purposes in accordance with generally accepted accounting principles. Our management conducted an assessment of the effectiveness of the Company’s internal control over financial reporting as of April 30, 2026 based on criteria established in Internal Control - Integrated Framework (2013) issued by the Committee of Sponsoring Organizations of the Treadway Commission. Based on the assessment, our management has concluded that our internal control over financial reporting was effective as of April 30, 2026.</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has issued an audit report with respect to our internal control over financial reporting, which is included on the following page.</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quarter ended April 30, 2026 that have materially affected, or are reasonably likely to materially affect, our internal control over financial reporting.</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229" w:lineRule="exact"/>
        <w:rPr>
          <w:sz w:val="20"/>
          <w:szCs w:val="20"/>
          <w:color w:val="auto"/>
        </w:rPr>
      </w:pPr>
    </w:p>
    <w:p>
      <w:pPr>
        <w:ind w:left="320" w:right="2440" w:firstLine="2435"/>
        <w:spacing w:after="0" w:line="43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C3.ai,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C3.ai, Inc. and subsidiaries (the “Company”) as of April 30,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April 30,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April 30, 2026, of the Company and our report dated June 23, 2026, expressed an unqualified opinion on those financial statements.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6"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June 23, 2026</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April 30, 2026, our directors and officers (as defined in Rule 16a-1(f) under the Exchange Act) adopted or terminated the contracts, instructions or written plans for the purchase or sale of our securities set forth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Total Shares of</w:t>
            </w:r>
          </w:p>
        </w:tc>
        <w:tc>
          <w:tcPr>
            <w:tcW w:w="130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Total Shares of</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Rule 10b5-</w:t>
            </w:r>
          </w:p>
        </w:tc>
        <w:tc>
          <w:tcPr>
            <w:tcW w:w="9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Non-Rule</w:t>
            </w:r>
          </w:p>
        </w:tc>
        <w:tc>
          <w:tcPr>
            <w:tcW w:w="1380" w:type="dxa"/>
            <w:vAlign w:val="bottom"/>
          </w:tcPr>
          <w:p>
            <w:pPr>
              <w:jc w:val="center"/>
              <w:ind w:left="4"/>
              <w:spacing w:after="0"/>
              <w:rPr>
                <w:sz w:val="20"/>
                <w:szCs w:val="20"/>
                <w:color w:val="auto"/>
              </w:rPr>
            </w:pPr>
            <w:r>
              <w:rPr>
                <w:rFonts w:ascii="Times New Roman" w:cs="Times New Roman" w:eastAsia="Times New Roman" w:hAnsi="Times New Roman"/>
                <w:sz w:val="15"/>
                <w:szCs w:val="15"/>
                <w:b w:val="1"/>
                <w:bCs w:val="1"/>
                <w:color w:val="auto"/>
                <w:w w:val="99"/>
              </w:rPr>
              <w:t>Common Stock to</w:t>
            </w:r>
          </w:p>
        </w:tc>
        <w:tc>
          <w:tcPr>
            <w:tcW w:w="130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180" w:type="dxa"/>
            <w:vAlign w:val="bottom"/>
          </w:tcPr>
          <w:p>
            <w:pPr>
              <w:ind w:left="520"/>
              <w:spacing w:after="0"/>
              <w:rPr>
                <w:sz w:val="20"/>
                <w:szCs w:val="20"/>
                <w:color w:val="auto"/>
              </w:rPr>
            </w:pPr>
            <w:r>
              <w:rPr>
                <w:rFonts w:ascii="Times New Roman" w:cs="Times New Roman" w:eastAsia="Times New Roman" w:hAnsi="Times New Roman"/>
                <w:sz w:val="15"/>
                <w:szCs w:val="15"/>
                <w:b w:val="1"/>
                <w:bCs w:val="1"/>
                <w:color w:val="auto"/>
              </w:rPr>
              <w:t>Name and Position</w:t>
            </w:r>
          </w:p>
        </w:tc>
        <w:tc>
          <w:tcPr>
            <w:tcW w:w="1220" w:type="dxa"/>
            <w:vAlign w:val="bottom"/>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w w:val="98"/>
              </w:rPr>
              <w:t>Action</w:t>
            </w:r>
          </w:p>
        </w:tc>
        <w:tc>
          <w:tcPr>
            <w:tcW w:w="1420" w:type="dxa"/>
            <w:vAlign w:val="bottom"/>
          </w:tcPr>
          <w:p>
            <w:pPr>
              <w:jc w:val="center"/>
              <w:ind w:left="3"/>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1*</w:t>
            </w:r>
          </w:p>
        </w:tc>
        <w:tc>
          <w:tcPr>
            <w:tcW w:w="92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10b5-1**</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be Sold</w:t>
            </w:r>
          </w:p>
        </w:tc>
        <w:tc>
          <w:tcPr>
            <w:tcW w:w="130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to be Purchased</w:t>
            </w:r>
          </w:p>
        </w:tc>
        <w:tc>
          <w:tcPr>
            <w:tcW w:w="17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w w:val="99"/>
              </w:rPr>
              <w:t>Expiration Date</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Hitesh Lath</w:t>
            </w:r>
          </w:p>
        </w:tc>
        <w:tc>
          <w:tcPr>
            <w:tcW w:w="1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Senior Vice President, Chief</w:t>
            </w:r>
          </w:p>
        </w:tc>
        <w:tc>
          <w:tcPr>
            <w:tcW w:w="1220" w:type="dxa"/>
            <w:vAlign w:val="bottom"/>
            <w:vMerge w:val="restart"/>
            <w:shd w:val="clear" w:color="auto" w:fill="CCEEFF"/>
          </w:tcPr>
          <w:p>
            <w:pPr>
              <w:jc w:val="center"/>
              <w:ind w:left="23"/>
              <w:spacing w:after="0"/>
              <w:rPr>
                <w:sz w:val="20"/>
                <w:szCs w:val="20"/>
                <w:color w:val="auto"/>
              </w:rPr>
            </w:pPr>
            <w:r>
              <w:rPr>
                <w:rFonts w:ascii="Times New Roman" w:cs="Times New Roman" w:eastAsia="Times New Roman" w:hAnsi="Times New Roman"/>
                <w:sz w:val="16"/>
                <w:szCs w:val="16"/>
                <w:color w:val="auto"/>
                <w:w w:val="99"/>
              </w:rPr>
              <w:t>Adoption</w:t>
            </w:r>
          </w:p>
        </w:tc>
        <w:tc>
          <w:tcPr>
            <w:tcW w:w="1420" w:type="dxa"/>
            <w:vAlign w:val="bottom"/>
            <w:vMerge w:val="restart"/>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rPr>
              <w:t>March 16, 2026</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75,000</w:t>
            </w:r>
          </w:p>
        </w:tc>
        <w:tc>
          <w:tcPr>
            <w:tcW w:w="130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vMerge w:val="restart"/>
            <w:shd w:val="clear" w:color="auto" w:fill="CCEEFF"/>
          </w:tcPr>
          <w:p>
            <w:pPr>
              <w:jc w:val="center"/>
              <w:ind w:right="63"/>
              <w:spacing w:after="0"/>
              <w:rPr>
                <w:sz w:val="20"/>
                <w:szCs w:val="20"/>
                <w:color w:val="auto"/>
              </w:rPr>
            </w:pPr>
            <w:r>
              <w:rPr>
                <w:rFonts w:ascii="Times New Roman" w:cs="Times New Roman" w:eastAsia="Times New Roman" w:hAnsi="Times New Roman"/>
                <w:sz w:val="16"/>
                <w:szCs w:val="16"/>
                <w:color w:val="auto"/>
                <w:w w:val="98"/>
              </w:rPr>
              <w:t>December 31, 2026</w:t>
            </w:r>
          </w:p>
        </w:tc>
        <w:tc>
          <w:tcPr>
            <w:tcW w:w="0" w:type="dxa"/>
            <w:vAlign w:val="bottom"/>
          </w:tcPr>
          <w:p>
            <w:pPr>
              <w:spacing w:after="0"/>
              <w:rPr>
                <w:sz w:val="1"/>
                <w:szCs w:val="1"/>
                <w:color w:val="auto"/>
              </w:rPr>
            </w:pPr>
          </w:p>
        </w:tc>
      </w:tr>
      <w:tr>
        <w:trPr>
          <w:trHeight w:val="117"/>
        </w:trPr>
        <w:tc>
          <w:tcPr>
            <w:tcW w:w="2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Financial Officer and Chief</w:t>
            </w:r>
          </w:p>
        </w:tc>
        <w:tc>
          <w:tcPr>
            <w:tcW w:w="1220" w:type="dxa"/>
            <w:vAlign w:val="bottom"/>
            <w:vMerge w:val="continue"/>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380" w:type="dxa"/>
            <w:vAlign w:val="bottom"/>
            <w:vMerge w:val="continue"/>
            <w:shd w:val="clear" w:color="auto" w:fill="CCEEFF"/>
          </w:tcPr>
          <w:p>
            <w:pPr>
              <w:spacing w:after="0"/>
              <w:rPr>
                <w:sz w:val="10"/>
                <w:szCs w:val="10"/>
                <w:color w:val="auto"/>
              </w:rPr>
            </w:pPr>
          </w:p>
        </w:tc>
        <w:tc>
          <w:tcPr>
            <w:tcW w:w="130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180" w:type="dxa"/>
            <w:vAlign w:val="bottom"/>
            <w:vMerge w:val="continue"/>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Administrative Officer</w:t>
            </w: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680" w:firstLine="6"/>
        <w:spacing w:after="0" w:line="335" w:lineRule="auto"/>
        <w:tabs>
          <w:tab w:leader="none" w:pos="13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 ** “Non-Rule 10b5-1 trading arrangement” as defined in Item 408(c) of Regulation S-K under the Exchange Act.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0" w:lineRule="exact"/>
        <w:rPr>
          <w:sz w:val="20"/>
          <w:szCs w:val="20"/>
          <w:color w:val="auto"/>
        </w:rPr>
      </w:pPr>
    </w:p>
    <w:p>
      <w:pPr>
        <w:spacing w:after="0" w:line="2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in the next paragraph) will be included in our definitive proxy statement for our 2026 annual meeting of stockholders, or our 2026 Proxy Statement, to be filed with the SEC within 120 days after the end of our fiscal year ended April 30, 2026, and is incorporated herein by reference.</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code of conduct that applies to all of our employees, officers, and directors, including our Chief Executive Officer, Chief Financial Officer and other executive and senior financial officers. The full text of our code of conduct is posted on the investor relations section on our website, which is located at https://ir.c3.ai. We intend to satisfy the disclosure requirement under Item 5.05 of Form 8-K regarding amendment to, or waiver from, a provision of our code of conduct by posting such information in the investor relations section of our website.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our Insider Trading Policy, employees, directors, and designated consultants, as well as immediate family members or others subject to the influence, direction or control of these individuals are prohibited from insider trading, hedging transactions, pledges, holding securities in margin accounts, short sales and transactions involving derivative securities, such as exchange-traded put or call options or swaps relating to our securities. A copy of our Insider Trading Policy has been filed as an exhibit to this report.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and is incorporated herein by reference.</w:t>
      </w:r>
    </w:p>
    <w:p>
      <w:pPr>
        <w:spacing w:after="0" w:line="200" w:lineRule="exact"/>
        <w:rPr>
          <w:sz w:val="20"/>
          <w:szCs w:val="20"/>
          <w:color w:val="auto"/>
        </w:rPr>
      </w:pPr>
    </w:p>
    <w:p>
      <w:pPr>
        <w:spacing w:after="0" w:line="3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and is incorporated herein by reference.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and is incorporated herein by reference.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p>
    <w:p>
      <w:pPr>
        <w:spacing w:after="0" w:line="2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66" w:lineRule="exact"/>
        <w:rPr>
          <w:sz w:val="20"/>
          <w:szCs w:val="20"/>
          <w:color w:val="auto"/>
        </w:rPr>
      </w:pPr>
    </w:p>
    <w:p>
      <w:pPr>
        <w:ind w:left="560" w:hanging="236"/>
        <w:spacing w:after="0"/>
        <w:tabs>
          <w:tab w:leader="none" w:pos="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Index to Financial Statements under Part II, Item 8 of this Annual Report on Form 10-K.</w:t>
      </w:r>
    </w:p>
    <w:p>
      <w:pPr>
        <w:spacing w:after="0" w:line="164" w:lineRule="exact"/>
        <w:rPr>
          <w:sz w:val="20"/>
          <w:szCs w:val="20"/>
          <w:color w:val="auto"/>
        </w:rPr>
      </w:pPr>
    </w:p>
    <w:p>
      <w:pPr>
        <w:ind w:left="1280" w:hanging="320"/>
        <w:spacing w:after="0"/>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Schedules not listed above have been omitted because they are not required, not applicable, or the required information is otherwise included.</w:t>
      </w:r>
    </w:p>
    <w:p>
      <w:pPr>
        <w:spacing w:after="0" w:line="164" w:lineRule="exact"/>
        <w:rPr>
          <w:sz w:val="20"/>
          <w:szCs w:val="20"/>
          <w:color w:val="auto"/>
        </w:rPr>
      </w:pPr>
    </w:p>
    <w:p>
      <w:pPr>
        <w:ind w:left="1280" w:hanging="320"/>
        <w:spacing w:after="0"/>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as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11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114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1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08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0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960" w:type="dxa"/>
            <w:vAlign w:val="bottom"/>
            <w:gridSpan w:val="3"/>
          </w:tcPr>
          <w:p>
            <w:pPr>
              <w:jc w:val="center"/>
              <w:ind w:left="652"/>
              <w:spacing w:after="0" w:line="192"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80" w:type="dxa"/>
            <w:vAlign w:val="bottom"/>
            <w:gridSpan w:val="19"/>
          </w:tcPr>
          <w:p>
            <w:pPr>
              <w:spacing w:after="0" w:line="19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Amended and Restated Certificate of Incorporation of the Registrant.</w:t>
              </w:r>
            </w:hyperlink>
          </w:p>
        </w:tc>
        <w:tc>
          <w:tcPr>
            <w:tcW w:w="1020" w:type="dxa"/>
            <w:vAlign w:val="bottom"/>
            <w:gridSpan w:val="2"/>
          </w:tcPr>
          <w:p>
            <w:pPr>
              <w:jc w:val="center"/>
              <w:ind w:right="100"/>
              <w:spacing w:after="0" w:line="192"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001-39744</w:t>
            </w:r>
          </w:p>
        </w:tc>
        <w:tc>
          <w:tcPr>
            <w:tcW w:w="100" w:type="dxa"/>
            <w:vAlign w:val="bottom"/>
          </w:tcPr>
          <w:p>
            <w:pPr>
              <w:spacing w:after="0"/>
              <w:rPr>
                <w:sz w:val="16"/>
                <w:szCs w:val="16"/>
                <w:color w:val="auto"/>
              </w:rPr>
            </w:pPr>
          </w:p>
        </w:tc>
        <w:tc>
          <w:tcPr>
            <w:tcW w:w="10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130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18"/>
                <w:szCs w:val="18"/>
                <w:color w:val="auto"/>
                <w:w w:val="98"/>
              </w:rPr>
              <w:t>December 11, 20</w:t>
            </w: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60" w:type="dxa"/>
            <w:vAlign w:val="bottom"/>
            <w:gridSpan w:val="3"/>
          </w:tcPr>
          <w:p>
            <w:pPr>
              <w:jc w:val="center"/>
              <w:ind w:left="652"/>
              <w:spacing w:after="0"/>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gridSpan w:val="1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Amended and Restated Bylaws of the Registrant.</w:t>
              </w:r>
            </w:hyperlink>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November 30, 20</w:t>
            </w: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60" w:type="dxa"/>
            <w:vAlign w:val="bottom"/>
            <w:gridSpan w:val="3"/>
          </w:tcPr>
          <w:p>
            <w:pPr>
              <w:jc w:val="center"/>
              <w:ind w:left="652"/>
              <w:spacing w:after="0"/>
              <w:rPr>
                <w:rFonts w:ascii="Times New Roman" w:cs="Times New Roman" w:eastAsia="Times New Roman" w:hAnsi="Times New Roman"/>
                <w:sz w:val="18"/>
                <w:szCs w:val="18"/>
                <w:color w:val="0000FF"/>
                <w:w w:val="97"/>
              </w:rPr>
            </w:pPr>
            <w:hyperlink r:id="rId16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gridSpan w:val="19"/>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Class A common stock certificate of the Registrant.</w:t>
              </w:r>
            </w:hyperlink>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November 30, 20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60" w:type="dxa"/>
            <w:vAlign w:val="bottom"/>
            <w:gridSpan w:val="3"/>
          </w:tcPr>
          <w:p>
            <w:pPr>
              <w:jc w:val="center"/>
              <w:ind w:left="652"/>
              <w:spacing w:after="0"/>
              <w:rPr>
                <w:rFonts w:ascii="Times New Roman" w:cs="Times New Roman" w:eastAsia="Times New Roman" w:hAnsi="Times New Roman"/>
                <w:sz w:val="18"/>
                <w:szCs w:val="18"/>
                <w:color w:val="0000FF"/>
                <w:w w:val="97"/>
              </w:rPr>
            </w:pPr>
            <w:hyperlink r:id="rId16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80" w:type="dxa"/>
            <w:vAlign w:val="bottom"/>
            <w:gridSpan w:val="1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Amended and Restated Registration Rights Agreement by and among</w:t>
              </w:r>
            </w:hyperlink>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November 23, 20</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Borders>
              <w:top w:val="single" w:sz="8" w:color="0000FF"/>
            </w:tcBorders>
            <w:gridSpan w:val="16"/>
          </w:tcPr>
          <w:p>
            <w:pPr>
              <w:spacing w:after="0" w:line="172"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the Registrant and certain of its stockholders, dated August 15, 2019.</w:t>
              </w:r>
            </w:hyperlink>
          </w:p>
        </w:tc>
        <w:tc>
          <w:tcPr>
            <w:tcW w:w="16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60" w:type="dxa"/>
            <w:vAlign w:val="bottom"/>
            <w:gridSpan w:val="4"/>
          </w:tcPr>
          <w:p>
            <w:pPr>
              <w:jc w:val="center"/>
              <w:ind w:left="552"/>
              <w:spacing w:after="0"/>
              <w:rPr>
                <w:rFonts w:ascii="Times New Roman" w:cs="Times New Roman" w:eastAsia="Times New Roman" w:hAnsi="Times New Roman"/>
                <w:sz w:val="18"/>
                <w:szCs w:val="18"/>
                <w:color w:val="0000FF"/>
                <w:w w:val="94"/>
              </w:rPr>
            </w:pPr>
            <w:hyperlink r:id="rId165">
              <w:r>
                <w:rPr>
                  <w:rFonts w:ascii="Times New Roman" w:cs="Times New Roman" w:eastAsia="Times New Roman" w:hAnsi="Times New Roman"/>
                  <w:sz w:val="18"/>
                  <w:szCs w:val="18"/>
                  <w:color w:val="0000FF"/>
                  <w:w w:val="94"/>
                </w:rPr>
                <w:t>4.</w:t>
              </w:r>
              <w:r>
                <w:rPr>
                  <w:rFonts w:ascii="Times New Roman" w:cs="Times New Roman" w:eastAsia="Times New Roman" w:hAnsi="Times New Roman"/>
                  <w:sz w:val="18"/>
                  <w:szCs w:val="18"/>
                  <w:u w:val="single" w:color="auto"/>
                  <w:color w:val="0000FF"/>
                  <w:w w:val="94"/>
                </w:rPr>
                <w:t>2.1</w:t>
              </w:r>
            </w:hyperlink>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0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Amendment to Registration Rights Agreement and Waiver of</w:t>
              </w:r>
            </w:hyperlink>
          </w:p>
        </w:tc>
        <w:tc>
          <w:tcPr>
            <w:tcW w:w="180" w:type="dxa"/>
            <w:vAlign w:val="bottom"/>
            <w:gridSpan w:val="4"/>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4.2.1</w:t>
            </w:r>
          </w:p>
        </w:tc>
        <w:tc>
          <w:tcPr>
            <w:tcW w:w="100" w:type="dxa"/>
            <w:vAlign w:val="bottom"/>
          </w:tcPr>
          <w:p>
            <w:pPr>
              <w:spacing w:after="0"/>
              <w:rPr>
                <w:sz w:val="21"/>
                <w:szCs w:val="21"/>
                <w:color w:val="auto"/>
              </w:rPr>
            </w:pPr>
          </w:p>
        </w:tc>
        <w:tc>
          <w:tcPr>
            <w:tcW w:w="130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w w:val="99"/>
              </w:rPr>
              <w:t>June 25, 2021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60" w:type="dxa"/>
            <w:vAlign w:val="bottom"/>
            <w:tcBorders>
              <w:bottom w:val="single" w:sz="8" w:color="0000FF"/>
            </w:tcBorders>
            <w:gridSpan w:val="12"/>
          </w:tcPr>
          <w:p>
            <w:pPr>
              <w:spacing w:after="0" w:line="192" w:lineRule="exact"/>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Registration Rights and Notice by and among the Registrant and</w:t>
              </w:r>
            </w:hyperlink>
          </w:p>
        </w:tc>
        <w:tc>
          <w:tcPr>
            <w:tcW w:w="520" w:type="dxa"/>
            <w:vAlign w:val="bottom"/>
            <w:gridSpan w:val="7"/>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bottom w:val="single" w:sz="8" w:color="0000FF"/>
            </w:tcBorders>
            <w:gridSpan w:val="8"/>
          </w:tcPr>
          <w:p>
            <w:pPr>
              <w:spacing w:after="0" w:line="192" w:lineRule="exact"/>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certain of its stockholders, dated December 3, 2020.</w:t>
              </w:r>
            </w:hyperlink>
          </w:p>
        </w:tc>
        <w:tc>
          <w:tcPr>
            <w:tcW w:w="1400" w:type="dxa"/>
            <w:vAlign w:val="bottom"/>
            <w:gridSpan w:val="11"/>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960" w:type="dxa"/>
            <w:vAlign w:val="bottom"/>
            <w:gridSpan w:val="3"/>
          </w:tcPr>
          <w:p>
            <w:pPr>
              <w:jc w:val="center"/>
              <w:ind w:left="652"/>
              <w:spacing w:after="0"/>
              <w:rPr>
                <w:rFonts w:ascii="Times New Roman" w:cs="Times New Roman" w:eastAsia="Times New Roman" w:hAnsi="Times New Roman"/>
                <w:sz w:val="18"/>
                <w:szCs w:val="18"/>
                <w:color w:val="0000FF"/>
                <w:w w:val="97"/>
              </w:rPr>
            </w:pPr>
            <w:hyperlink r:id="rId16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80" w:type="dxa"/>
            <w:vAlign w:val="bottom"/>
            <w:gridSpan w:val="1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Voting Agreement by and among the Registrant, Thomas M. Siebel</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November 13, 20</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tcBorders>
            <w:gridSpan w:val="14"/>
          </w:tcPr>
          <w:p>
            <w:pPr>
              <w:spacing w:after="0" w:line="172"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and Patricia A. House, dated January 15, 2015.</w:t>
              </w:r>
            </w:hyperlink>
          </w:p>
        </w:tc>
        <w:tc>
          <w:tcPr>
            <w:tcW w:w="320" w:type="dxa"/>
            <w:vAlign w:val="bottom"/>
            <w:gridSpan w:val="5"/>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60" w:type="dxa"/>
            <w:vAlign w:val="bottom"/>
            <w:gridSpan w:val="3"/>
          </w:tcPr>
          <w:p>
            <w:pPr>
              <w:jc w:val="center"/>
              <w:ind w:left="652"/>
              <w:spacing w:after="0"/>
              <w:rPr>
                <w:rFonts w:ascii="Times New Roman" w:cs="Times New Roman" w:eastAsia="Times New Roman" w:hAnsi="Times New Roman"/>
                <w:sz w:val="18"/>
                <w:szCs w:val="18"/>
                <w:color w:val="0000FF"/>
                <w:w w:val="97"/>
              </w:rPr>
            </w:pPr>
            <w:hyperlink r:id="rId16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20" w:type="dxa"/>
            <w:vAlign w:val="bottom"/>
            <w:tcBorders>
              <w:top w:val="single" w:sz="8" w:color="0000FF"/>
            </w:tcBorders>
            <w:gridSpan w:val="6"/>
          </w:tcPr>
          <w:p>
            <w:pPr>
              <w:spacing w:after="0"/>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Description of Capital Stock of the Registrant.</w:t>
              </w:r>
            </w:hyperlink>
          </w:p>
        </w:tc>
        <w:tc>
          <w:tcPr>
            <w:tcW w:w="1760" w:type="dxa"/>
            <w:vAlign w:val="bottom"/>
            <w:gridSpan w:val="13"/>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1"/>
                <w:szCs w:val="21"/>
                <w:color w:val="auto"/>
              </w:rPr>
            </w:pPr>
          </w:p>
        </w:tc>
        <w:tc>
          <w:tcPr>
            <w:tcW w:w="130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w w:val="99"/>
              </w:rPr>
              <w:t>June 25, 2021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0" w:type="dxa"/>
            <w:vAlign w:val="bottom"/>
            <w:gridSpan w:val="2"/>
          </w:tcPr>
          <w:p>
            <w:pPr>
              <w:spacing w:after="0"/>
              <w:rPr>
                <w:sz w:val="21"/>
                <w:szCs w:val="21"/>
                <w:color w:val="auto"/>
              </w:rPr>
            </w:pPr>
          </w:p>
        </w:tc>
        <w:tc>
          <w:tcPr>
            <w:tcW w:w="320" w:type="dxa"/>
            <w:vAlign w:val="bottom"/>
            <w:gridSpan w:val="2"/>
          </w:tcPr>
          <w:p>
            <w:pPr>
              <w:jc w:val="center"/>
              <w:spacing w:after="0"/>
              <w:rPr>
                <w:rFonts w:ascii="Times New Roman" w:cs="Times New Roman" w:eastAsia="Times New Roman" w:hAnsi="Times New Roman"/>
                <w:sz w:val="18"/>
                <w:szCs w:val="18"/>
                <w:color w:val="0000FF"/>
                <w:w w:val="76"/>
              </w:rPr>
            </w:pPr>
            <w:hyperlink r:id="rId168">
              <w:r>
                <w:rPr>
                  <w:rFonts w:ascii="Times New Roman" w:cs="Times New Roman" w:eastAsia="Times New Roman" w:hAnsi="Times New Roman"/>
                  <w:sz w:val="18"/>
                  <w:szCs w:val="18"/>
                  <w:color w:val="0000FF"/>
                  <w:w w:val="76"/>
                </w:rPr>
                <w:t>10.</w:t>
              </w:r>
              <w:r>
                <w:rPr>
                  <w:rFonts w:ascii="Times New Roman" w:cs="Times New Roman" w:eastAsia="Times New Roman" w:hAnsi="Times New Roman"/>
                  <w:sz w:val="18"/>
                  <w:szCs w:val="18"/>
                  <w:u w:val="single" w:color="auto"/>
                  <w:color w:val="0000FF"/>
                  <w:w w:val="76"/>
                </w:rPr>
                <w:t>1+</w:t>
              </w:r>
            </w:hyperlink>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gridSpan w:val="19"/>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C3.</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0000FF"/>
                </w:rPr>
                <w:t xml:space="preserve"> Inc. 2020 Equity Incentive Plan, as amended, and forms</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December 7, 202</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top w:val="single" w:sz="8" w:color="0000FF"/>
              <w:bottom w:val="single" w:sz="8" w:color="0000FF"/>
            </w:tcBorders>
          </w:tcPr>
          <w:p>
            <w:pPr>
              <w:spacing w:after="0" w:line="192" w:lineRule="exact"/>
              <w:rPr>
                <w:rFonts w:ascii="Times New Roman" w:cs="Times New Roman" w:eastAsia="Times New Roman" w:hAnsi="Times New Roman"/>
                <w:sz w:val="18"/>
                <w:szCs w:val="18"/>
                <w:color w:val="0000FF"/>
                <w:w w:val="95"/>
              </w:rPr>
            </w:pPr>
            <w:hyperlink r:id="rId168">
              <w:r>
                <w:rPr>
                  <w:rFonts w:ascii="Times New Roman" w:cs="Times New Roman" w:eastAsia="Times New Roman" w:hAnsi="Times New Roman"/>
                  <w:sz w:val="18"/>
                  <w:szCs w:val="18"/>
                  <w:color w:val="0000FF"/>
                  <w:w w:val="95"/>
                </w:rPr>
                <w:t>thereunder.</w:t>
              </w:r>
            </w:hyperlink>
          </w:p>
        </w:tc>
        <w:tc>
          <w:tcPr>
            <w:tcW w:w="3620" w:type="dxa"/>
            <w:vAlign w:val="bottom"/>
            <w:tcBorders>
              <w:top w:val="single" w:sz="8" w:color="0000FF"/>
            </w:tcBorders>
            <w:gridSpan w:val="10"/>
          </w:tcPr>
          <w:p>
            <w:pPr>
              <w:spacing w:after="0"/>
              <w:rPr>
                <w:sz w:val="16"/>
                <w:szCs w:val="16"/>
                <w:color w:val="auto"/>
              </w:rPr>
            </w:pPr>
          </w:p>
        </w:tc>
        <w:tc>
          <w:tcPr>
            <w:tcW w:w="660" w:type="dxa"/>
            <w:vAlign w:val="bottom"/>
            <w:gridSpan w:val="8"/>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40" w:type="dxa"/>
            <w:vAlign w:val="bottom"/>
            <w:gridSpan w:val="2"/>
          </w:tcPr>
          <w:p>
            <w:pPr>
              <w:spacing w:after="0"/>
              <w:rPr>
                <w:sz w:val="21"/>
                <w:szCs w:val="21"/>
                <w:color w:val="auto"/>
              </w:rPr>
            </w:pPr>
          </w:p>
        </w:tc>
        <w:tc>
          <w:tcPr>
            <w:tcW w:w="320" w:type="dxa"/>
            <w:vAlign w:val="bottom"/>
            <w:gridSpan w:val="2"/>
          </w:tcPr>
          <w:p>
            <w:pPr>
              <w:jc w:val="center"/>
              <w:spacing w:after="0"/>
              <w:rPr>
                <w:rFonts w:ascii="Times New Roman" w:cs="Times New Roman" w:eastAsia="Times New Roman" w:hAnsi="Times New Roman"/>
                <w:sz w:val="18"/>
                <w:szCs w:val="18"/>
                <w:color w:val="0000FF"/>
                <w:w w:val="76"/>
              </w:rPr>
            </w:pPr>
            <w:hyperlink r:id="rId169">
              <w:r>
                <w:rPr>
                  <w:rFonts w:ascii="Times New Roman" w:cs="Times New Roman" w:eastAsia="Times New Roman" w:hAnsi="Times New Roman"/>
                  <w:sz w:val="18"/>
                  <w:szCs w:val="18"/>
                  <w:color w:val="0000FF"/>
                  <w:w w:val="76"/>
                </w:rPr>
                <w:t>10.</w:t>
              </w:r>
              <w:r>
                <w:rPr>
                  <w:rFonts w:ascii="Times New Roman" w:cs="Times New Roman" w:eastAsia="Times New Roman" w:hAnsi="Times New Roman"/>
                  <w:sz w:val="18"/>
                  <w:szCs w:val="18"/>
                  <w:u w:val="single" w:color="auto"/>
                  <w:color w:val="0000FF"/>
                  <w:w w:val="76"/>
                </w:rPr>
                <w:t>2+</w:t>
              </w:r>
            </w:hyperlink>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gridSpan w:val="1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C3.</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0000FF"/>
                </w:rPr>
                <w:t xml:space="preserve"> Inc. 2020 Employee Stock Purchase Plan.</w:t>
              </w:r>
            </w:hyperlink>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November 30, 20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0" w:type="dxa"/>
            <w:vAlign w:val="bottom"/>
            <w:gridSpan w:val="2"/>
          </w:tcPr>
          <w:p>
            <w:pPr>
              <w:spacing w:after="0"/>
              <w:rPr>
                <w:sz w:val="21"/>
                <w:szCs w:val="21"/>
                <w:color w:val="auto"/>
              </w:rPr>
            </w:pPr>
          </w:p>
        </w:tc>
        <w:tc>
          <w:tcPr>
            <w:tcW w:w="320" w:type="dxa"/>
            <w:vAlign w:val="bottom"/>
            <w:gridSpan w:val="2"/>
          </w:tcPr>
          <w:p>
            <w:pPr>
              <w:jc w:val="center"/>
              <w:spacing w:after="0"/>
              <w:rPr>
                <w:rFonts w:ascii="Times New Roman" w:cs="Times New Roman" w:eastAsia="Times New Roman" w:hAnsi="Times New Roman"/>
                <w:sz w:val="18"/>
                <w:szCs w:val="18"/>
                <w:color w:val="0000FF"/>
                <w:w w:val="76"/>
              </w:rPr>
            </w:pPr>
            <w:hyperlink r:id="rId170">
              <w:r>
                <w:rPr>
                  <w:rFonts w:ascii="Times New Roman" w:cs="Times New Roman" w:eastAsia="Times New Roman" w:hAnsi="Times New Roman"/>
                  <w:sz w:val="18"/>
                  <w:szCs w:val="18"/>
                  <w:color w:val="0000FF"/>
                  <w:w w:val="76"/>
                </w:rPr>
                <w:t>10.</w:t>
              </w:r>
              <w:r>
                <w:rPr>
                  <w:rFonts w:ascii="Times New Roman" w:cs="Times New Roman" w:eastAsia="Times New Roman" w:hAnsi="Times New Roman"/>
                  <w:sz w:val="18"/>
                  <w:szCs w:val="18"/>
                  <w:u w:val="single" w:color="auto"/>
                  <w:color w:val="0000FF"/>
                  <w:w w:val="76"/>
                </w:rPr>
                <w:t>3+</w:t>
              </w:r>
            </w:hyperlink>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gridSpan w:val="19"/>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Revised Offer Letter by and between the Registrant and Edward Y.</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November 13, 20</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tcBorders>
              <w:top w:val="single" w:sz="8" w:color="0000FF"/>
            </w:tcBorders>
            <w:gridSpan w:val="13"/>
          </w:tcPr>
          <w:p>
            <w:pPr>
              <w:spacing w:after="0" w:line="192"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Abbo, dated July 15, 2011.</w:t>
              </w:r>
            </w:hyperlink>
          </w:p>
        </w:tc>
        <w:tc>
          <w:tcPr>
            <w:tcW w:w="360" w:type="dxa"/>
            <w:vAlign w:val="bottom"/>
            <w:gridSpan w:val="6"/>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40" w:type="dxa"/>
            <w:vAlign w:val="bottom"/>
            <w:gridSpan w:val="2"/>
          </w:tcPr>
          <w:p>
            <w:pPr>
              <w:spacing w:after="0"/>
              <w:rPr>
                <w:sz w:val="23"/>
                <w:szCs w:val="23"/>
                <w:color w:val="auto"/>
              </w:rPr>
            </w:pPr>
          </w:p>
        </w:tc>
        <w:tc>
          <w:tcPr>
            <w:tcW w:w="320" w:type="dxa"/>
            <w:vAlign w:val="bottom"/>
            <w:gridSpan w:val="2"/>
          </w:tcPr>
          <w:p>
            <w:pPr>
              <w:jc w:val="center"/>
              <w:spacing w:after="0"/>
              <w:rPr>
                <w:rFonts w:ascii="Times New Roman" w:cs="Times New Roman" w:eastAsia="Times New Roman" w:hAnsi="Times New Roman"/>
                <w:sz w:val="18"/>
                <w:szCs w:val="18"/>
                <w:color w:val="0000FF"/>
                <w:w w:val="76"/>
              </w:rPr>
            </w:pPr>
            <w:hyperlink r:id="rId171">
              <w:r>
                <w:rPr>
                  <w:rFonts w:ascii="Times New Roman" w:cs="Times New Roman" w:eastAsia="Times New Roman" w:hAnsi="Times New Roman"/>
                  <w:sz w:val="18"/>
                  <w:szCs w:val="18"/>
                  <w:color w:val="0000FF"/>
                  <w:w w:val="76"/>
                </w:rPr>
                <w:t>10.</w:t>
              </w:r>
            </w:hyperlink>
            <w:r>
              <w:rPr>
                <w:rFonts w:ascii="Times New Roman" w:cs="Times New Roman" w:eastAsia="Times New Roman" w:hAnsi="Times New Roman"/>
                <w:sz w:val="18"/>
                <w:szCs w:val="18"/>
                <w:u w:val="single" w:color="auto"/>
                <w:color w:val="0000FF"/>
                <w:w w:val="76"/>
              </w:rPr>
              <w:t>4+</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80" w:type="dxa"/>
            <w:vAlign w:val="bottom"/>
            <w:gridSpan w:val="19"/>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Offer Letter by and between the Company and Stephen Ehikian, dated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1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3"/>
                <w:szCs w:val="2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December 9, 202</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72" w:lineRule="exact"/>
              <w:rPr>
                <w:rFonts w:ascii="Times New Roman" w:cs="Times New Roman" w:eastAsia="Times New Roman" w:hAnsi="Times New Roman"/>
                <w:sz w:val="18"/>
                <w:szCs w:val="18"/>
                <w:color w:val="0000FF"/>
                <w:w w:val="97"/>
              </w:rPr>
            </w:pPr>
            <w:hyperlink r:id="rId171">
              <w:r>
                <w:rPr>
                  <w:rFonts w:ascii="Times New Roman" w:cs="Times New Roman" w:eastAsia="Times New Roman" w:hAnsi="Times New Roman"/>
                  <w:sz w:val="18"/>
                  <w:szCs w:val="18"/>
                  <w:color w:val="0000FF"/>
                  <w:w w:val="97"/>
                </w:rPr>
                <w:t>September 1, 2025</w:t>
              </w:r>
            </w:hyperlink>
          </w:p>
        </w:tc>
        <w:tc>
          <w:tcPr>
            <w:tcW w:w="3620" w:type="dxa"/>
            <w:vAlign w:val="bottom"/>
            <w:tcBorders>
              <w:top w:val="single" w:sz="8" w:color="0000FF"/>
            </w:tcBorders>
            <w:gridSpan w:val="15"/>
          </w:tcPr>
          <w:p>
            <w:pPr>
              <w:spacing w:after="0"/>
              <w:rPr>
                <w:sz w:val="14"/>
                <w:szCs w:val="14"/>
                <w:color w:val="auto"/>
              </w:rPr>
            </w:pPr>
          </w:p>
        </w:tc>
        <w:tc>
          <w:tcPr>
            <w:tcW w:w="1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40" w:type="dxa"/>
            <w:vAlign w:val="bottom"/>
            <w:gridSpan w:val="2"/>
          </w:tcPr>
          <w:p>
            <w:pPr>
              <w:spacing w:after="0"/>
              <w:rPr>
                <w:sz w:val="21"/>
                <w:szCs w:val="21"/>
                <w:color w:val="auto"/>
              </w:rPr>
            </w:pPr>
          </w:p>
        </w:tc>
        <w:tc>
          <w:tcPr>
            <w:tcW w:w="320" w:type="dxa"/>
            <w:vAlign w:val="bottom"/>
            <w:gridSpan w:val="2"/>
          </w:tcPr>
          <w:p>
            <w:pPr>
              <w:jc w:val="center"/>
              <w:spacing w:after="0"/>
              <w:rPr>
                <w:rFonts w:ascii="Times New Roman" w:cs="Times New Roman" w:eastAsia="Times New Roman" w:hAnsi="Times New Roman"/>
                <w:sz w:val="18"/>
                <w:szCs w:val="18"/>
                <w:color w:val="0000FF"/>
                <w:w w:val="76"/>
              </w:rPr>
            </w:pPr>
            <w:hyperlink r:id="rId172">
              <w:r>
                <w:rPr>
                  <w:rFonts w:ascii="Times New Roman" w:cs="Times New Roman" w:eastAsia="Times New Roman" w:hAnsi="Times New Roman"/>
                  <w:sz w:val="18"/>
                  <w:szCs w:val="18"/>
                  <w:color w:val="0000FF"/>
                  <w:w w:val="76"/>
                </w:rPr>
                <w:t>10.</w:t>
              </w:r>
              <w:r>
                <w:rPr>
                  <w:rFonts w:ascii="Times New Roman" w:cs="Times New Roman" w:eastAsia="Times New Roman" w:hAnsi="Times New Roman"/>
                  <w:sz w:val="18"/>
                  <w:szCs w:val="18"/>
                  <w:u w:val="single" w:color="auto"/>
                  <w:color w:val="0000FF"/>
                  <w:w w:val="76"/>
                </w:rPr>
                <w:t>5+</w:t>
              </w:r>
            </w:hyperlink>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gridSpan w:val="19"/>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Indemnification Agreement between the Registrant and each</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333-253944</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1"/>
                <w:szCs w:val="21"/>
                <w:color w:val="auto"/>
              </w:rPr>
            </w:pPr>
          </w:p>
        </w:tc>
        <w:tc>
          <w:tcPr>
            <w:tcW w:w="130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w w:val="98"/>
              </w:rPr>
              <w:t>March 5, 2021</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00" w:type="dxa"/>
            <w:vAlign w:val="bottom"/>
            <w:tcBorders>
              <w:top w:val="single" w:sz="8" w:color="0000FF"/>
            </w:tcBorders>
            <w:gridSpan w:val="15"/>
          </w:tcPr>
          <w:p>
            <w:pPr>
              <w:spacing w:after="0" w:line="192"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of its directors and executive officers.</w:t>
              </w:r>
            </w:hyperlink>
          </w:p>
        </w:tc>
        <w:tc>
          <w:tcPr>
            <w:tcW w:w="180" w:type="dxa"/>
            <w:vAlign w:val="bottom"/>
            <w:gridSpan w:val="4"/>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5"/>
        </w:trPr>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top w:val="single" w:sz="8" w:color="0000FF"/>
            </w:tcBorders>
            <w:gridSpan w:val="4"/>
          </w:tcPr>
          <w:p>
            <w:pPr>
              <w:spacing w:after="0"/>
              <w:rPr>
                <w:sz w:val="24"/>
                <w:szCs w:val="24"/>
                <w:color w:val="auto"/>
              </w:rPr>
            </w:pPr>
          </w:p>
        </w:tc>
        <w:tc>
          <w:tcPr>
            <w:tcW w:w="16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5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33" w:name="page134"/>
    <w:bookmarkEnd w:id="133"/>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jc w:val="center"/>
              <w:ind w:left="32"/>
              <w:spacing w:after="0"/>
              <w:rPr>
                <w:rFonts w:ascii="Times New Roman" w:cs="Times New Roman" w:eastAsia="Times New Roman" w:hAnsi="Times New Roman"/>
                <w:sz w:val="18"/>
                <w:szCs w:val="18"/>
                <w:color w:val="0000FF"/>
                <w:w w:val="95"/>
              </w:rPr>
            </w:pPr>
            <w:hyperlink r:id="rId17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Lease by and between the Registrant and Google LLC (as successor-</w:t>
              </w:r>
            </w:hyperlink>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80" w:type="dxa"/>
            <w:vAlign w:val="bottom"/>
            <w:tcBorders>
              <w:bottom w:val="single" w:sz="8" w:color="0000FF"/>
            </w:tcBorders>
            <w:gridSpan w:val="25"/>
          </w:tcPr>
          <w:p>
            <w:pPr>
              <w:spacing w:after="0" w:line="192" w:lineRule="exact"/>
              <w:rPr>
                <w:rFonts w:ascii="Times New Roman" w:cs="Times New Roman" w:eastAsia="Times New Roman" w:hAnsi="Times New Roman"/>
                <w:sz w:val="18"/>
                <w:szCs w:val="18"/>
                <w:color w:val="0000FF"/>
                <w:w w:val="97"/>
              </w:rPr>
            </w:pPr>
            <w:hyperlink r:id="rId175">
              <w:r>
                <w:rPr>
                  <w:rFonts w:ascii="Times New Roman" w:cs="Times New Roman" w:eastAsia="Times New Roman" w:hAnsi="Times New Roman"/>
                  <w:sz w:val="18"/>
                  <w:szCs w:val="18"/>
                  <w:color w:val="0000FF"/>
                  <w:w w:val="97"/>
                </w:rPr>
                <w:t>in-interest to VII Pac Shores Investors, LLC), dated October 28, 2011.</w:t>
              </w:r>
            </w:hyperlink>
          </w:p>
        </w:tc>
      </w:tr>
      <w:tr>
        <w:trPr>
          <w:trHeight w:val="245"/>
        </w:trPr>
        <w:tc>
          <w:tcPr>
            <w:tcW w:w="120" w:type="dxa"/>
            <w:vAlign w:val="bottom"/>
          </w:tcPr>
          <w:p>
            <w:pPr>
              <w:spacing w:after="0"/>
              <w:rPr>
                <w:sz w:val="21"/>
                <w:szCs w:val="21"/>
                <w:color w:val="auto"/>
              </w:rPr>
            </w:pPr>
          </w:p>
        </w:tc>
        <w:tc>
          <w:tcPr>
            <w:tcW w:w="400" w:type="dxa"/>
            <w:vAlign w:val="bottom"/>
            <w:gridSpan w:val="2"/>
          </w:tcPr>
          <w:p>
            <w:pPr>
              <w:jc w:val="center"/>
              <w:ind w:right="40"/>
              <w:spacing w:after="0"/>
              <w:rPr>
                <w:rFonts w:ascii="Times New Roman" w:cs="Times New Roman" w:eastAsia="Times New Roman" w:hAnsi="Times New Roman"/>
                <w:sz w:val="18"/>
                <w:szCs w:val="18"/>
                <w:color w:val="0000FF"/>
                <w:w w:val="79"/>
              </w:rPr>
            </w:pPr>
            <w:hyperlink r:id="rId176">
              <w:r>
                <w:rPr>
                  <w:rFonts w:ascii="Times New Roman" w:cs="Times New Roman" w:eastAsia="Times New Roman" w:hAnsi="Times New Roman"/>
                  <w:sz w:val="18"/>
                  <w:szCs w:val="18"/>
                  <w:color w:val="0000FF"/>
                  <w:w w:val="79"/>
                </w:rPr>
                <w:t>10.</w:t>
              </w:r>
              <w:r>
                <w:rPr>
                  <w:rFonts w:ascii="Times New Roman" w:cs="Times New Roman" w:eastAsia="Times New Roman" w:hAnsi="Times New Roman"/>
                  <w:sz w:val="18"/>
                  <w:szCs w:val="18"/>
                  <w:u w:val="single" w:color="auto"/>
                  <w:color w:val="0000FF"/>
                  <w:w w:val="79"/>
                </w:rPr>
                <w:t>6.1</w:t>
              </w:r>
            </w:hyperlink>
          </w:p>
        </w:tc>
        <w:tc>
          <w:tcPr>
            <w:tcW w:w="380" w:type="dxa"/>
            <w:vAlign w:val="bottom"/>
          </w:tcPr>
          <w:p>
            <w:pPr>
              <w:spacing w:after="0"/>
              <w:rPr>
                <w:sz w:val="21"/>
                <w:szCs w:val="21"/>
                <w:color w:val="auto"/>
              </w:rPr>
            </w:pPr>
          </w:p>
        </w:tc>
        <w:tc>
          <w:tcPr>
            <w:tcW w:w="4980" w:type="dxa"/>
            <w:vAlign w:val="bottom"/>
            <w:gridSpan w:val="25"/>
          </w:tcPr>
          <w:p>
            <w:pPr>
              <w:spacing w:after="0"/>
              <w:rPr>
                <w:rFonts w:ascii="Times New Roman" w:cs="Times New Roman" w:eastAsia="Times New Roman" w:hAnsi="Times New Roman"/>
                <w:sz w:val="18"/>
                <w:szCs w:val="18"/>
                <w:color w:val="0000FF"/>
                <w:w w:val="98"/>
              </w:rPr>
            </w:pPr>
            <w:hyperlink r:id="rId176">
              <w:r>
                <w:rPr>
                  <w:rFonts w:ascii="Times New Roman" w:cs="Times New Roman" w:eastAsia="Times New Roman" w:hAnsi="Times New Roman"/>
                  <w:sz w:val="18"/>
                  <w:szCs w:val="18"/>
                  <w:color w:val="0000FF"/>
                  <w:w w:val="98"/>
                </w:rPr>
                <w:t>First Amendment to Lease by and between the Registrant and Google</w:t>
              </w:r>
            </w:hyperlink>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80" w:type="dxa"/>
            <w:vAlign w:val="bottom"/>
            <w:gridSpan w:val="25"/>
          </w:tcPr>
          <w:p>
            <w:pPr>
              <w:spacing w:after="0" w:line="192"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LLC, dated April 4, 2017.</w:t>
              </w:r>
            </w:hyperlink>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400" w:type="dxa"/>
            <w:vAlign w:val="bottom"/>
            <w:gridSpan w:val="2"/>
          </w:tcPr>
          <w:p>
            <w:pPr>
              <w:jc w:val="center"/>
              <w:ind w:right="40"/>
              <w:spacing w:after="0"/>
              <w:rPr>
                <w:rFonts w:ascii="Times New Roman" w:cs="Times New Roman" w:eastAsia="Times New Roman" w:hAnsi="Times New Roman"/>
                <w:sz w:val="18"/>
                <w:szCs w:val="18"/>
                <w:color w:val="0000FF"/>
                <w:w w:val="79"/>
              </w:rPr>
            </w:pPr>
            <w:hyperlink r:id="rId177">
              <w:r>
                <w:rPr>
                  <w:rFonts w:ascii="Times New Roman" w:cs="Times New Roman" w:eastAsia="Times New Roman" w:hAnsi="Times New Roman"/>
                  <w:sz w:val="18"/>
                  <w:szCs w:val="18"/>
                  <w:color w:val="0000FF"/>
                  <w:w w:val="79"/>
                </w:rPr>
                <w:t>10.</w:t>
              </w:r>
              <w:r>
                <w:rPr>
                  <w:rFonts w:ascii="Times New Roman" w:cs="Times New Roman" w:eastAsia="Times New Roman" w:hAnsi="Times New Roman"/>
                  <w:sz w:val="18"/>
                  <w:szCs w:val="18"/>
                  <w:u w:val="single" w:color="auto"/>
                  <w:color w:val="0000FF"/>
                  <w:w w:val="79"/>
                </w:rPr>
                <w:t>6.2</w:t>
              </w:r>
            </w:hyperlink>
          </w:p>
        </w:tc>
        <w:tc>
          <w:tcPr>
            <w:tcW w:w="380" w:type="dxa"/>
            <w:vAlign w:val="bottom"/>
          </w:tcPr>
          <w:p>
            <w:pPr>
              <w:spacing w:after="0"/>
              <w:rPr>
                <w:sz w:val="21"/>
                <w:szCs w:val="21"/>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Second Amendment to Lease by and between the Registrant and</w:t>
              </w:r>
            </w:hyperlink>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80" w:type="dxa"/>
            <w:vAlign w:val="bottom"/>
            <w:tcBorders>
              <w:bottom w:val="single" w:sz="8" w:color="0000FF"/>
            </w:tcBorders>
            <w:gridSpan w:val="11"/>
          </w:tcPr>
          <w:p>
            <w:pPr>
              <w:spacing w:after="0" w:line="192" w:lineRule="exact"/>
              <w:rPr>
                <w:rFonts w:ascii="Times New Roman" w:cs="Times New Roman" w:eastAsia="Times New Roman" w:hAnsi="Times New Roman"/>
                <w:sz w:val="18"/>
                <w:szCs w:val="18"/>
                <w:color w:val="0000FF"/>
                <w:w w:val="97"/>
              </w:rPr>
            </w:pPr>
            <w:hyperlink r:id="rId177">
              <w:r>
                <w:rPr>
                  <w:rFonts w:ascii="Times New Roman" w:cs="Times New Roman" w:eastAsia="Times New Roman" w:hAnsi="Times New Roman"/>
                  <w:sz w:val="18"/>
                  <w:szCs w:val="18"/>
                  <w:color w:val="0000FF"/>
                  <w:w w:val="97"/>
                </w:rPr>
                <w:t>Google LLC, dated November 7, 2017.</w:t>
              </w:r>
            </w:hyperlink>
          </w:p>
        </w:tc>
        <w:tc>
          <w:tcPr>
            <w:tcW w:w="2200" w:type="dxa"/>
            <w:vAlign w:val="bottom"/>
            <w:gridSpan w:val="14"/>
          </w:tcPr>
          <w:p>
            <w:pPr>
              <w:spacing w:after="0"/>
              <w:rPr>
                <w:sz w:val="16"/>
                <w:szCs w:val="16"/>
                <w:color w:val="auto"/>
              </w:rPr>
            </w:pPr>
          </w:p>
        </w:tc>
      </w:tr>
      <w:tr>
        <w:trPr>
          <w:trHeight w:val="252"/>
        </w:trPr>
        <w:tc>
          <w:tcPr>
            <w:tcW w:w="520" w:type="dxa"/>
            <w:vAlign w:val="bottom"/>
            <w:gridSpan w:val="3"/>
          </w:tcPr>
          <w:p>
            <w:pPr>
              <w:jc w:val="center"/>
              <w:spacing w:after="0"/>
              <w:rPr>
                <w:rFonts w:ascii="Times New Roman" w:cs="Times New Roman" w:eastAsia="Times New Roman" w:hAnsi="Times New Roman"/>
                <w:sz w:val="18"/>
                <w:szCs w:val="18"/>
                <w:color w:val="0000FF"/>
                <w:w w:val="97"/>
              </w:rPr>
            </w:pPr>
            <w:hyperlink r:id="rId178">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6.3</w:t>
              </w:r>
            </w:hyperlink>
          </w:p>
        </w:tc>
        <w:tc>
          <w:tcPr>
            <w:tcW w:w="380" w:type="dxa"/>
            <w:vAlign w:val="bottom"/>
          </w:tcPr>
          <w:p>
            <w:pPr>
              <w:spacing w:after="0"/>
              <w:rPr>
                <w:sz w:val="21"/>
                <w:szCs w:val="21"/>
                <w:color w:val="auto"/>
              </w:rPr>
            </w:pPr>
          </w:p>
        </w:tc>
        <w:tc>
          <w:tcPr>
            <w:tcW w:w="44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7"/>
              </w:rPr>
            </w:pPr>
            <w:hyperlink r:id="rId178">
              <w:r>
                <w:rPr>
                  <w:rFonts w:ascii="Times New Roman" w:cs="Times New Roman" w:eastAsia="Times New Roman" w:hAnsi="Times New Roman"/>
                  <w:sz w:val="18"/>
                  <w:szCs w:val="18"/>
                  <w:color w:val="0000FF"/>
                  <w:w w:val="97"/>
                </w:rPr>
                <w:t>Third Amendment to Lease by and between the Registrant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9"/>
        </w:trPr>
        <w:tc>
          <w:tcPr>
            <w:tcW w:w="1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20" w:type="dxa"/>
            <w:vAlign w:val="bottom"/>
            <w:gridSpan w:val="16"/>
          </w:tcPr>
          <w:p>
            <w:pPr>
              <w:spacing w:after="0" w:line="15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Google LLC, dated August 25, 2021.</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400" w:type="dxa"/>
            <w:vAlign w:val="bottom"/>
            <w:gridSpan w:val="2"/>
          </w:tcPr>
          <w:p>
            <w:pPr>
              <w:jc w:val="center"/>
              <w:ind w:right="40"/>
              <w:spacing w:after="0"/>
              <w:rPr>
                <w:rFonts w:ascii="Times New Roman" w:cs="Times New Roman" w:eastAsia="Times New Roman" w:hAnsi="Times New Roman"/>
                <w:sz w:val="18"/>
                <w:szCs w:val="18"/>
                <w:color w:val="0000FF"/>
                <w:w w:val="79"/>
              </w:rPr>
            </w:pPr>
            <w:hyperlink r:id="rId179">
              <w:r>
                <w:rPr>
                  <w:rFonts w:ascii="Times New Roman" w:cs="Times New Roman" w:eastAsia="Times New Roman" w:hAnsi="Times New Roman"/>
                  <w:sz w:val="18"/>
                  <w:szCs w:val="18"/>
                  <w:color w:val="0000FF"/>
                  <w:w w:val="79"/>
                </w:rPr>
                <w:t>10.</w:t>
              </w:r>
              <w:r>
                <w:rPr>
                  <w:rFonts w:ascii="Times New Roman" w:cs="Times New Roman" w:eastAsia="Times New Roman" w:hAnsi="Times New Roman"/>
                  <w:sz w:val="18"/>
                  <w:szCs w:val="18"/>
                  <w:u w:val="single" w:color="auto"/>
                  <w:color w:val="0000FF"/>
                  <w:w w:val="79"/>
                </w:rPr>
                <w:t>6.4</w:t>
              </w:r>
            </w:hyperlink>
          </w:p>
        </w:tc>
        <w:tc>
          <w:tcPr>
            <w:tcW w:w="380" w:type="dxa"/>
            <w:vAlign w:val="bottom"/>
          </w:tcPr>
          <w:p>
            <w:pPr>
              <w:spacing w:after="0"/>
              <w:rPr>
                <w:sz w:val="21"/>
                <w:szCs w:val="21"/>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Fourth Amendment to Lease by and between the Registrant and</w:t>
              </w:r>
            </w:hyperlink>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80" w:type="dxa"/>
            <w:vAlign w:val="bottom"/>
            <w:gridSpan w:val="25"/>
          </w:tcPr>
          <w:p>
            <w:pPr>
              <w:spacing w:after="0" w:line="19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Google LLC, dated April 6, 2022.</w:t>
              </w:r>
            </w:hyperlink>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400" w:type="dxa"/>
            <w:vAlign w:val="bottom"/>
            <w:gridSpan w:val="2"/>
          </w:tcPr>
          <w:p>
            <w:pPr>
              <w:jc w:val="center"/>
              <w:ind w:right="40"/>
              <w:spacing w:after="0"/>
              <w:rPr>
                <w:rFonts w:ascii="Times New Roman" w:cs="Times New Roman" w:eastAsia="Times New Roman" w:hAnsi="Times New Roman"/>
                <w:sz w:val="18"/>
                <w:szCs w:val="18"/>
                <w:color w:val="0000FF"/>
                <w:w w:val="79"/>
              </w:rPr>
            </w:pPr>
            <w:hyperlink r:id="rId180">
              <w:r>
                <w:rPr>
                  <w:rFonts w:ascii="Times New Roman" w:cs="Times New Roman" w:eastAsia="Times New Roman" w:hAnsi="Times New Roman"/>
                  <w:sz w:val="18"/>
                  <w:szCs w:val="18"/>
                  <w:color w:val="0000FF"/>
                  <w:w w:val="79"/>
                </w:rPr>
                <w:t>10.</w:t>
              </w:r>
              <w:r>
                <w:rPr>
                  <w:rFonts w:ascii="Times New Roman" w:cs="Times New Roman" w:eastAsia="Times New Roman" w:hAnsi="Times New Roman"/>
                  <w:sz w:val="18"/>
                  <w:szCs w:val="18"/>
                  <w:u w:val="single" w:color="auto"/>
                  <w:color w:val="0000FF"/>
                  <w:w w:val="79"/>
                </w:rPr>
                <w:t>6.5</w:t>
              </w:r>
            </w:hyperlink>
          </w:p>
        </w:tc>
        <w:tc>
          <w:tcPr>
            <w:tcW w:w="380" w:type="dxa"/>
            <w:vAlign w:val="bottom"/>
          </w:tcPr>
          <w:p>
            <w:pPr>
              <w:spacing w:after="0"/>
              <w:rPr>
                <w:sz w:val="21"/>
                <w:szCs w:val="21"/>
                <w:color w:val="auto"/>
              </w:rPr>
            </w:pPr>
          </w:p>
        </w:tc>
        <w:tc>
          <w:tcPr>
            <w:tcW w:w="4980" w:type="dxa"/>
            <w:vAlign w:val="bottom"/>
            <w:gridSpan w:val="25"/>
          </w:tcPr>
          <w:p>
            <w:pPr>
              <w:spacing w:after="0"/>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Sublease by and between the Registrant and First Virtual Group, Inc.,</w:t>
              </w:r>
            </w:hyperlink>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Borders>
              <w:bottom w:val="single" w:sz="8" w:color="0000FF"/>
            </w:tcBorders>
            <w:gridSpan w:val="7"/>
          </w:tcPr>
          <w:p>
            <w:pPr>
              <w:spacing w:after="0" w:line="192"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dated February 21, 2023.</w:t>
              </w:r>
            </w:hyperlink>
          </w:p>
        </w:tc>
        <w:tc>
          <w:tcPr>
            <w:tcW w:w="3140" w:type="dxa"/>
            <w:vAlign w:val="bottom"/>
            <w:gridSpan w:val="18"/>
          </w:tcPr>
          <w:p>
            <w:pPr>
              <w:spacing w:after="0"/>
              <w:rPr>
                <w:sz w:val="16"/>
                <w:szCs w:val="16"/>
                <w:color w:val="auto"/>
              </w:rPr>
            </w:pPr>
          </w:p>
        </w:tc>
      </w:tr>
      <w:tr>
        <w:trPr>
          <w:trHeight w:val="245"/>
        </w:trPr>
        <w:tc>
          <w:tcPr>
            <w:tcW w:w="120" w:type="dxa"/>
            <w:vAlign w:val="bottom"/>
          </w:tcPr>
          <w:p>
            <w:pPr>
              <w:spacing w:after="0"/>
              <w:rPr>
                <w:sz w:val="21"/>
                <w:szCs w:val="21"/>
                <w:color w:val="auto"/>
              </w:rPr>
            </w:pPr>
          </w:p>
        </w:tc>
        <w:tc>
          <w:tcPr>
            <w:tcW w:w="300" w:type="dxa"/>
            <w:vAlign w:val="bottom"/>
          </w:tcPr>
          <w:p>
            <w:pPr>
              <w:jc w:val="center"/>
              <w:spacing w:after="0"/>
              <w:rPr>
                <w:rFonts w:ascii="Times New Roman" w:cs="Times New Roman" w:eastAsia="Times New Roman" w:hAnsi="Times New Roman"/>
                <w:sz w:val="18"/>
                <w:szCs w:val="18"/>
                <w:color w:val="0000FF"/>
                <w:w w:val="83"/>
              </w:rPr>
            </w:pPr>
            <w:hyperlink r:id="rId181">
              <w:r>
                <w:rPr>
                  <w:rFonts w:ascii="Times New Roman" w:cs="Times New Roman" w:eastAsia="Times New Roman" w:hAnsi="Times New Roman"/>
                  <w:sz w:val="18"/>
                  <w:szCs w:val="18"/>
                  <w:color w:val="0000FF"/>
                  <w:w w:val="83"/>
                </w:rPr>
                <w:t>10.</w:t>
              </w:r>
              <w:r>
                <w:rPr>
                  <w:rFonts w:ascii="Times New Roman" w:cs="Times New Roman" w:eastAsia="Times New Roman" w:hAnsi="Times New Roman"/>
                  <w:sz w:val="18"/>
                  <w:szCs w:val="18"/>
                  <w:u w:val="single" w:color="auto"/>
                  <w:color w:val="0000FF"/>
                  <w:w w:val="83"/>
                </w:rPr>
                <w:t>7#</w:t>
              </w:r>
            </w:hyperlink>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Joint Venture Agreement by and between the Registrant and Baker</w:t>
              </w:r>
            </w:hyperlink>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80" w:type="dxa"/>
            <w:vAlign w:val="bottom"/>
            <w:gridSpan w:val="25"/>
          </w:tcPr>
          <w:p>
            <w:pPr>
              <w:spacing w:after="0" w:line="192"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Hughes Holdings LLC, dated June 6, 2019.</w:t>
              </w:r>
            </w:hyperlink>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520" w:type="dxa"/>
            <w:vAlign w:val="bottom"/>
            <w:gridSpan w:val="3"/>
          </w:tcPr>
          <w:p>
            <w:pPr>
              <w:jc w:val="cente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7.1#</w:t>
              </w:r>
            </w:hyperlink>
          </w:p>
        </w:tc>
        <w:tc>
          <w:tcPr>
            <w:tcW w:w="380" w:type="dxa"/>
            <w:vAlign w:val="bottom"/>
          </w:tcPr>
          <w:p>
            <w:pPr>
              <w:spacing w:after="0"/>
              <w:rPr>
                <w:sz w:val="21"/>
                <w:szCs w:val="21"/>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First Amendment to Joint Venture Agreement by and between the</w:t>
              </w:r>
            </w:hyperlink>
          </w:p>
        </w:tc>
      </w:tr>
      <w:tr>
        <w:trPr>
          <w:trHeight w:val="20"/>
        </w:trPr>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80" w:type="dxa"/>
            <w:vAlign w:val="bottom"/>
            <w:gridSpan w:val="25"/>
          </w:tcPr>
          <w:p>
            <w:pPr>
              <w:spacing w:after="0" w:line="192"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Registrant and Baker Hughes Holdings LLC, dated September 26,</w:t>
              </w:r>
            </w:hyperlink>
          </w:p>
        </w:tc>
      </w:tr>
      <w:tr>
        <w:trPr>
          <w:trHeight w:val="192"/>
        </w:trPr>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Borders>
              <w:top w:val="single" w:sz="8" w:color="0000FF"/>
              <w:bottom w:val="single" w:sz="8" w:color="0000FF"/>
            </w:tcBorders>
            <w:gridSpan w:val="2"/>
          </w:tcPr>
          <w:p>
            <w:pPr>
              <w:spacing w:after="0" w:line="192" w:lineRule="exact"/>
              <w:rPr>
                <w:rFonts w:ascii="Times New Roman" w:cs="Times New Roman" w:eastAsia="Times New Roman" w:hAnsi="Times New Roman"/>
                <w:sz w:val="18"/>
                <w:szCs w:val="18"/>
                <w:color w:val="0000FF"/>
                <w:w w:val="93"/>
              </w:rPr>
            </w:pPr>
            <w:hyperlink r:id="rId182">
              <w:r>
                <w:rPr>
                  <w:rFonts w:ascii="Times New Roman" w:cs="Times New Roman" w:eastAsia="Times New Roman" w:hAnsi="Times New Roman"/>
                  <w:sz w:val="18"/>
                  <w:szCs w:val="18"/>
                  <w:color w:val="0000FF"/>
                  <w:w w:val="93"/>
                </w:rPr>
                <w:t>2019.</w:t>
              </w:r>
            </w:hyperlink>
          </w:p>
        </w:tc>
        <w:tc>
          <w:tcPr>
            <w:tcW w:w="5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5"/>
        </w:trPr>
        <w:tc>
          <w:tcPr>
            <w:tcW w:w="520" w:type="dxa"/>
            <w:vAlign w:val="bottom"/>
            <w:gridSpan w:val="3"/>
          </w:tcPr>
          <w:p>
            <w:pPr>
              <w:jc w:val="cente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7.2#</w:t>
              </w:r>
            </w:hyperlink>
          </w:p>
        </w:tc>
        <w:tc>
          <w:tcPr>
            <w:tcW w:w="380" w:type="dxa"/>
            <w:vAlign w:val="bottom"/>
          </w:tcPr>
          <w:p>
            <w:pPr>
              <w:spacing w:after="0"/>
              <w:rPr>
                <w:sz w:val="21"/>
                <w:szCs w:val="21"/>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Second Amendment to Joint Venture Agreement by and between the</w:t>
              </w:r>
            </w:hyperlink>
          </w:p>
        </w:tc>
      </w:tr>
      <w:tr>
        <w:trPr>
          <w:trHeight w:val="20"/>
        </w:trPr>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80" w:type="dxa"/>
            <w:vAlign w:val="bottom"/>
            <w:gridSpan w:val="25"/>
          </w:tcPr>
          <w:p>
            <w:pPr>
              <w:spacing w:after="0" w:line="192"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Registrant and Baker Hughes Holdings LLC, dated June 1, 2020.</w:t>
              </w:r>
            </w:hyperlink>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520" w:type="dxa"/>
            <w:vAlign w:val="bottom"/>
            <w:gridSpan w:val="3"/>
          </w:tcPr>
          <w:p>
            <w:pPr>
              <w:jc w:val="center"/>
              <w:spacing w:after="0"/>
              <w:rPr>
                <w:rFonts w:ascii="Times New Roman" w:cs="Times New Roman" w:eastAsia="Times New Roman" w:hAnsi="Times New Roman"/>
                <w:sz w:val="18"/>
                <w:szCs w:val="18"/>
                <w:color w:val="0000FF"/>
                <w:w w:val="97"/>
              </w:rPr>
            </w:pPr>
            <w:hyperlink r:id="rId184">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7.3</w:t>
              </w:r>
            </w:hyperlink>
          </w:p>
        </w:tc>
        <w:tc>
          <w:tcPr>
            <w:tcW w:w="380" w:type="dxa"/>
            <w:vAlign w:val="bottom"/>
          </w:tcPr>
          <w:p>
            <w:pPr>
              <w:spacing w:after="0"/>
              <w:rPr>
                <w:sz w:val="21"/>
                <w:szCs w:val="21"/>
                <w:color w:val="auto"/>
              </w:rPr>
            </w:pPr>
          </w:p>
        </w:tc>
        <w:tc>
          <w:tcPr>
            <w:tcW w:w="47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7"/>
              </w:rPr>
            </w:pPr>
            <w:hyperlink r:id="rId184">
              <w:r>
                <w:rPr>
                  <w:rFonts w:ascii="Times New Roman" w:cs="Times New Roman" w:eastAsia="Times New Roman" w:hAnsi="Times New Roman"/>
                  <w:sz w:val="18"/>
                  <w:szCs w:val="18"/>
                  <w:color w:val="0000FF"/>
                  <w:w w:val="97"/>
                </w:rPr>
                <w:t>Third Amendment to Joint Venture Agreement by and between the</w:t>
              </w:r>
            </w:hyperlink>
          </w:p>
        </w:tc>
        <w:tc>
          <w:tcPr>
            <w:tcW w:w="260" w:type="dxa"/>
            <w:vAlign w:val="bottom"/>
            <w:gridSpan w:val="4"/>
          </w:tcPr>
          <w:p>
            <w:pPr>
              <w:spacing w:after="0"/>
              <w:rPr>
                <w:sz w:val="21"/>
                <w:szCs w:val="21"/>
                <w:color w:val="auto"/>
              </w:rPr>
            </w:pPr>
          </w:p>
        </w:tc>
      </w:tr>
      <w:tr>
        <w:trPr>
          <w:trHeight w:val="159"/>
        </w:trPr>
        <w:tc>
          <w:tcPr>
            <w:tcW w:w="1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980" w:type="dxa"/>
            <w:vAlign w:val="bottom"/>
            <w:gridSpan w:val="25"/>
          </w:tcPr>
          <w:p>
            <w:pPr>
              <w:spacing w:after="0" w:line="159"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Registrant and Baker Hughes Holdings LLC, dated October 31, 2021.</w:t>
              </w:r>
            </w:hyperlink>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420" w:type="dxa"/>
            <w:vAlign w:val="bottom"/>
            <w:gridSpan w:val="2"/>
          </w:tcPr>
          <w:p>
            <w:pPr>
              <w:jc w:val="center"/>
              <w:spacing w:after="0"/>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w:t>
              </w:r>
            </w:hyperlink>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Office Lease by and between the Registrant and DWF IV 1400-1500</w:t>
              </w:r>
            </w:hyperlink>
          </w:p>
        </w:tc>
      </w:tr>
      <w:tr>
        <w:trPr>
          <w:trHeight w:val="159"/>
        </w:trPr>
        <w:tc>
          <w:tcPr>
            <w:tcW w:w="1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40" w:type="dxa"/>
            <w:vAlign w:val="bottom"/>
            <w:tcBorders>
              <w:top w:val="single" w:sz="8" w:color="0000FF"/>
            </w:tcBorders>
            <w:gridSpan w:val="22"/>
          </w:tcPr>
          <w:p>
            <w:pPr>
              <w:spacing w:after="0" w:line="15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Seaport Blvd. LLC dated August 25, 2021.</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420" w:type="dxa"/>
            <w:vAlign w:val="bottom"/>
            <w:gridSpan w:val="2"/>
          </w:tcPr>
          <w:p>
            <w:pPr>
              <w:jc w:val="cente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Offer Letter by and between the Company and Hitesh Lath, dated</w:t>
              </w:r>
            </w:hyperlink>
          </w:p>
        </w:tc>
      </w:tr>
      <w:tr>
        <w:trPr>
          <w:trHeight w:val="132"/>
        </w:trPr>
        <w:tc>
          <w:tcPr>
            <w:tcW w:w="12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40" w:type="dxa"/>
            <w:vAlign w:val="bottom"/>
            <w:tcBorders>
              <w:top w:val="single" w:sz="8" w:color="0000FF"/>
            </w:tcBorders>
            <w:gridSpan w:val="19"/>
          </w:tcPr>
          <w:p>
            <w:pPr>
              <w:spacing w:after="0" w:line="133" w:lineRule="exact"/>
              <w:rPr>
                <w:rFonts w:ascii="Times New Roman" w:cs="Times New Roman" w:eastAsia="Times New Roman" w:hAnsi="Times New Roman"/>
                <w:sz w:val="15"/>
                <w:szCs w:val="15"/>
                <w:color w:val="0000FF"/>
              </w:rPr>
            </w:pPr>
            <w:hyperlink r:id="rId186">
              <w:r>
                <w:rPr>
                  <w:rFonts w:ascii="Times New Roman" w:cs="Times New Roman" w:eastAsia="Times New Roman" w:hAnsi="Times New Roman"/>
                  <w:sz w:val="15"/>
                  <w:szCs w:val="15"/>
                  <w:color w:val="0000FF"/>
                </w:rPr>
                <w:t>February 28, 2024.</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520" w:type="dxa"/>
            <w:vAlign w:val="bottom"/>
            <w:gridSpan w:val="3"/>
          </w:tcPr>
          <w:p>
            <w:pPr>
              <w:jc w:val="center"/>
              <w:spacing w:after="0"/>
              <w:rPr>
                <w:rFonts w:ascii="Times New Roman" w:cs="Times New Roman" w:eastAsia="Times New Roman" w:hAnsi="Times New Roman"/>
                <w:sz w:val="18"/>
                <w:szCs w:val="18"/>
                <w:color w:val="0000FF"/>
                <w:w w:val="98"/>
              </w:rPr>
            </w:pPr>
            <w:r>
              <w:rPr>
                <w:rFonts w:ascii="Times New Roman" w:cs="Times New Roman" w:eastAsia="Times New Roman" w:hAnsi="Times New Roman"/>
                <w:sz w:val="18"/>
                <w:szCs w:val="18"/>
                <w:color w:val="0000FF"/>
                <w:w w:val="98"/>
              </w:rPr>
              <w:t>10.</w:t>
            </w:r>
            <w:hyperlink r:id="rId187">
              <w:r>
                <w:rPr>
                  <w:rFonts w:ascii="Times New Roman" w:cs="Times New Roman" w:eastAsia="Times New Roman" w:hAnsi="Times New Roman"/>
                  <w:sz w:val="18"/>
                  <w:szCs w:val="18"/>
                  <w:u w:val="single" w:color="auto"/>
                  <w:color w:val="0000FF"/>
                  <w:w w:val="98"/>
                </w:rPr>
                <w:t>10+</w:t>
              </w:r>
            </w:hyperlink>
          </w:p>
        </w:tc>
        <w:tc>
          <w:tcPr>
            <w:tcW w:w="380" w:type="dxa"/>
            <w:vAlign w:val="bottom"/>
          </w:tcPr>
          <w:p>
            <w:pPr>
              <w:spacing w:after="0"/>
              <w:rPr>
                <w:sz w:val="20"/>
                <w:szCs w:val="20"/>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Offer Letter by and between the Company and Merel Witteveen,</w:t>
              </w:r>
            </w:hyperlink>
          </w:p>
        </w:tc>
      </w:tr>
      <w:tr>
        <w:trPr>
          <w:trHeight w:val="132"/>
        </w:trPr>
        <w:tc>
          <w:tcPr>
            <w:tcW w:w="12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80" w:type="dxa"/>
            <w:vAlign w:val="bottom"/>
          </w:tcPr>
          <w:p>
            <w:pPr>
              <w:spacing w:after="0"/>
              <w:rPr>
                <w:sz w:val="11"/>
                <w:szCs w:val="11"/>
                <w:color w:val="auto"/>
              </w:rPr>
            </w:pPr>
          </w:p>
        </w:tc>
        <w:tc>
          <w:tcPr>
            <w:tcW w:w="4500" w:type="dxa"/>
            <w:vAlign w:val="bottom"/>
            <w:tcBorders>
              <w:top w:val="single" w:sz="8" w:color="0000FF"/>
            </w:tcBorders>
            <w:gridSpan w:val="17"/>
          </w:tcPr>
          <w:p>
            <w:pPr>
              <w:spacing w:after="0" w:line="133" w:lineRule="exact"/>
              <w:rPr>
                <w:rFonts w:ascii="Times New Roman" w:cs="Times New Roman" w:eastAsia="Times New Roman" w:hAnsi="Times New Roman"/>
                <w:sz w:val="15"/>
                <w:szCs w:val="15"/>
                <w:color w:val="0000FF"/>
              </w:rPr>
            </w:pPr>
            <w:hyperlink r:id="rId187">
              <w:r>
                <w:rPr>
                  <w:rFonts w:ascii="Times New Roman" w:cs="Times New Roman" w:eastAsia="Times New Roman" w:hAnsi="Times New Roman"/>
                  <w:sz w:val="15"/>
                  <w:szCs w:val="15"/>
                  <w:color w:val="0000FF"/>
                </w:rPr>
                <w:t>dated August 8, 2024</w:t>
              </w:r>
            </w:hyperlink>
          </w:p>
        </w:tc>
        <w:tc>
          <w:tcPr>
            <w:tcW w:w="18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520" w:type="dxa"/>
            <w:vAlign w:val="bottom"/>
            <w:gridSpan w:val="3"/>
          </w:tcPr>
          <w:p>
            <w:pPr>
              <w:jc w:val="center"/>
              <w:spacing w:after="0"/>
              <w:rPr>
                <w:rFonts w:ascii="Times New Roman" w:cs="Times New Roman" w:eastAsia="Times New Roman" w:hAnsi="Times New Roman"/>
                <w:sz w:val="18"/>
                <w:szCs w:val="18"/>
                <w:color w:val="0000FF"/>
                <w:w w:val="98"/>
              </w:rPr>
            </w:pPr>
            <w:r>
              <w:rPr>
                <w:rFonts w:ascii="Times New Roman" w:cs="Times New Roman" w:eastAsia="Times New Roman" w:hAnsi="Times New Roman"/>
                <w:sz w:val="18"/>
                <w:szCs w:val="18"/>
                <w:color w:val="0000FF"/>
                <w:w w:val="98"/>
              </w:rPr>
              <w:t>10.</w:t>
            </w:r>
            <w:hyperlink r:id="rId188">
              <w:r>
                <w:rPr>
                  <w:rFonts w:ascii="Times New Roman" w:cs="Times New Roman" w:eastAsia="Times New Roman" w:hAnsi="Times New Roman"/>
                  <w:sz w:val="18"/>
                  <w:szCs w:val="18"/>
                  <w:u w:val="single" w:color="auto"/>
                  <w:color w:val="0000FF"/>
                  <w:w w:val="98"/>
                </w:rPr>
                <w:t>11+</w:t>
              </w:r>
            </w:hyperlink>
          </w:p>
        </w:tc>
        <w:tc>
          <w:tcPr>
            <w:tcW w:w="380" w:type="dxa"/>
            <w:vAlign w:val="bottom"/>
          </w:tcPr>
          <w:p>
            <w:pPr>
              <w:spacing w:after="0"/>
              <w:rPr>
                <w:sz w:val="20"/>
                <w:szCs w:val="20"/>
                <w:color w:val="auto"/>
              </w:rPr>
            </w:pPr>
          </w:p>
        </w:tc>
        <w:tc>
          <w:tcPr>
            <w:tcW w:w="4980" w:type="dxa"/>
            <w:vAlign w:val="bottom"/>
            <w:gridSpan w:val="25"/>
          </w:tcPr>
          <w:p>
            <w:pPr>
              <w:spacing w:after="0"/>
              <w:rPr>
                <w:rFonts w:ascii="Times New Roman" w:cs="Times New Roman" w:eastAsia="Times New Roman" w:hAnsi="Times New Roman"/>
                <w:sz w:val="18"/>
                <w:szCs w:val="18"/>
                <w:color w:val="0000FF"/>
                <w:w w:val="97"/>
              </w:rPr>
            </w:pPr>
            <w:hyperlink r:id="rId188">
              <w:r>
                <w:rPr>
                  <w:rFonts w:ascii="Times New Roman" w:cs="Times New Roman" w:eastAsia="Times New Roman" w:hAnsi="Times New Roman"/>
                  <w:sz w:val="18"/>
                  <w:szCs w:val="18"/>
                  <w:color w:val="0000FF"/>
                  <w:w w:val="97"/>
                </w:rPr>
                <w:t>Offer Letter by and between the Company and Robert Schilling, dated</w:t>
              </w:r>
            </w:hyperlink>
          </w:p>
        </w:tc>
      </w:tr>
      <w:tr>
        <w:trPr>
          <w:trHeight w:val="132"/>
        </w:trPr>
        <w:tc>
          <w:tcPr>
            <w:tcW w:w="12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80" w:type="dxa"/>
            <w:vAlign w:val="bottom"/>
          </w:tcPr>
          <w:p>
            <w:pPr>
              <w:spacing w:after="0"/>
              <w:rPr>
                <w:sz w:val="11"/>
                <w:szCs w:val="11"/>
                <w:color w:val="auto"/>
              </w:rPr>
            </w:pPr>
          </w:p>
        </w:tc>
        <w:tc>
          <w:tcPr>
            <w:tcW w:w="4960" w:type="dxa"/>
            <w:vAlign w:val="bottom"/>
            <w:tcBorders>
              <w:top w:val="single" w:sz="8" w:color="0000FF"/>
            </w:tcBorders>
            <w:gridSpan w:val="24"/>
          </w:tcPr>
          <w:p>
            <w:pPr>
              <w:spacing w:after="0" w:line="133" w:lineRule="exact"/>
              <w:rPr>
                <w:rFonts w:ascii="Times New Roman" w:cs="Times New Roman" w:eastAsia="Times New Roman" w:hAnsi="Times New Roman"/>
                <w:sz w:val="15"/>
                <w:szCs w:val="15"/>
                <w:color w:val="0000FF"/>
              </w:rPr>
            </w:pPr>
            <w:hyperlink r:id="rId188">
              <w:r>
                <w:rPr>
                  <w:rFonts w:ascii="Times New Roman" w:cs="Times New Roman" w:eastAsia="Times New Roman" w:hAnsi="Times New Roman"/>
                  <w:sz w:val="15"/>
                  <w:szCs w:val="15"/>
                  <w:color w:val="0000FF"/>
                </w:rPr>
                <w:t>June 5, 2025.</w:t>
              </w:r>
            </w:hyperlink>
          </w:p>
        </w:tc>
        <w:tc>
          <w:tcPr>
            <w:tcW w:w="20" w:type="dxa"/>
            <w:vAlign w:val="bottom"/>
          </w:tcPr>
          <w:p>
            <w:pPr>
              <w:spacing w:after="0"/>
              <w:rPr>
                <w:sz w:val="11"/>
                <w:szCs w:val="1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2"/>
        </w:trPr>
        <w:tc>
          <w:tcPr>
            <w:tcW w:w="520" w:type="dxa"/>
            <w:vAlign w:val="bottom"/>
            <w:gridSpan w:val="3"/>
          </w:tcPr>
          <w:p>
            <w:pPr>
              <w:jc w:val="center"/>
              <w:spacing w:after="0"/>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380" w:type="dxa"/>
            <w:vAlign w:val="bottom"/>
          </w:tcPr>
          <w:p>
            <w:pPr>
              <w:spacing w:after="0"/>
              <w:rPr>
                <w:sz w:val="20"/>
                <w:szCs w:val="20"/>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C3.</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0000FF"/>
                </w:rPr>
                <w:t xml:space="preserve"> Inc. 2025 Inducement Plan</w:t>
              </w:r>
            </w:hyperlink>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520" w:type="dxa"/>
            <w:vAlign w:val="bottom"/>
            <w:gridSpan w:val="3"/>
          </w:tcPr>
          <w:p>
            <w:pPr>
              <w:jc w:val="center"/>
              <w:spacing w:after="0"/>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380" w:type="dxa"/>
            <w:vAlign w:val="bottom"/>
          </w:tcPr>
          <w:p>
            <w:pPr>
              <w:spacing w:after="0"/>
              <w:rPr>
                <w:sz w:val="21"/>
                <w:szCs w:val="21"/>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2025 Inducement Plan Form of RSU Grant Package</w:t>
              </w:r>
            </w:hyperlink>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520" w:type="dxa"/>
            <w:vAlign w:val="bottom"/>
            <w:gridSpan w:val="3"/>
          </w:tcPr>
          <w:p>
            <w:pPr>
              <w:jc w:val="center"/>
              <w:spacing w:after="0"/>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380" w:type="dxa"/>
            <w:vAlign w:val="bottom"/>
          </w:tcPr>
          <w:p>
            <w:pPr>
              <w:spacing w:after="0"/>
              <w:rPr>
                <w:sz w:val="21"/>
                <w:szCs w:val="21"/>
                <w:color w:val="auto"/>
              </w:rPr>
            </w:pPr>
          </w:p>
        </w:tc>
        <w:tc>
          <w:tcPr>
            <w:tcW w:w="4980" w:type="dxa"/>
            <w:vAlign w:val="bottom"/>
            <w:gridSpan w:val="25"/>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2025 Inducement Plan Form of Stock Option Grant Package</w:t>
              </w:r>
            </w:hyperlink>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3"/>
              </w:rPr>
              <w:t>19.</w:t>
            </w:r>
            <w:r>
              <w:rPr>
                <w:rFonts w:ascii="Times New Roman" w:cs="Times New Roman" w:eastAsia="Times New Roman" w:hAnsi="Times New Roman"/>
                <w:sz w:val="18"/>
                <w:szCs w:val="18"/>
                <w:u w:val="single" w:color="auto"/>
                <w:color w:val="0000FF"/>
                <w:w w:val="83"/>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9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C3.</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0000FF"/>
              </w:rPr>
              <w:t xml:space="preserve"> Inc. Insider Trading Policy (FY26 Amended)</w:t>
            </w: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3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83"/>
              </w:rPr>
              <w:t>21.</w:t>
            </w:r>
            <w:r>
              <w:rPr>
                <w:rFonts w:ascii="Times New Roman" w:cs="Times New Roman" w:eastAsia="Times New Roman" w:hAnsi="Times New Roman"/>
                <w:sz w:val="18"/>
                <w:szCs w:val="18"/>
                <w:u w:val="single" w:color="auto"/>
                <w:color w:val="0000FF"/>
                <w:w w:val="83"/>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9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List of subsidiaries of the Registrant.</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0000FF"/>
            </w:tcBorders>
            <w:gridSpan w:val="3"/>
          </w:tcPr>
          <w:p>
            <w:pPr>
              <w:spacing w:after="0" w:line="20" w:lineRule="exact"/>
              <w:rPr>
                <w:sz w:val="1"/>
                <w:szCs w:val="1"/>
                <w:color w:val="auto"/>
              </w:rPr>
            </w:pPr>
          </w:p>
        </w:tc>
        <w:tc>
          <w:tcPr>
            <w:tcW w:w="1160" w:type="dxa"/>
            <w:vAlign w:val="bottom"/>
            <w:tcBorders>
              <w:bottom w:val="single" w:sz="8" w:color="0000FF"/>
            </w:tcBorders>
            <w:gridSpan w:val="4"/>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2"/>
        </w:trPr>
        <w:tc>
          <w:tcPr>
            <w:tcW w:w="42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9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FF"/>
              </w:rPr>
              <w:t>Consent of Deloitte &amp; Touche LLP, independent registered public</w:t>
            </w:r>
          </w:p>
        </w:tc>
      </w:tr>
      <w:tr>
        <w:trPr>
          <w:trHeight w:val="132"/>
        </w:trPr>
        <w:tc>
          <w:tcPr>
            <w:tcW w:w="12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80" w:type="dxa"/>
            <w:vAlign w:val="bottom"/>
            <w:tcBorders>
              <w:top w:val="single" w:sz="8" w:color="0000FF"/>
            </w:tcBorders>
            <w:gridSpan w:val="20"/>
          </w:tcPr>
          <w:p>
            <w:pPr>
              <w:spacing w:after="0" w:line="133" w:lineRule="exact"/>
              <w:rPr>
                <w:sz w:val="20"/>
                <w:szCs w:val="20"/>
                <w:color w:val="auto"/>
              </w:rPr>
            </w:pPr>
            <w:r>
              <w:rPr>
                <w:rFonts w:ascii="Times New Roman" w:cs="Times New Roman" w:eastAsia="Times New Roman" w:hAnsi="Times New Roman"/>
                <w:sz w:val="15"/>
                <w:szCs w:val="15"/>
                <w:color w:val="0000FF"/>
              </w:rPr>
              <w:t>accounting firm.</w:t>
            </w:r>
          </w:p>
        </w:tc>
        <w:tc>
          <w:tcPr>
            <w:tcW w:w="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2"/>
        </w:trPr>
        <w:tc>
          <w:tcPr>
            <w:tcW w:w="120" w:type="dxa"/>
            <w:vAlign w:val="bottom"/>
          </w:tcPr>
          <w:p>
            <w:pPr>
              <w:spacing w:after="0"/>
              <w:rPr>
                <w:sz w:val="20"/>
                <w:szCs w:val="20"/>
                <w:color w:val="auto"/>
              </w:rPr>
            </w:pPr>
          </w:p>
        </w:tc>
        <w:tc>
          <w:tcPr>
            <w:tcW w:w="3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83"/>
              </w:rPr>
              <w:t>24.</w:t>
            </w:r>
            <w:r>
              <w:rPr>
                <w:rFonts w:ascii="Times New Roman" w:cs="Times New Roman" w:eastAsia="Times New Roman" w:hAnsi="Times New Roman"/>
                <w:sz w:val="18"/>
                <w:szCs w:val="18"/>
                <w:u w:val="single" w:color="auto"/>
                <w:color w:val="0000FF"/>
                <w:w w:val="83"/>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bottom w:val="single" w:sz="8" w:color="0000FF"/>
            </w:tcBorders>
            <w:gridSpan w:val="7"/>
          </w:tcPr>
          <w:p>
            <w:pPr>
              <w:spacing w:after="0" w:line="20" w:lineRule="exact"/>
              <w:rPr>
                <w:sz w:val="1"/>
                <w:szCs w:val="1"/>
                <w:color w:val="auto"/>
              </w:rPr>
            </w:pPr>
          </w:p>
        </w:tc>
        <w:tc>
          <w:tcPr>
            <w:tcW w:w="1060" w:type="dxa"/>
            <w:vAlign w:val="bottom"/>
            <w:tcBorders>
              <w:bottom w:val="single" w:sz="8" w:color="0000FF"/>
            </w:tcBorders>
            <w:gridSpan w:val="5"/>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2"/>
        </w:trPr>
        <w:tc>
          <w:tcPr>
            <w:tcW w:w="42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9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FF"/>
              </w:rPr>
              <w:t>Certification of Chief Executive Officer pursuant to Exchange Act</w:t>
            </w:r>
          </w:p>
        </w:tc>
      </w:tr>
      <w:tr>
        <w:trPr>
          <w:trHeight w:val="132"/>
        </w:trPr>
        <w:tc>
          <w:tcPr>
            <w:tcW w:w="12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720" w:type="dxa"/>
            <w:vAlign w:val="bottom"/>
            <w:tcBorders>
              <w:top w:val="single" w:sz="8" w:color="0000FF"/>
            </w:tcBorders>
            <w:gridSpan w:val="21"/>
          </w:tcPr>
          <w:p>
            <w:pPr>
              <w:spacing w:after="0" w:line="133" w:lineRule="exact"/>
              <w:rPr>
                <w:sz w:val="20"/>
                <w:szCs w:val="20"/>
                <w:color w:val="auto"/>
              </w:rPr>
            </w:pPr>
            <w:r>
              <w:rPr>
                <w:rFonts w:ascii="Times New Roman" w:cs="Times New Roman" w:eastAsia="Times New Roman" w:hAnsi="Times New Roman"/>
                <w:sz w:val="15"/>
                <w:szCs w:val="15"/>
                <w:color w:val="0000FF"/>
              </w:rPr>
              <w:t>Rules 13a-14(a) and 15d-14(a), as adopted pursuant to Section 302</w:t>
            </w:r>
          </w:p>
        </w:tc>
        <w:tc>
          <w:tcPr>
            <w:tcW w:w="260" w:type="dxa"/>
            <w:vAlign w:val="bottom"/>
            <w:gridSpan w:val="4"/>
          </w:tcPr>
          <w:p>
            <w:pPr>
              <w:ind w:left="60"/>
              <w:spacing w:after="0" w:line="133" w:lineRule="exact"/>
              <w:rPr>
                <w:sz w:val="20"/>
                <w:szCs w:val="20"/>
                <w:color w:val="auto"/>
              </w:rPr>
            </w:pPr>
            <w:r>
              <w:rPr>
                <w:rFonts w:ascii="Times New Roman" w:cs="Times New Roman" w:eastAsia="Times New Roman" w:hAnsi="Times New Roman"/>
                <w:sz w:val="15"/>
                <w:szCs w:val="15"/>
                <w:color w:val="0000FF"/>
              </w:rPr>
              <w:t>of</w:t>
            </w:r>
          </w:p>
        </w:tc>
      </w:tr>
      <w:tr>
        <w:trPr>
          <w:trHeight w:val="165"/>
        </w:trPr>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Borders>
              <w:top w:val="single" w:sz="8" w:color="0000FF"/>
            </w:tcBorders>
            <w:gridSpan w:val="22"/>
          </w:tcPr>
          <w:p>
            <w:pPr>
              <w:spacing w:after="0" w:line="165"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40" w:type="dxa"/>
            <w:vAlign w:val="bottom"/>
            <w:gridSpan w:val="2"/>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2660" w:type="dxa"/>
            <w:vAlign w:val="bottom"/>
            <w:gridSpan w:val="17"/>
          </w:tcPr>
          <w:p>
            <w:pPr>
              <w:spacing w:after="0" w:line="20" w:lineRule="exact"/>
              <w:rPr>
                <w:sz w:val="1"/>
                <w:szCs w:val="1"/>
                <w:color w:val="auto"/>
              </w:rPr>
            </w:pPr>
          </w:p>
        </w:tc>
      </w:tr>
      <w:tr>
        <w:trPr>
          <w:trHeight w:val="207"/>
        </w:trPr>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0000FF"/>
                <w:w w:val="98"/>
              </w:rPr>
              <w:t>31.2*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80" w:type="dxa"/>
            <w:vAlign w:val="bottom"/>
            <w:gridSpan w:val="25"/>
          </w:tcPr>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Exchange Act</w:t>
            </w:r>
          </w:p>
        </w:tc>
      </w:tr>
    </w:tbl>
    <w:p>
      <w:pPr>
        <w:ind w:left="900" w:right="40"/>
        <w:spacing w:after="0" w:line="230" w:lineRule="auto"/>
        <w:rPr>
          <w:sz w:val="20"/>
          <w:szCs w:val="20"/>
          <w:color w:val="auto"/>
        </w:rPr>
      </w:pPr>
      <w:r>
        <w:rPr>
          <w:rFonts w:ascii="Times New Roman" w:cs="Times New Roman" w:eastAsia="Times New Roman" w:hAnsi="Times New Roman"/>
          <w:sz w:val="18"/>
          <w:szCs w:val="18"/>
          <w:u w:val="single" w:color="auto"/>
          <w:color w:val="0000FF"/>
        </w:rPr>
        <w:t>Rules 13a-14(a) and 15d-14(a),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170180</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November 13, 20</w:t>
            </w:r>
          </w:p>
        </w:tc>
        <w:tc>
          <w:tcPr>
            <w:tcW w:w="0" w:type="dxa"/>
            <w:vAlign w:val="bottom"/>
          </w:tcPr>
          <w:p>
            <w:pPr>
              <w:spacing w:after="0"/>
              <w:rPr>
                <w:sz w:val="1"/>
                <w:szCs w:val="1"/>
                <w:color w:val="auto"/>
              </w:rPr>
            </w:pPr>
          </w:p>
        </w:tc>
      </w:tr>
      <w:tr>
        <w:trPr>
          <w:trHeight w:val="477"/>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November 13, 20</w:t>
            </w:r>
          </w:p>
        </w:tc>
        <w:tc>
          <w:tcPr>
            <w:tcW w:w="0" w:type="dxa"/>
            <w:vAlign w:val="bottom"/>
          </w:tcPr>
          <w:p>
            <w:pPr>
              <w:spacing w:after="0"/>
              <w:rPr>
                <w:sz w:val="1"/>
                <w:szCs w:val="1"/>
                <w:color w:val="auto"/>
              </w:rPr>
            </w:pPr>
          </w:p>
        </w:tc>
      </w:tr>
      <w:tr>
        <w:trPr>
          <w:trHeight w:val="477"/>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November 13, 20</w:t>
            </w:r>
          </w:p>
        </w:tc>
        <w:tc>
          <w:tcPr>
            <w:tcW w:w="0" w:type="dxa"/>
            <w:vAlign w:val="bottom"/>
          </w:tcPr>
          <w:p>
            <w:pPr>
              <w:spacing w:after="0"/>
              <w:rPr>
                <w:sz w:val="1"/>
                <w:szCs w:val="1"/>
                <w:color w:val="auto"/>
              </w:rPr>
            </w:pPr>
          </w:p>
        </w:tc>
      </w:tr>
      <w:tr>
        <w:trPr>
          <w:trHeight w:val="477"/>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December 2, 202</w:t>
            </w:r>
          </w:p>
        </w:tc>
        <w:tc>
          <w:tcPr>
            <w:tcW w:w="0" w:type="dxa"/>
            <w:vAlign w:val="bottom"/>
          </w:tcPr>
          <w:p>
            <w:pPr>
              <w:spacing w:after="0"/>
              <w:rPr>
                <w:sz w:val="1"/>
                <w:szCs w:val="1"/>
                <w:color w:val="auto"/>
              </w:rPr>
            </w:pPr>
          </w:p>
        </w:tc>
      </w:tr>
      <w:tr>
        <w:trPr>
          <w:trHeight w:val="451"/>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10.9.4</w:t>
            </w:r>
          </w:p>
        </w:tc>
        <w:tc>
          <w:tcPr>
            <w:tcW w:w="148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June 23, 2022</w:t>
            </w:r>
          </w:p>
        </w:tc>
        <w:tc>
          <w:tcPr>
            <w:tcW w:w="0" w:type="dxa"/>
            <w:vAlign w:val="bottom"/>
          </w:tcPr>
          <w:p>
            <w:pPr>
              <w:spacing w:after="0"/>
              <w:rPr>
                <w:sz w:val="1"/>
                <w:szCs w:val="1"/>
                <w:color w:val="auto"/>
              </w:rPr>
            </w:pPr>
          </w:p>
        </w:tc>
      </w:tr>
      <w:tr>
        <w:trPr>
          <w:trHeight w:val="477"/>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477"/>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November 13, 20</w:t>
            </w:r>
          </w:p>
        </w:tc>
        <w:tc>
          <w:tcPr>
            <w:tcW w:w="0" w:type="dxa"/>
            <w:vAlign w:val="bottom"/>
          </w:tcPr>
          <w:p>
            <w:pPr>
              <w:spacing w:after="0"/>
              <w:rPr>
                <w:sz w:val="1"/>
                <w:szCs w:val="1"/>
                <w:color w:val="auto"/>
              </w:rPr>
            </w:pPr>
          </w:p>
        </w:tc>
      </w:tr>
      <w:tr>
        <w:trPr>
          <w:trHeight w:val="477"/>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November 13, 20</w:t>
            </w:r>
          </w:p>
        </w:tc>
        <w:tc>
          <w:tcPr>
            <w:tcW w:w="0" w:type="dxa"/>
            <w:vAlign w:val="bottom"/>
          </w:tcPr>
          <w:p>
            <w:pPr>
              <w:spacing w:after="0"/>
              <w:rPr>
                <w:sz w:val="1"/>
                <w:szCs w:val="1"/>
                <w:color w:val="auto"/>
              </w:rPr>
            </w:pPr>
          </w:p>
        </w:tc>
      </w:tr>
      <w:tr>
        <w:trPr>
          <w:trHeight w:val="689"/>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November 13, 20</w:t>
            </w:r>
          </w:p>
        </w:tc>
        <w:tc>
          <w:tcPr>
            <w:tcW w:w="0" w:type="dxa"/>
            <w:vAlign w:val="bottom"/>
          </w:tcPr>
          <w:p>
            <w:pPr>
              <w:spacing w:after="0"/>
              <w:rPr>
                <w:sz w:val="1"/>
                <w:szCs w:val="1"/>
                <w:color w:val="auto"/>
              </w:rPr>
            </w:pPr>
          </w:p>
        </w:tc>
      </w:tr>
      <w:tr>
        <w:trPr>
          <w:trHeight w:val="477"/>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December 2, 202</w:t>
            </w:r>
          </w:p>
        </w:tc>
        <w:tc>
          <w:tcPr>
            <w:tcW w:w="0" w:type="dxa"/>
            <w:vAlign w:val="bottom"/>
          </w:tcPr>
          <w:p>
            <w:pPr>
              <w:spacing w:after="0"/>
              <w:rPr>
                <w:sz w:val="1"/>
                <w:szCs w:val="1"/>
                <w:color w:val="auto"/>
              </w:rPr>
            </w:pPr>
          </w:p>
        </w:tc>
      </w:tr>
      <w:tr>
        <w:trPr>
          <w:trHeight w:val="450"/>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December 2, 202</w:t>
            </w:r>
          </w:p>
        </w:tc>
        <w:tc>
          <w:tcPr>
            <w:tcW w:w="0" w:type="dxa"/>
            <w:vAlign w:val="bottom"/>
          </w:tcPr>
          <w:p>
            <w:pPr>
              <w:spacing w:after="0"/>
              <w:rPr>
                <w:sz w:val="1"/>
                <w:szCs w:val="1"/>
                <w:color w:val="auto"/>
              </w:rPr>
            </w:pPr>
          </w:p>
        </w:tc>
      </w:tr>
      <w:tr>
        <w:trPr>
          <w:trHeight w:val="450"/>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February 29, 202</w:t>
            </w:r>
          </w:p>
        </w:tc>
        <w:tc>
          <w:tcPr>
            <w:tcW w:w="0" w:type="dxa"/>
            <w:vAlign w:val="bottom"/>
          </w:tcPr>
          <w:p>
            <w:pPr>
              <w:spacing w:after="0"/>
              <w:rPr>
                <w:sz w:val="1"/>
                <w:szCs w:val="1"/>
                <w:color w:val="auto"/>
              </w:rPr>
            </w:pPr>
          </w:p>
        </w:tc>
      </w:tr>
      <w:tr>
        <w:trPr>
          <w:trHeight w:val="411"/>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w w:val="93"/>
              </w:rPr>
              <w:t>September 5, 202</w:t>
            </w:r>
          </w:p>
        </w:tc>
        <w:tc>
          <w:tcPr>
            <w:tcW w:w="0" w:type="dxa"/>
            <w:vAlign w:val="bottom"/>
          </w:tcPr>
          <w:p>
            <w:pPr>
              <w:spacing w:after="0"/>
              <w:rPr>
                <w:sz w:val="1"/>
                <w:szCs w:val="1"/>
                <w:color w:val="auto"/>
              </w:rPr>
            </w:pPr>
          </w:p>
        </w:tc>
      </w:tr>
      <w:tr>
        <w:trPr>
          <w:trHeight w:val="66"/>
        </w:trPr>
        <w:tc>
          <w:tcPr>
            <w:tcW w:w="6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4"/>
        </w:trPr>
        <w:tc>
          <w:tcPr>
            <w:tcW w:w="64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001-39744</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vMerge w:val="restart"/>
          </w:tcPr>
          <w:p>
            <w:pPr>
              <w:jc w:val="center"/>
              <w:ind w:left="312"/>
              <w:spacing w:after="0"/>
              <w:rPr>
                <w:sz w:val="20"/>
                <w:szCs w:val="20"/>
                <w:color w:val="auto"/>
              </w:rPr>
            </w:pPr>
            <w:r>
              <w:rPr>
                <w:rFonts w:ascii="Times New Roman" w:cs="Times New Roman" w:eastAsia="Times New Roman" w:hAnsi="Times New Roman"/>
                <w:sz w:val="18"/>
                <w:szCs w:val="18"/>
                <w:color w:val="auto"/>
                <w:w w:val="99"/>
              </w:rPr>
              <w:t>June 23, 2025</w:t>
            </w:r>
          </w:p>
        </w:tc>
        <w:tc>
          <w:tcPr>
            <w:tcW w:w="0" w:type="dxa"/>
            <w:vAlign w:val="bottom"/>
          </w:tcPr>
          <w:p>
            <w:pPr>
              <w:spacing w:after="0"/>
              <w:rPr>
                <w:sz w:val="1"/>
                <w:szCs w:val="1"/>
                <w:color w:val="auto"/>
              </w:rPr>
            </w:pPr>
          </w:p>
        </w:tc>
      </w:tr>
      <w:tr>
        <w:trPr>
          <w:trHeight w:val="66"/>
        </w:trPr>
        <w:tc>
          <w:tcPr>
            <w:tcW w:w="64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5"/>
              </w:rPr>
              <w:t>S-8</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333-290265</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1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September 15, 20</w:t>
            </w:r>
          </w:p>
        </w:tc>
        <w:tc>
          <w:tcPr>
            <w:tcW w:w="0" w:type="dxa"/>
            <w:vAlign w:val="bottom"/>
          </w:tcPr>
          <w:p>
            <w:pPr>
              <w:spacing w:after="0"/>
              <w:rPr>
                <w:sz w:val="1"/>
                <w:szCs w:val="1"/>
                <w:color w:val="auto"/>
              </w:rPr>
            </w:pPr>
          </w:p>
        </w:tc>
      </w:tr>
      <w:tr>
        <w:trPr>
          <w:trHeight w:val="265"/>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5"/>
              </w:rPr>
              <w:t>S-8</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333-290265</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September 15, 20</w:t>
            </w:r>
          </w:p>
        </w:tc>
        <w:tc>
          <w:tcPr>
            <w:tcW w:w="0" w:type="dxa"/>
            <w:vAlign w:val="bottom"/>
          </w:tcPr>
          <w:p>
            <w:pPr>
              <w:spacing w:after="0"/>
              <w:rPr>
                <w:sz w:val="1"/>
                <w:szCs w:val="1"/>
                <w:color w:val="auto"/>
              </w:rPr>
            </w:pPr>
          </w:p>
        </w:tc>
      </w:tr>
      <w:tr>
        <w:trPr>
          <w:trHeight w:val="265"/>
        </w:trPr>
        <w:tc>
          <w:tcPr>
            <w:tcW w:w="6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5"/>
              </w:rPr>
              <w:t>S-8</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333-290265</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99.3</w:t>
            </w:r>
          </w:p>
        </w:tc>
        <w:tc>
          <w:tcPr>
            <w:tcW w:w="1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September 15, 20</w:t>
            </w:r>
          </w:p>
        </w:tc>
        <w:tc>
          <w:tcPr>
            <w:tcW w:w="0" w:type="dxa"/>
            <w:vAlign w:val="bottom"/>
          </w:tcPr>
          <w:p>
            <w:pPr>
              <w:spacing w:after="0"/>
              <w:rPr>
                <w:sz w:val="1"/>
                <w:szCs w:val="1"/>
                <w:color w:val="auto"/>
              </w:rPr>
            </w:pPr>
          </w:p>
        </w:tc>
      </w:tr>
    </w:tbl>
    <w:p>
      <w:pPr>
        <w:sectPr>
          <w:pgSz w:w="11900" w:h="16838" w:orient="portrait"/>
          <w:cols w:equalWidth="0" w:num="2">
            <w:col w:w="5860" w:space="400"/>
            <w:col w:w="4500"/>
          </w:cols>
          <w:pgMar w:left="900" w:top="1440" w:right="239" w:bottom="1440" w:gutter="0" w:footer="0" w:header="0"/>
        </w:sectPr>
      </w:pPr>
    </w:p>
    <w:bookmarkStart w:id="134" w:name="page135"/>
    <w:bookmarkEnd w:id="134"/>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3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FF"/>
        </w:rPr>
        <w:t>32.2**</w:t>
      </w:r>
    </w:p>
    <w:p>
      <w:pPr>
        <w:spacing w:after="0" w:line="376" w:lineRule="exact"/>
        <w:rPr>
          <w:sz w:val="20"/>
          <w:szCs w:val="20"/>
          <w:color w:val="auto"/>
        </w:rPr>
      </w:pPr>
    </w:p>
    <w:p>
      <w:pPr>
        <w:jc w:val="center"/>
        <w:ind w:left="440"/>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97.1+</w:t>
        </w:r>
      </w:hyperlink>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101.INS*</w:t>
      </w:r>
    </w:p>
    <w:p>
      <w:pPr>
        <w:spacing w:after="0" w:line="376" w:lineRule="exact"/>
        <w:rPr>
          <w:sz w:val="20"/>
          <w:szCs w:val="20"/>
          <w:color w:val="auto"/>
        </w:rPr>
      </w:pPr>
    </w:p>
    <w:p>
      <w:pPr>
        <w:jc w:val="center"/>
        <w:ind w:left="420" w:right="60"/>
        <w:spacing w:after="0" w:line="334" w:lineRule="auto"/>
        <w:rPr>
          <w:sz w:val="20"/>
          <w:szCs w:val="20"/>
          <w:color w:val="auto"/>
        </w:rPr>
      </w:pPr>
      <w:r>
        <w:rPr>
          <w:rFonts w:ascii="Times New Roman" w:cs="Times New Roman" w:eastAsia="Times New Roman" w:hAnsi="Times New Roman"/>
          <w:sz w:val="17"/>
          <w:szCs w:val="17"/>
          <w:color w:val="auto"/>
        </w:rPr>
        <w:t>101.SCH* 101.CAL* 101.DEF* 101.LAB* 101.PRE* 104**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280" w:hanging="274"/>
        <w:spacing w:after="0"/>
        <w:tabs>
          <w:tab w:leader="none" w:pos="2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 Section</w:t>
      </w:r>
    </w:p>
    <w:p>
      <w:pPr>
        <w:spacing w:after="0" w:line="215" w:lineRule="auto"/>
        <w:rPr>
          <w:sz w:val="20"/>
          <w:szCs w:val="20"/>
          <w:color w:val="auto"/>
        </w:rPr>
      </w:pPr>
      <w:r>
        <w:rPr>
          <w:rFonts w:ascii="Times New Roman" w:cs="Times New Roman" w:eastAsia="Times New Roman" w:hAnsi="Times New Roman"/>
          <w:sz w:val="18"/>
          <w:szCs w:val="18"/>
          <w:u w:val="single" w:color="auto"/>
          <w:color w:val="0000FF"/>
        </w:rPr>
        <w:t>1350, as adopted pursuant to Section 906 of the Sarbanes-Oxley Act</w:t>
      </w:r>
    </w:p>
    <w:p>
      <w:pPr>
        <w:spacing w:after="0"/>
        <w:rPr>
          <w:sz w:val="20"/>
          <w:szCs w:val="20"/>
          <w:color w:val="auto"/>
        </w:rPr>
      </w:pPr>
      <w:r>
        <w:rPr>
          <w:rFonts w:ascii="Times New Roman" w:cs="Times New Roman" w:eastAsia="Times New Roman" w:hAnsi="Times New Roman"/>
          <w:sz w:val="18"/>
          <w:szCs w:val="18"/>
          <w:u w:val="single" w:color="auto"/>
          <w:color w:val="0000FF"/>
        </w:rPr>
        <w:t>of 2002.</w:t>
      </w:r>
    </w:p>
    <w:p>
      <w:pPr>
        <w:spacing w:after="0" w:line="220"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w:t>
      </w:r>
    </w:p>
    <w:p>
      <w:pPr>
        <w:spacing w:after="0" w:line="215" w:lineRule="auto"/>
        <w:rPr>
          <w:sz w:val="20"/>
          <w:szCs w:val="20"/>
          <w:color w:val="auto"/>
        </w:rPr>
      </w:pPr>
      <w:r>
        <w:rPr>
          <w:rFonts w:ascii="Times New Roman" w:cs="Times New Roman" w:eastAsia="Times New Roman" w:hAnsi="Times New Roman"/>
          <w:sz w:val="18"/>
          <w:szCs w:val="18"/>
          <w:u w:val="single" w:color="auto"/>
          <w:color w:val="0000FF"/>
        </w:rPr>
        <w:t>1350, as adopted pursuant to Section 906 of the Sarbanes-Oxley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of 2002.</w:t>
      </w:r>
    </w:p>
    <w:p>
      <w:pPr>
        <w:spacing w:after="0" w:line="12" w:lineRule="exact"/>
        <w:rPr>
          <w:sz w:val="20"/>
          <w:szCs w:val="20"/>
          <w:color w:val="auto"/>
        </w:rPr>
      </w:pPr>
    </w:p>
    <w:p>
      <w:pPr>
        <w:spacing w:after="0"/>
        <w:tabs>
          <w:tab w:leader="none" w:pos="5340" w:val="left"/>
          <w:tab w:leader="none" w:pos="6280" w:val="left"/>
          <w:tab w:leader="none" w:pos="7740" w:val="left"/>
          <w:tab w:leader="none" w:pos="8780" w:val="left"/>
        </w:tabs>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u w:val="single" w:color="auto"/>
            <w:color w:val="0000FF"/>
          </w:rPr>
          <w:t>C3.ai, Inc. Incentive Compensation Recoupment Policy</w:t>
        </w:r>
      </w:hyperlink>
      <w:r>
        <w:rPr>
          <w:rFonts w:ascii="Times New Roman" w:cs="Times New Roman" w:eastAsia="Times New Roman" w:hAnsi="Times New Roman"/>
          <w:sz w:val="18"/>
          <w:szCs w:val="18"/>
          <w:color w:val="0000FF"/>
        </w:rPr>
        <w:tab/>
        <w:t>10-K</w:t>
        <w:tab/>
        <w:t>001-39744</w:t>
        <w:tab/>
        <w:t>97.1</w:t>
        <w:tab/>
      </w:r>
      <w:r>
        <w:rPr>
          <w:rFonts w:ascii="Times New Roman" w:cs="Times New Roman" w:eastAsia="Times New Roman" w:hAnsi="Times New Roman"/>
          <w:sz w:val="17"/>
          <w:szCs w:val="17"/>
          <w:color w:val="0000FF"/>
        </w:rPr>
        <w:t>June 18, 2024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w:t>
      </w:r>
    </w:p>
    <w:p>
      <w:pPr>
        <w:spacing w:after="0" w:line="215" w:lineRule="auto"/>
        <w:rPr>
          <w:sz w:val="20"/>
          <w:szCs w:val="20"/>
          <w:color w:val="auto"/>
        </w:rPr>
      </w:pPr>
      <w:r>
        <w:rPr>
          <w:rFonts w:ascii="Times New Roman" w:cs="Times New Roman" w:eastAsia="Times New Roman" w:hAnsi="Times New Roman"/>
          <w:sz w:val="18"/>
          <w:szCs w:val="18"/>
          <w:color w:val="auto"/>
        </w:rPr>
        <w:t>the Interactive Data File because its XBRL tags are embedded within</w:t>
      </w:r>
    </w:p>
    <w:p>
      <w:pPr>
        <w:spacing w:after="0"/>
        <w:rPr>
          <w:sz w:val="20"/>
          <w:szCs w:val="20"/>
          <w:color w:val="auto"/>
        </w:rPr>
      </w:pPr>
      <w:r>
        <w:rPr>
          <w:rFonts w:ascii="Times New Roman" w:cs="Times New Roman" w:eastAsia="Times New Roman" w:hAnsi="Times New Roman"/>
          <w:sz w:val="18"/>
          <w:szCs w:val="18"/>
          <w:color w:val="auto"/>
        </w:rPr>
        <w:t>the Inline XBRL document.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p>
      <w:pPr>
        <w:spacing w:after="0"/>
        <w:rPr>
          <w:sz w:val="20"/>
          <w:szCs w:val="20"/>
          <w:color w:val="auto"/>
        </w:rPr>
      </w:pPr>
      <w:r>
        <w:rPr>
          <w:rFonts w:ascii="Times New Roman" w:cs="Times New Roman" w:eastAsia="Times New Roman" w:hAnsi="Times New Roman"/>
          <w:sz w:val="18"/>
          <w:szCs w:val="18"/>
          <w:color w:val="auto"/>
        </w:rPr>
        <w:t>contained in Exhibits 101).</w:t>
      </w:r>
    </w:p>
    <w:p>
      <w:pPr>
        <w:spacing w:after="0" w:line="588" w:lineRule="exact"/>
        <w:rPr>
          <w:sz w:val="20"/>
          <w:szCs w:val="20"/>
          <w:color w:val="auto"/>
        </w:rPr>
      </w:pPr>
    </w:p>
    <w:p>
      <w:pPr>
        <w:sectPr>
          <w:pgSz w:w="11900" w:h="16838" w:orient="portrait"/>
          <w:cols w:equalWidth="0" w:num="2">
            <w:col w:w="1280" w:space="220"/>
            <w:col w:w="9800"/>
          </w:cols>
          <w:pgMar w:left="320" w:top="1440" w:right="279" w:bottom="1440" w:gutter="0" w:footer="0" w:header="0"/>
        </w:sectPr>
      </w:pPr>
    </w:p>
    <w:p>
      <w:pPr>
        <w:jc w:val="both"/>
        <w:ind w:left="320" w:right="60" w:hanging="314"/>
        <w:spacing w:after="0" w:line="256" w:lineRule="auto"/>
        <w:tabs>
          <w:tab w:leader="none" w:pos="29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Exhibits 32.1 and 32.2 that accompany this Annual Report on Form 10-K are not deemed filed with the SEC and are not to be incorporated by reference into any filing of the Registrant under the Securities Act of 1933, as amended, or the Exchange Act, whether made before or after the date of this Annual Report on Form 10-K, irrespective of any general incorporation language contained in such filing.</w:t>
      </w:r>
    </w:p>
    <w:p>
      <w:pPr>
        <w:spacing w:after="0" w:line="2" w:lineRule="exact"/>
        <w:rPr>
          <w:sz w:val="20"/>
          <w:szCs w:val="20"/>
          <w:color w:val="auto"/>
        </w:rPr>
      </w:pPr>
    </w:p>
    <w:p>
      <w:pPr>
        <w:ind w:left="300" w:hanging="294"/>
        <w:spacing w:after="0"/>
        <w:tabs>
          <w:tab w:leader="none" w:pos="3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 w:lineRule="exact"/>
        <w:rPr>
          <w:sz w:val="20"/>
          <w:szCs w:val="20"/>
          <w:color w:val="auto"/>
        </w:rPr>
      </w:pPr>
    </w:p>
    <w:p>
      <w:pPr>
        <w:ind w:left="320" w:right="80" w:hanging="314"/>
        <w:spacing w:after="0" w:line="267" w:lineRule="auto"/>
        <w:tabs>
          <w:tab w:leader="none" w:pos="31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as the registrant has determined that (1) the omitted information is not material and (2) the omitted information would likely cause competitive harm to the registrant if publicly disclosed.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type w:val="continuous"/>
        </w:sectPr>
      </w:pPr>
    </w:p>
    <w:bookmarkStart w:id="135" w:name="page136"/>
    <w:bookmarkEnd w:id="135"/>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33"/>
        </w:trPr>
        <w:tc>
          <w:tcPr>
            <w:tcW w:w="3540" w:type="dxa"/>
            <w:vAlign w:val="bottom"/>
          </w:tcPr>
          <w:p>
            <w:pPr>
              <w:spacing w:after="0"/>
              <w:rPr>
                <w:sz w:val="20"/>
                <w:szCs w:val="20"/>
                <w:color w:val="auto"/>
              </w:rPr>
            </w:pPr>
          </w:p>
        </w:tc>
        <w:tc>
          <w:tcPr>
            <w:tcW w:w="746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C3.ai, Inc.</w:t>
            </w:r>
          </w:p>
        </w:tc>
      </w:tr>
      <w:tr>
        <w:trPr>
          <w:trHeight w:val="5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74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Thomas Siebel</w:t>
            </w:r>
          </w:p>
        </w:tc>
      </w:tr>
      <w:tr>
        <w:trPr>
          <w:trHeight w:val="213"/>
        </w:trPr>
        <w:tc>
          <w:tcPr>
            <w:tcW w:w="3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Siebel</w:t>
            </w:r>
          </w:p>
        </w:tc>
      </w:tr>
      <w:tr>
        <w:trPr>
          <w:trHeight w:val="231"/>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8"/>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6" w:lineRule="exact"/>
        <w:rPr>
          <w:sz w:val="20"/>
          <w:szCs w:val="20"/>
          <w:color w:val="auto"/>
        </w:rPr>
      </w:pPr>
    </w:p>
    <w:p>
      <w:pPr>
        <w:jc w:val="both"/>
        <w:ind w:right="100" w:firstLine="318"/>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Thomas M. Siebel and Hitesh Lath, and each one of them, as his or her true and lawful attorney-in-fact and agent, with the power of substitution and re-substitution, for him or her and in their name, place and stead,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each of said attorneys-in-fact, or his or her substitute or substitutes, may do or cause to be done by virtue hereof.</w:t>
      </w:r>
    </w:p>
    <w:p>
      <w:pPr>
        <w:spacing w:after="0" w:line="134"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by the following persons on behalf of the registrant and in the capacities and on the dates indicated.</w:t>
      </w:r>
    </w:p>
    <w:p>
      <w:pPr>
        <w:sectPr>
          <w:pgSz w:w="11900" w:h="16838" w:orient="portrait"/>
          <w:cols w:equalWidth="0" w:num="1">
            <w:col w:w="11340"/>
          </w:cols>
          <w:pgMar w:left="320" w:top="1440"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2"/>
        </w:trPr>
        <w:tc>
          <w:tcPr>
            <w:tcW w:w="358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0" w:type="dxa"/>
            <w:vAlign w:val="bottom"/>
          </w:tcPr>
          <w:p>
            <w:pPr>
              <w:spacing w:after="0"/>
              <w:rPr>
                <w:sz w:val="1"/>
                <w:szCs w:val="1"/>
                <w:color w:val="auto"/>
              </w:rPr>
            </w:pPr>
          </w:p>
        </w:tc>
      </w:tr>
      <w:tr>
        <w:trPr>
          <w:trHeight w:val="470"/>
        </w:trPr>
        <w:tc>
          <w:tcPr>
            <w:tcW w:w="3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Siebel</w:t>
            </w:r>
          </w:p>
        </w:tc>
        <w:tc>
          <w:tcPr>
            <w:tcW w:w="14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Siebel</w:t>
            </w:r>
          </w:p>
        </w:tc>
        <w:tc>
          <w:tcPr>
            <w:tcW w:w="140" w:type="dxa"/>
            <w:vAlign w:val="bottom"/>
          </w:tcPr>
          <w:p>
            <w:pPr>
              <w:spacing w:after="0"/>
              <w:rPr>
                <w:sz w:val="18"/>
                <w:szCs w:val="18"/>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Chief Executive Officer and Chairman of the Board of Directors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Hitesh Lath</w:t>
            </w:r>
          </w:p>
        </w:tc>
        <w:tc>
          <w:tcPr>
            <w:tcW w:w="140" w:type="dxa"/>
            <w:vAlign w:val="bottom"/>
          </w:tcPr>
          <w:p>
            <w:pPr>
              <w:spacing w:after="0"/>
              <w:rPr>
                <w:sz w:val="24"/>
                <w:szCs w:val="24"/>
                <w:color w:val="auto"/>
              </w:rPr>
            </w:pPr>
          </w:p>
        </w:tc>
        <w:tc>
          <w:tcPr>
            <w:tcW w:w="4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Senior Vice President, Chief Financial Officer and Chief</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20" w:type="dxa"/>
            <w:vAlign w:val="bottom"/>
            <w:gridSpan w:val="2"/>
            <w:vMerge w:val="continue"/>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Hitesh Lath</w:t>
            </w:r>
          </w:p>
        </w:tc>
        <w:tc>
          <w:tcPr>
            <w:tcW w:w="140" w:type="dxa"/>
            <w:vAlign w:val="bottom"/>
          </w:tcPr>
          <w:p>
            <w:pPr>
              <w:spacing w:after="0"/>
              <w:rPr>
                <w:sz w:val="20"/>
                <w:szCs w:val="20"/>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Administrative Officer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8"/>
              </w:rPr>
              <w:t>(Principal Financial and 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Mike Clayville</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Mike Clayville</w:t>
            </w:r>
          </w:p>
        </w:tc>
        <w:tc>
          <w:tcPr>
            <w:tcW w:w="140" w:type="dxa"/>
            <w:vAlign w:val="bottom"/>
          </w:tcPr>
          <w:p>
            <w:pPr>
              <w:spacing w:after="0"/>
              <w:rPr>
                <w:sz w:val="19"/>
                <w:szCs w:val="19"/>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r>
        <w:trPr>
          <w:trHeight w:val="74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A. Goldman</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A. Goldman</w:t>
            </w:r>
          </w:p>
        </w:tc>
        <w:tc>
          <w:tcPr>
            <w:tcW w:w="140" w:type="dxa"/>
            <w:vAlign w:val="bottom"/>
          </w:tcPr>
          <w:p>
            <w:pPr>
              <w:spacing w:after="0"/>
              <w:rPr>
                <w:sz w:val="19"/>
                <w:szCs w:val="19"/>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r>
        <w:trPr>
          <w:trHeight w:val="74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General John Hyten, Ret.</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John Hyten, Ret.</w:t>
            </w:r>
          </w:p>
        </w:tc>
        <w:tc>
          <w:tcPr>
            <w:tcW w:w="140" w:type="dxa"/>
            <w:vAlign w:val="bottom"/>
          </w:tcPr>
          <w:p>
            <w:pPr>
              <w:spacing w:after="0"/>
              <w:rPr>
                <w:sz w:val="19"/>
                <w:szCs w:val="19"/>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r>
        <w:trPr>
          <w:trHeight w:val="74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C. Levin</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C. Levin</w:t>
            </w:r>
          </w:p>
        </w:tc>
        <w:tc>
          <w:tcPr>
            <w:tcW w:w="140" w:type="dxa"/>
            <w:vAlign w:val="bottom"/>
          </w:tcPr>
          <w:p>
            <w:pPr>
              <w:spacing w:after="0"/>
              <w:rPr>
                <w:sz w:val="19"/>
                <w:szCs w:val="19"/>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r>
        <w:trPr>
          <w:trHeight w:val="74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G. McCaffery</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 McCaffery</w:t>
            </w:r>
          </w:p>
        </w:tc>
        <w:tc>
          <w:tcPr>
            <w:tcW w:w="140" w:type="dxa"/>
            <w:vAlign w:val="bottom"/>
          </w:tcPr>
          <w:p>
            <w:pPr>
              <w:spacing w:after="0"/>
              <w:rPr>
                <w:sz w:val="19"/>
                <w:szCs w:val="19"/>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r>
        <w:trPr>
          <w:trHeight w:val="74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Alan Murray</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Murray</w:t>
            </w:r>
          </w:p>
        </w:tc>
        <w:tc>
          <w:tcPr>
            <w:tcW w:w="140" w:type="dxa"/>
            <w:vAlign w:val="bottom"/>
          </w:tcPr>
          <w:p>
            <w:pPr>
              <w:spacing w:after="0"/>
              <w:rPr>
                <w:sz w:val="19"/>
                <w:szCs w:val="19"/>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r>
        <w:trPr>
          <w:trHeight w:val="74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Condoleezza Rice</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Condoleezza Rice</w:t>
            </w:r>
          </w:p>
        </w:tc>
        <w:tc>
          <w:tcPr>
            <w:tcW w:w="140" w:type="dxa"/>
            <w:vAlign w:val="bottom"/>
          </w:tcPr>
          <w:p>
            <w:pPr>
              <w:spacing w:after="0"/>
              <w:rPr>
                <w:sz w:val="19"/>
                <w:szCs w:val="19"/>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r>
        <w:trPr>
          <w:trHeight w:val="74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Sewell</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Sewell</w:t>
            </w:r>
          </w:p>
        </w:tc>
        <w:tc>
          <w:tcPr>
            <w:tcW w:w="140" w:type="dxa"/>
            <w:vAlign w:val="bottom"/>
          </w:tcPr>
          <w:p>
            <w:pPr>
              <w:spacing w:after="0"/>
              <w:rPr>
                <w:sz w:val="19"/>
                <w:szCs w:val="19"/>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r>
        <w:trPr>
          <w:trHeight w:val="74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KR Sridhar</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 Sridhar</w:t>
            </w:r>
          </w:p>
        </w:tc>
        <w:tc>
          <w:tcPr>
            <w:tcW w:w="140" w:type="dxa"/>
            <w:vAlign w:val="bottom"/>
          </w:tcPr>
          <w:p>
            <w:pPr>
              <w:spacing w:after="0"/>
              <w:rPr>
                <w:sz w:val="19"/>
                <w:szCs w:val="19"/>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r>
        <w:trPr>
          <w:trHeight w:val="749"/>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M. Ward, Jr.</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M. Ward, Jr.</w:t>
            </w:r>
          </w:p>
        </w:tc>
        <w:tc>
          <w:tcPr>
            <w:tcW w:w="140" w:type="dxa"/>
            <w:vAlign w:val="bottom"/>
          </w:tcPr>
          <w:p>
            <w:pPr>
              <w:spacing w:after="0"/>
              <w:rPr>
                <w:sz w:val="19"/>
                <w:szCs w:val="19"/>
                <w:color w:val="auto"/>
              </w:rPr>
            </w:pPr>
          </w:p>
        </w:tc>
        <w:tc>
          <w:tcPr>
            <w:tcW w:w="4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23,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40"/>
          </w:cols>
          <w:pgMar w:left="640" w:top="159"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C3.ai, Inc. Insider Trading Policy</w:t>
      </w: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Approved by the Board of Directors</w:t>
      </w:r>
    </w:p>
    <w:p>
      <w:pPr>
        <w:spacing w:after="0" w:line="2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Adopted: November 12, 2020</w:t>
      </w:r>
    </w:p>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Amended and Restated: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21590</wp:posOffset>
            </wp:positionV>
            <wp:extent cx="5275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5275580" cy="8255"/>
                    </a:xfrm>
                    <a:prstGeom prst="rect">
                      <a:avLst/>
                    </a:prstGeom>
                    <a:noFill/>
                  </pic:spPr>
                </pic:pic>
              </a:graphicData>
            </a:graphic>
          </wp:anchor>
        </w:drawing>
      </w: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Policy Principles</w:t>
      </w:r>
    </w:p>
    <w:p>
      <w:pPr>
        <w:spacing w:after="0" w:line="259" w:lineRule="exact"/>
        <w:rPr>
          <w:sz w:val="20"/>
          <w:szCs w:val="20"/>
          <w:color w:val="auto"/>
        </w:rPr>
      </w:pPr>
    </w:p>
    <w:p>
      <w:pPr>
        <w:ind w:left="560" w:hanging="316"/>
        <w:spacing w:after="0" w:line="289" w:lineRule="auto"/>
        <w:tabs>
          <w:tab w:leader="none" w:pos="5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Personnel of C3.ai, Inc. and its subsidiaries (together, “</w:t>
      </w:r>
      <w:r>
        <w:rPr>
          <w:rFonts w:ascii="Times New Roman" w:cs="Times New Roman" w:eastAsia="Times New Roman" w:hAnsi="Times New Roman"/>
          <w:sz w:val="19"/>
          <w:szCs w:val="19"/>
          <w:b w:val="1"/>
          <w:bCs w:val="1"/>
          <w:i w:val="1"/>
          <w:iCs w:val="1"/>
          <w:color w:val="auto"/>
        </w:rPr>
        <w:t>C3 AI</w:t>
      </w:r>
      <w:r>
        <w:rPr>
          <w:rFonts w:ascii="Times New Roman" w:cs="Times New Roman" w:eastAsia="Times New Roman" w:hAnsi="Times New Roman"/>
          <w:sz w:val="19"/>
          <w:szCs w:val="19"/>
          <w:color w:val="auto"/>
        </w:rPr>
        <w:t>”) are responsible for understanding the obligations that come with having access to material nonpublic information and wanting to transact in C3 AI securities.</w:t>
      </w:r>
    </w:p>
    <w:p>
      <w:pPr>
        <w:spacing w:after="0" w:line="180" w:lineRule="exact"/>
        <w:rPr>
          <w:rFonts w:ascii="Times New Roman" w:cs="Times New Roman" w:eastAsia="Times New Roman" w:hAnsi="Times New Roman"/>
          <w:sz w:val="19"/>
          <w:szCs w:val="19"/>
          <w:color w:val="auto"/>
        </w:rPr>
      </w:pPr>
    </w:p>
    <w:p>
      <w:pPr>
        <w:ind w:left="560" w:hanging="316"/>
        <w:spacing w:after="0" w:line="300" w:lineRule="auto"/>
        <w:tabs>
          <w:tab w:leader="none" w:pos="5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C3 AI personnel who are aware of material nonpublic information relating to C3 AI may not engage in transactions in C3 AI securities except as permitted by this policy and applicable law.</w:t>
      </w:r>
    </w:p>
    <w:p>
      <w:pPr>
        <w:spacing w:after="0" w:line="156" w:lineRule="exact"/>
        <w:rPr>
          <w:rFonts w:ascii="Times New Roman" w:cs="Times New Roman" w:eastAsia="Times New Roman" w:hAnsi="Times New Roman"/>
          <w:sz w:val="19"/>
          <w:szCs w:val="19"/>
          <w:color w:val="auto"/>
        </w:rPr>
      </w:pPr>
    </w:p>
    <w:p>
      <w:pPr>
        <w:ind w:left="560" w:hanging="316"/>
        <w:spacing w:after="0" w:line="300" w:lineRule="auto"/>
        <w:tabs>
          <w:tab w:leader="none" w:pos="5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C3 AI personnel may not disclose material nonpublic information outside of C3 AI unless the disclosure is made in accordance with a specific C3 AI policy that authorizes such disclosure.</w:t>
      </w:r>
    </w:p>
    <w:p>
      <w:pPr>
        <w:spacing w:after="0" w:line="156" w:lineRule="exact"/>
        <w:rPr>
          <w:rFonts w:ascii="Times New Roman" w:cs="Times New Roman" w:eastAsia="Times New Roman" w:hAnsi="Times New Roman"/>
          <w:sz w:val="19"/>
          <w:szCs w:val="19"/>
          <w:color w:val="auto"/>
        </w:rPr>
      </w:pPr>
    </w:p>
    <w:p>
      <w:pPr>
        <w:ind w:left="560" w:hanging="316"/>
        <w:spacing w:after="0" w:line="300" w:lineRule="auto"/>
        <w:tabs>
          <w:tab w:leader="none" w:pos="5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C3 AI personnel may not disclose material nonpublic information to persons within C3 AI whose jobs do not require them to have that information.</w:t>
      </w:r>
    </w:p>
    <w:p>
      <w:pPr>
        <w:spacing w:after="0" w:line="169"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C3 AI personnel may not recommend the purchase or sale of any C3 AI securities.</w:t>
      </w:r>
    </w:p>
    <w:p>
      <w:pPr>
        <w:spacing w:after="0" w:line="245"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to this policy require approval by C3 AI’s Board of Directors or a duly appointed committee of the Board of Directors.</w:t>
      </w: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Policy Q&amp;A</w:t>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Policy Scope and Purpose</w:t>
      </w:r>
    </w:p>
    <w:p>
      <w:pPr>
        <w:spacing w:after="0" w:line="259" w:lineRule="exact"/>
        <w:rPr>
          <w:sz w:val="20"/>
          <w:szCs w:val="20"/>
          <w:color w:val="auto"/>
        </w:rPr>
      </w:pPr>
    </w:p>
    <w:p>
      <w:pPr>
        <w:ind w:left="460" w:hanging="455"/>
        <w:spacing w:after="0"/>
        <w:tabs>
          <w:tab w:leader="none" w:pos="460" w:val="left"/>
        </w:tabs>
        <w:numPr>
          <w:ilvl w:val="0"/>
          <w:numId w:val="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Why have an insider trading policy?</w:t>
      </w:r>
    </w:p>
    <w:p>
      <w:pPr>
        <w:spacing w:after="0" w:line="218" w:lineRule="exact"/>
        <w:rPr>
          <w:rFonts w:ascii="Times New Roman" w:cs="Times New Roman" w:eastAsia="Times New Roman" w:hAnsi="Times New Roman"/>
          <w:sz w:val="19"/>
          <w:szCs w:val="19"/>
          <w:b w:val="1"/>
          <w:bCs w:val="1"/>
          <w:color w:val="auto"/>
        </w:rPr>
      </w:pPr>
    </w:p>
    <w:p>
      <w:pPr>
        <w:ind w:left="680" w:right="120" w:hanging="627"/>
        <w:spacing w:after="0" w:line="268" w:lineRule="auto"/>
        <w:tabs>
          <w:tab w:leader="none" w:pos="476"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course of your relationship with C3 AI, you may receive material information that is not yet publicly available (“</w:t>
      </w:r>
      <w:r>
        <w:rPr>
          <w:rFonts w:ascii="Times New Roman" w:cs="Times New Roman" w:eastAsia="Times New Roman" w:hAnsi="Times New Roman"/>
          <w:sz w:val="19"/>
          <w:szCs w:val="19"/>
          <w:b w:val="1"/>
          <w:bCs w:val="1"/>
          <w:i w:val="1"/>
          <w:iCs w:val="1"/>
          <w:color w:val="auto"/>
        </w:rPr>
        <w:t>material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nonpublic information</w:t>
      </w:r>
      <w:r>
        <w:rPr>
          <w:rFonts w:ascii="Times New Roman" w:cs="Times New Roman" w:eastAsia="Times New Roman" w:hAnsi="Times New Roman"/>
          <w:sz w:val="19"/>
          <w:szCs w:val="19"/>
          <w:color w:val="auto"/>
        </w:rPr>
        <w:t>”) about C3 AI or other publicly traded companies with which C3 AI has business relationships. Material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nonpublic information may give you, or someone to whom you pass that information, a leg up over others when deciding whether to buy, sell, or otherwise transact in C3 AI securities or the securities of another publicly traded company. This policy sets forth guidelines with respect to transactions in C3 AI securities by persons subject to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Who is subject to this policy?</w:t>
      </w:r>
    </w:p>
    <w:p>
      <w:pPr>
        <w:spacing w:after="0" w:line="183" w:lineRule="exact"/>
        <w:rPr>
          <w:sz w:val="20"/>
          <w:szCs w:val="20"/>
          <w:color w:val="auto"/>
        </w:rPr>
      </w:pPr>
    </w:p>
    <w:p>
      <w:pPr>
        <w:ind w:left="640" w:hanging="635"/>
        <w:spacing w:after="0" w:line="273" w:lineRule="auto"/>
        <w:tabs>
          <w:tab w:leader="none" w:pos="456"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policy applies to you and all other employees, directors, officers, and designated independent contractors and consultants (including advisors) of C3 AI and its subsidiaries, both in and outside of the United States. This policy also applies to members of your immediate family (meaning persons with whom you share a household, persons who are your economic</w:t>
      </w:r>
    </w:p>
    <w:p>
      <w:pPr>
        <w:sectPr>
          <w:pgSz w:w="11900" w:h="16838" w:orient="portrait"/>
          <w:cols w:equalWidth="0" w:num="1">
            <w:col w:w="11160"/>
          </w:cols>
          <w:pgMar w:left="400" w:top="114"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9"/>
          <w:szCs w:val="19"/>
          <w:color w:val="auto"/>
        </w:rPr>
        <w:t>dependents, or persons whose transactions in Company securities are directed by you or are subject to your influence or control) and, unless otherwise determined by C3 AI, any other individuals or entities whose transactions in securities you influence, direct, or control (including, e.g., a venture or other investment fund, if you influence, direct, or control transactions by the fund). The foregoing persons who are deemed subject to this policy are referred to in this policy as “Related Persons.” You are responsible for making sure that your Related Persons comply with this policy.</w:t>
      </w:r>
    </w:p>
    <w:p>
      <w:pPr>
        <w:spacing w:after="0" w:line="203" w:lineRule="exact"/>
        <w:rPr>
          <w:sz w:val="20"/>
          <w:szCs w:val="20"/>
          <w:color w:val="auto"/>
        </w:rPr>
      </w:pPr>
    </w:p>
    <w:p>
      <w:pPr>
        <w:jc w:val="both"/>
        <w:ind w:left="640" w:right="540"/>
        <w:spacing w:after="0" w:line="273" w:lineRule="auto"/>
        <w:rPr>
          <w:sz w:val="20"/>
          <w:szCs w:val="20"/>
          <w:color w:val="auto"/>
        </w:rPr>
      </w:pPr>
      <w:r>
        <w:rPr>
          <w:rFonts w:ascii="Times New Roman" w:cs="Times New Roman" w:eastAsia="Times New Roman" w:hAnsi="Times New Roman"/>
          <w:sz w:val="19"/>
          <w:szCs w:val="19"/>
          <w:color w:val="auto"/>
        </w:rPr>
        <w:t>In addition, if you are an officer, director, employee, or designated consultant or independent contractors of C3 AI identified on Appendix A (“Specified Personnel”), you and your Related Persons are subject to the more restrictive quarterly trading blackout periods described below.</w:t>
      </w:r>
    </w:p>
    <w:p>
      <w:pPr>
        <w:spacing w:after="0" w:line="191" w:lineRule="exact"/>
        <w:rPr>
          <w:sz w:val="20"/>
          <w:szCs w:val="20"/>
          <w:color w:val="auto"/>
        </w:rPr>
      </w:pPr>
    </w:p>
    <w:p>
      <w:pPr>
        <w:ind w:left="320" w:hanging="267"/>
        <w:spacing w:after="0"/>
        <w:tabs>
          <w:tab w:leader="none" w:pos="320" w:val="left"/>
        </w:tabs>
        <w:numPr>
          <w:ilvl w:val="1"/>
          <w:numId w:val="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Whose responsibility is it to comply with this policy?</w:t>
      </w:r>
    </w:p>
    <w:p>
      <w:pPr>
        <w:spacing w:after="0" w:line="249" w:lineRule="exact"/>
        <w:rPr>
          <w:rFonts w:ascii="Times New Roman" w:cs="Times New Roman" w:eastAsia="Times New Roman" w:hAnsi="Times New Roman"/>
          <w:sz w:val="19"/>
          <w:szCs w:val="19"/>
          <w:b w:val="1"/>
          <w:bCs w:val="1"/>
          <w:color w:val="auto"/>
        </w:rPr>
      </w:pPr>
    </w:p>
    <w:p>
      <w:pPr>
        <w:ind w:left="560" w:hanging="555"/>
        <w:spacing w:after="0" w:line="263" w:lineRule="auto"/>
        <w:tabs>
          <w:tab w:leader="none" w:pos="273"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Persons subject to this policy have ethical and legal obligations to maintain the confidentiality of information about C3 AI and to not engage in transactions in C3 AI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C3 AI or any employee or director of C3 AI pursuant to this policy (or otherwise) does not in any way constitute legal advice or insulate an individual from liability under applicable securities laws. You could be subject to severe legal penalties and disciplinary action by C3 AI for any conduct prohibited by this policy or applicable securities laws.</w:t>
      </w:r>
    </w:p>
    <w:p>
      <w:pPr>
        <w:spacing w:after="0" w:line="201" w:lineRule="exact"/>
        <w:rPr>
          <w:rFonts w:ascii="Times New Roman" w:cs="Times New Roman" w:eastAsia="Times New Roman" w:hAnsi="Times New Roman"/>
          <w:sz w:val="19"/>
          <w:szCs w:val="19"/>
          <w:color w:val="auto"/>
        </w:rPr>
      </w:pPr>
    </w:p>
    <w:p>
      <w:pPr>
        <w:ind w:left="320" w:hanging="267"/>
        <w:spacing w:after="0"/>
        <w:tabs>
          <w:tab w:leader="none" w:pos="320" w:val="left"/>
        </w:tabs>
        <w:numPr>
          <w:ilvl w:val="1"/>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transactions are subject to this policy?</w:t>
      </w:r>
    </w:p>
    <w:p>
      <w:pPr>
        <w:spacing w:after="0" w:line="249" w:lineRule="exact"/>
        <w:rPr>
          <w:sz w:val="20"/>
          <w:szCs w:val="20"/>
          <w:color w:val="auto"/>
        </w:rPr>
      </w:pPr>
    </w:p>
    <w:p>
      <w:pPr>
        <w:ind w:left="560" w:hanging="555"/>
        <w:spacing w:after="0" w:line="261" w:lineRule="auto"/>
        <w:tabs>
          <w:tab w:leader="none" w:pos="25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policy applies to all transactions in securities issued by C3 AI, derivative securities that are not issued by C3 AI, such as exchange-traded put or call options or swaps relating to C3 AI securities, as well as other companies’ securities for which you possess material nonpublic information obtained in connection with your service with the C3 AI. Accordingly, for purposes of this policy, the terms “</w:t>
      </w:r>
      <w:r>
        <w:rPr>
          <w:rFonts w:ascii="Times New Roman" w:cs="Times New Roman" w:eastAsia="Times New Roman" w:hAnsi="Times New Roman"/>
          <w:sz w:val="19"/>
          <w:szCs w:val="19"/>
          <w:b w:val="1"/>
          <w:bCs w:val="1"/>
          <w:i w:val="1"/>
          <w:iCs w:val="1"/>
          <w:color w:val="auto"/>
        </w:rPr>
        <w:t>trade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trading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transactions</w:t>
      </w:r>
      <w:r>
        <w:rPr>
          <w:rFonts w:ascii="Times New Roman" w:cs="Times New Roman" w:eastAsia="Times New Roman" w:hAnsi="Times New Roman"/>
          <w:sz w:val="19"/>
          <w:szCs w:val="19"/>
          <w:color w:val="auto"/>
        </w:rPr>
        <w:t>” include not only purchases and sales of our common stock in the public market but also any other purchases, sales, gifts, transfers, or other acquisitions and dispositions of common or preferred equity, options, warrants, and other securities (including debt securities) and other arrangements or transactions that affect economic exposure to changes in the prices of these securities. There are no exceptions from insider trading laws or this policy based on the size of the transaction or the type of consideration received.</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Insider Trading and Material Nonpublic Information</w:t>
      </w:r>
    </w:p>
    <w:p>
      <w:pPr>
        <w:spacing w:after="0" w:line="219" w:lineRule="exact"/>
        <w:rPr>
          <w:sz w:val="20"/>
          <w:szCs w:val="20"/>
          <w:color w:val="auto"/>
        </w:rPr>
      </w:pPr>
    </w:p>
    <w:p>
      <w:pPr>
        <w:ind w:left="320" w:hanging="267"/>
        <w:spacing w:after="0"/>
        <w:tabs>
          <w:tab w:leader="none" w:pos="320"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is insider trading?</w:t>
      </w:r>
    </w:p>
    <w:p>
      <w:pPr>
        <w:spacing w:after="0" w:line="116" w:lineRule="exact"/>
        <w:rPr>
          <w:rFonts w:ascii="Times New Roman" w:cs="Times New Roman" w:eastAsia="Times New Roman" w:hAnsi="Times New Roman"/>
          <w:sz w:val="19"/>
          <w:szCs w:val="19"/>
          <w:b w:val="1"/>
          <w:bCs w:val="1"/>
          <w:color w:val="auto"/>
        </w:rPr>
      </w:pPr>
    </w:p>
    <w:p>
      <w:pPr>
        <w:ind w:left="560" w:hanging="475"/>
        <w:spacing w:after="0" w:line="264" w:lineRule="auto"/>
        <w:tabs>
          <w:tab w:leader="none" w:pos="326"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Generally speaking, insider trading is the trading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trade was influenced by the material nonpublic information, how many shares you trade, or whether it has an effect on the stock price. Bottom line: If you are aware of material nonpublic information about C3 AI or another publicly traded</w:t>
      </w:r>
    </w:p>
    <w:p>
      <w:pPr>
        <w:sectPr>
          <w:pgSz w:w="11900" w:h="16838" w:orient="portrait"/>
          <w:cols w:equalWidth="0" w:num="1">
            <w:col w:w="11160"/>
          </w:cols>
          <w:pgMar w:left="400" w:top="114"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40"/>
        <w:spacing w:after="0" w:line="300" w:lineRule="auto"/>
        <w:rPr>
          <w:sz w:val="20"/>
          <w:szCs w:val="20"/>
          <w:color w:val="auto"/>
        </w:rPr>
      </w:pPr>
      <w:r>
        <w:rPr>
          <w:rFonts w:ascii="Times New Roman" w:cs="Times New Roman" w:eastAsia="Times New Roman" w:hAnsi="Times New Roman"/>
          <w:sz w:val="19"/>
          <w:szCs w:val="19"/>
          <w:color w:val="auto"/>
        </w:rPr>
        <w:t>company that C3 AI has business relationships with and you trade in C3 AI or such other company’s securities, you have broken the law and violated our insider trading policy.</w:t>
      </w:r>
    </w:p>
    <w:p>
      <w:pPr>
        <w:spacing w:after="0" w:line="152" w:lineRule="exact"/>
        <w:rPr>
          <w:sz w:val="20"/>
          <w:szCs w:val="20"/>
          <w:color w:val="auto"/>
        </w:rPr>
      </w:pPr>
    </w:p>
    <w:p>
      <w:pPr>
        <w:ind w:left="400" w:hanging="267"/>
        <w:spacing w:after="0"/>
        <w:tabs>
          <w:tab w:leader="none" w:pos="400" w:val="left"/>
        </w:tabs>
        <w:numPr>
          <w:ilvl w:val="2"/>
          <w:numId w:val="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Why is insider trading illegal?</w:t>
      </w:r>
    </w:p>
    <w:p>
      <w:pPr>
        <w:spacing w:after="0" w:line="262" w:lineRule="exact"/>
        <w:rPr>
          <w:rFonts w:ascii="Times New Roman" w:cs="Times New Roman" w:eastAsia="Times New Roman" w:hAnsi="Times New Roman"/>
          <w:sz w:val="19"/>
          <w:szCs w:val="19"/>
          <w:b w:val="1"/>
          <w:bCs w:val="1"/>
          <w:color w:val="auto"/>
        </w:rPr>
      </w:pPr>
    </w:p>
    <w:p>
      <w:pPr>
        <w:ind w:left="640" w:hanging="555"/>
        <w:spacing w:after="0" w:line="273" w:lineRule="auto"/>
        <w:tabs>
          <w:tab w:leader="none" w:pos="326"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91" w:lineRule="exact"/>
        <w:rPr>
          <w:rFonts w:ascii="Times New Roman" w:cs="Times New Roman" w:eastAsia="Times New Roman" w:hAnsi="Times New Roman"/>
          <w:sz w:val="19"/>
          <w:szCs w:val="19"/>
          <w:color w:val="auto"/>
        </w:rPr>
      </w:pPr>
    </w:p>
    <w:p>
      <w:pPr>
        <w:ind w:left="280" w:hanging="274"/>
        <w:spacing w:after="0"/>
        <w:tabs>
          <w:tab w:leader="none" w:pos="280" w:val="left"/>
        </w:tabs>
        <w:numPr>
          <w:ilvl w:val="0"/>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is material nonpublic information?</w:t>
      </w:r>
    </w:p>
    <w:p>
      <w:pPr>
        <w:spacing w:after="0" w:line="249" w:lineRule="exact"/>
        <w:rPr>
          <w:rFonts w:ascii="Times New Roman" w:cs="Times New Roman" w:eastAsia="Times New Roman" w:hAnsi="Times New Roman"/>
          <w:sz w:val="19"/>
          <w:szCs w:val="19"/>
          <w:b w:val="1"/>
          <w:bCs w:val="1"/>
          <w:color w:val="auto"/>
        </w:rPr>
      </w:pPr>
    </w:p>
    <w:p>
      <w:pPr>
        <w:ind w:left="640" w:hanging="555"/>
        <w:spacing w:after="0" w:line="263" w:lineRule="auto"/>
        <w:tabs>
          <w:tab w:leader="none" w:pos="326"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would be substantially likely to be considered important by investors who are considering trading (buying, selling, holding) that company’s securities, or would be viewed by an investor as significantly altering the total mix of information available in the marketplace about the issuer of the securities. If the information makes you want to trade, it would probably have the same effect on others. Keep in mind that both positive and negative information can be material.</w:t>
      </w:r>
    </w:p>
    <w:p>
      <w:pPr>
        <w:spacing w:after="0" w:line="202" w:lineRule="exact"/>
        <w:rPr>
          <w:rFonts w:ascii="Times New Roman" w:cs="Times New Roman" w:eastAsia="Times New Roman" w:hAnsi="Times New Roman"/>
          <w:sz w:val="19"/>
          <w:szCs w:val="19"/>
          <w:color w:val="auto"/>
        </w:rPr>
      </w:pPr>
    </w:p>
    <w:p>
      <w:pPr>
        <w:ind w:left="400" w:hanging="267"/>
        <w:spacing w:after="0"/>
        <w:tabs>
          <w:tab w:leader="none" w:pos="400" w:val="left"/>
        </w:tabs>
        <w:numPr>
          <w:ilvl w:val="2"/>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are examples of material nonpublic information?</w:t>
      </w:r>
    </w:p>
    <w:p>
      <w:pPr>
        <w:spacing w:after="0" w:line="249" w:lineRule="exact"/>
        <w:rPr>
          <w:sz w:val="20"/>
          <w:szCs w:val="20"/>
          <w:color w:val="auto"/>
        </w:rPr>
      </w:pPr>
    </w:p>
    <w:p>
      <w:pPr>
        <w:ind w:left="640" w:hanging="555"/>
        <w:spacing w:after="0" w:line="269" w:lineRule="auto"/>
        <w:tabs>
          <w:tab w:leader="none" w:pos="326"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99" w:lineRule="exact"/>
        <w:rPr>
          <w:rFonts w:ascii="Times New Roman" w:cs="Times New Roman" w:eastAsia="Times New Roman" w:hAnsi="Times New Roman"/>
          <w:sz w:val="19"/>
          <w:szCs w:val="19"/>
          <w:color w:val="auto"/>
        </w:rPr>
      </w:pPr>
    </w:p>
    <w:p>
      <w:pPr>
        <w:ind w:left="640" w:right="780" w:hanging="316"/>
        <w:spacing w:after="0" w:line="285" w:lineRule="auto"/>
        <w:tabs>
          <w:tab w:leader="none" w:pos="628"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results or forecasts, key metrics, financial condition, earnings pre-announcements, guidance, projections or forecasts, particularly if inconsistent with C3 AI’s guidance or the expectations of the investment community;</w:t>
      </w:r>
    </w:p>
    <w:p>
      <w:pPr>
        <w:spacing w:after="0" w:line="183"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acquisitions, dispositions or other strategic transactions;</w:t>
      </w:r>
    </w:p>
    <w:p>
      <w:pPr>
        <w:spacing w:after="0" w:line="245" w:lineRule="exact"/>
        <w:rPr>
          <w:rFonts w:ascii="Times New Roman" w:cs="Times New Roman" w:eastAsia="Times New Roman" w:hAnsi="Times New Roman"/>
          <w:sz w:val="19"/>
          <w:szCs w:val="19"/>
          <w:color w:val="auto"/>
        </w:rPr>
      </w:pPr>
    </w:p>
    <w:p>
      <w:pPr>
        <w:ind w:left="640" w:right="60" w:hanging="316"/>
        <w:spacing w:after="0" w:line="300" w:lineRule="auto"/>
        <w:tabs>
          <w:tab w:leader="none" w:pos="628"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events regarding our securities (e.g., repurchase plans, stock splits, public or private equity or debt offerings, or changes in our dividend policies or amounts, adoption of stock repurchase programs, modification to the rights of security holders or notice of delisting);</w:t>
      </w:r>
    </w:p>
    <w:p>
      <w:pPr>
        <w:spacing w:after="0" w:line="169"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contracts or contract cancellations;</w:t>
      </w:r>
    </w:p>
    <w:p>
      <w:pPr>
        <w:spacing w:after="0" w:line="245"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plans or budgets</w:t>
      </w:r>
    </w:p>
    <w:p>
      <w:pPr>
        <w:spacing w:after="0" w:line="258"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gain or loss of a significant customer, supplier, distributor, manufacturer, or other business partner;</w:t>
      </w:r>
    </w:p>
    <w:p>
      <w:pPr>
        <w:sectPr>
          <w:pgSz w:w="11900" w:h="16838" w:orient="portrait"/>
          <w:cols w:equalWidth="0" w:num="1">
            <w:col w:w="11240"/>
          </w:cols>
          <w:pgMar w:left="320" w:top="11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creation of significant financial obligations, or any significant default under or acceleration of any financial obligation;</w:t>
      </w:r>
    </w:p>
    <w:p>
      <w:pPr>
        <w:spacing w:after="0" w:line="258"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pricing changes;</w:t>
      </w:r>
    </w:p>
    <w:p>
      <w:pPr>
        <w:spacing w:after="0" w:line="245"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product releases, features, modifications or processes, ;</w:t>
      </w:r>
    </w:p>
    <w:p>
      <w:pPr>
        <w:spacing w:after="0" w:line="258"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product problems, performance issues or security incidents; data breaches, or other cybersecurity events,</w:t>
      </w:r>
    </w:p>
    <w:p>
      <w:pPr>
        <w:spacing w:after="0" w:line="245"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top management or control changes;</w:t>
      </w:r>
    </w:p>
    <w:p>
      <w:pPr>
        <w:spacing w:after="0" w:line="258"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restatements, significant write-offs, or restructurings;</w:t>
      </w:r>
    </w:p>
    <w:p>
      <w:pPr>
        <w:spacing w:after="0" w:line="258"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independent auditors, or notification that C3 AI may no longer rely on an audit report;</w:t>
      </w:r>
    </w:p>
    <w:p>
      <w:pPr>
        <w:spacing w:after="0" w:line="245"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developments in research and development or relating to intellectual property;</w:t>
      </w:r>
    </w:p>
    <w:p>
      <w:pPr>
        <w:spacing w:after="0" w:line="34"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layoffs;</w:t>
      </w:r>
    </w:p>
    <w:p>
      <w:pPr>
        <w:spacing w:after="0" w:line="230" w:lineRule="exact"/>
        <w:rPr>
          <w:rFonts w:ascii="Times New Roman" w:cs="Times New Roman" w:eastAsia="Times New Roman" w:hAnsi="Times New Roman"/>
          <w:sz w:val="19"/>
          <w:szCs w:val="19"/>
          <w:color w:val="auto"/>
        </w:rPr>
      </w:pPr>
    </w:p>
    <w:p>
      <w:pPr>
        <w:ind w:left="560" w:right="560" w:hanging="316"/>
        <w:spacing w:after="0" w:line="300" w:lineRule="auto"/>
        <w:tabs>
          <w:tab w:leader="none" w:pos="548"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disruption in C3 AI’s operations or breach or unauthorized access of its property or assets, including its facilities or information technology infrastructure;</w:t>
      </w:r>
    </w:p>
    <w:p>
      <w:pPr>
        <w:spacing w:after="0" w:line="169"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tender offers or proxy fights;</w:t>
      </w:r>
    </w:p>
    <w:p>
      <w:pPr>
        <w:spacing w:after="0" w:line="245"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accounting restatements;</w:t>
      </w:r>
    </w:p>
    <w:p>
      <w:pPr>
        <w:spacing w:after="0" w:line="258" w:lineRule="exact"/>
        <w:rPr>
          <w:rFonts w:ascii="Times New Roman" w:cs="Times New Roman" w:eastAsia="Times New Roman" w:hAnsi="Times New Roman"/>
          <w:sz w:val="19"/>
          <w:szCs w:val="19"/>
          <w:color w:val="auto"/>
        </w:rPr>
      </w:pPr>
    </w:p>
    <w:p>
      <w:pPr>
        <w:ind w:left="560" w:right="220" w:hanging="316"/>
        <w:spacing w:after="0" w:line="285" w:lineRule="auto"/>
        <w:tabs>
          <w:tab w:leader="none" w:pos="548"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threatened major litigation, SEC or other investigations, or a major development in or the resolution of any such litigation or investigation;</w:t>
      </w:r>
    </w:p>
    <w:p>
      <w:pPr>
        <w:spacing w:after="0" w:line="183"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impending bankruptcy or financial liquidity problems;</w:t>
      </w:r>
    </w:p>
    <w:p>
      <w:pPr>
        <w:spacing w:after="0" w:line="258" w:lineRule="exact"/>
        <w:rPr>
          <w:rFonts w:ascii="Times New Roman" w:cs="Times New Roman" w:eastAsia="Times New Roman" w:hAnsi="Times New Roman"/>
          <w:sz w:val="19"/>
          <w:szCs w:val="19"/>
          <w:color w:val="auto"/>
        </w:rPr>
      </w:pPr>
    </w:p>
    <w:p>
      <w:pPr>
        <w:ind w:left="560" w:hanging="316"/>
        <w:spacing w:after="0"/>
        <w:tabs>
          <w:tab w:leader="none" w:pos="5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communications with government agencies;</w:t>
      </w:r>
    </w:p>
    <w:p>
      <w:pPr>
        <w:spacing w:after="0" w:line="232" w:lineRule="exact"/>
        <w:rPr>
          <w:rFonts w:ascii="Times New Roman" w:cs="Times New Roman" w:eastAsia="Times New Roman" w:hAnsi="Times New Roman"/>
          <w:sz w:val="19"/>
          <w:szCs w:val="19"/>
          <w:color w:val="auto"/>
        </w:rPr>
      </w:pPr>
    </w:p>
    <w:p>
      <w:pPr>
        <w:ind w:left="1180" w:hanging="300"/>
        <w:spacing w:after="0"/>
        <w:tabs>
          <w:tab w:leader="none" w:pos="1180" w:val="left"/>
        </w:tabs>
        <w:numPr>
          <w:ilvl w:val="3"/>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of issuance of patents;</w:t>
      </w:r>
    </w:p>
    <w:p>
      <w:pPr>
        <w:spacing w:after="0" w:line="258" w:lineRule="exact"/>
        <w:rPr>
          <w:rFonts w:ascii="Times New Roman" w:cs="Times New Roman" w:eastAsia="Times New Roman" w:hAnsi="Times New Roman"/>
          <w:sz w:val="19"/>
          <w:szCs w:val="19"/>
          <w:color w:val="auto"/>
        </w:rPr>
      </w:pPr>
    </w:p>
    <w:p>
      <w:pPr>
        <w:ind w:left="1180" w:hanging="300"/>
        <w:spacing w:after="0"/>
        <w:tabs>
          <w:tab w:leader="none" w:pos="1180" w:val="left"/>
        </w:tabs>
        <w:numPr>
          <w:ilvl w:val="3"/>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updates regarding any prior material disclosure that has materially changed; and</w:t>
      </w:r>
    </w:p>
    <w:p>
      <w:pPr>
        <w:spacing w:after="0" w:line="245" w:lineRule="exact"/>
        <w:rPr>
          <w:rFonts w:ascii="Times New Roman" w:cs="Times New Roman" w:eastAsia="Times New Roman" w:hAnsi="Times New Roman"/>
          <w:sz w:val="19"/>
          <w:szCs w:val="19"/>
          <w:color w:val="auto"/>
        </w:rPr>
      </w:pPr>
    </w:p>
    <w:p>
      <w:pPr>
        <w:ind w:left="1180" w:hanging="300"/>
        <w:spacing w:after="0"/>
        <w:tabs>
          <w:tab w:leader="none" w:pos="1180" w:val="left"/>
        </w:tabs>
        <w:numPr>
          <w:ilvl w:val="3"/>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 special blackout period.</w:t>
      </w:r>
    </w:p>
    <w:p>
      <w:pPr>
        <w:spacing w:after="0" w:line="254" w:lineRule="exact"/>
        <w:rPr>
          <w:rFonts w:ascii="Times New Roman" w:cs="Times New Roman" w:eastAsia="Times New Roman" w:hAnsi="Times New Roman"/>
          <w:sz w:val="19"/>
          <w:szCs w:val="19"/>
          <w:color w:val="auto"/>
        </w:rPr>
      </w:pPr>
    </w:p>
    <w:p>
      <w:pPr>
        <w:ind w:left="320" w:hanging="267"/>
        <w:spacing w:after="0"/>
        <w:tabs>
          <w:tab w:leader="none" w:pos="320" w:val="left"/>
        </w:tabs>
        <w:numPr>
          <w:ilvl w:val="1"/>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When is information considered public?</w:t>
      </w:r>
    </w:p>
    <w:p>
      <w:pPr>
        <w:spacing w:after="0" w:line="249" w:lineRule="exact"/>
        <w:rPr>
          <w:rFonts w:ascii="Times New Roman" w:cs="Times New Roman" w:eastAsia="Times New Roman" w:hAnsi="Times New Roman"/>
          <w:sz w:val="19"/>
          <w:szCs w:val="19"/>
          <w:b w:val="1"/>
          <w:bCs w:val="1"/>
          <w:color w:val="auto"/>
        </w:rPr>
      </w:pPr>
    </w:p>
    <w:p>
      <w:pPr>
        <w:ind w:left="560" w:hanging="555"/>
        <w:spacing w:after="0" w:line="263" w:lineRule="auto"/>
        <w:tabs>
          <w:tab w:leader="none" w:pos="40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information would be considered to be publicly disseminated by the time trading begins on</w:t>
      </w:r>
    </w:p>
    <w:p>
      <w:pPr>
        <w:sectPr>
          <w:pgSz w:w="11900" w:h="16838" w:orient="portrait"/>
          <w:cols w:equalWidth="0" w:num="1">
            <w:col w:w="11160"/>
          </w:cols>
          <w:pgMar w:left="400" w:top="114"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9"/>
          <w:szCs w:val="19"/>
          <w:color w:val="auto"/>
        </w:rPr>
        <w:t>Friday; if we announce material nonpublic information after trading ends on Wednesday, then information would be considered to be publicly disseminated by the time trading ends on Friday. Depending on the circumstances, C3 AI may determine that a longer or shorter waiting period should apply to the release of specific material nonpublic information. Any disclosure of nonpublic information, material or otherwise, must be done in accordance with C3 AI’s Corporate Disclosure Policy.</w:t>
      </w:r>
    </w:p>
    <w:p>
      <w:pPr>
        <w:spacing w:after="0" w:line="182" w:lineRule="exact"/>
        <w:rPr>
          <w:sz w:val="20"/>
          <w:szCs w:val="20"/>
          <w:color w:val="auto"/>
        </w:rPr>
      </w:pPr>
    </w:p>
    <w:p>
      <w:pPr>
        <w:ind w:left="400" w:hanging="267"/>
        <w:spacing w:after="0"/>
        <w:tabs>
          <w:tab w:leader="none" w:pos="400" w:val="left"/>
        </w:tabs>
        <w:numPr>
          <w:ilvl w:val="2"/>
          <w:numId w:val="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Who can be guilty of insider trading?</w:t>
      </w:r>
    </w:p>
    <w:p>
      <w:pPr>
        <w:spacing w:after="0" w:line="262" w:lineRule="exact"/>
        <w:rPr>
          <w:rFonts w:ascii="Times New Roman" w:cs="Times New Roman" w:eastAsia="Times New Roman" w:hAnsi="Times New Roman"/>
          <w:sz w:val="19"/>
          <w:szCs w:val="19"/>
          <w:b w:val="1"/>
          <w:bCs w:val="1"/>
          <w:color w:val="auto"/>
        </w:rPr>
      </w:pPr>
    </w:p>
    <w:p>
      <w:pPr>
        <w:ind w:left="640" w:hanging="555"/>
        <w:spacing w:after="0" w:line="269" w:lineRule="auto"/>
        <w:tabs>
          <w:tab w:leader="none" w:pos="326"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Anyone who trades a security while aware of material nonpublic information, or provides material nonpublic information that someone else uses to trade a security, may be guilty of insider trading. This applies to all individuals, including officers, directors, and others who don’t even work at C3 AI. Regardless of who you are, if you know something material about the value of a security that not everyone knows and you trade (or convince someone else to trade) in that security, you may be found guilty of insider trading.</w:t>
      </w:r>
    </w:p>
    <w:p>
      <w:pPr>
        <w:spacing w:after="0" w:line="182" w:lineRule="exact"/>
        <w:rPr>
          <w:rFonts w:ascii="Times New Roman" w:cs="Times New Roman" w:eastAsia="Times New Roman" w:hAnsi="Times New Roman"/>
          <w:sz w:val="19"/>
          <w:szCs w:val="19"/>
          <w:color w:val="auto"/>
        </w:rPr>
      </w:pPr>
    </w:p>
    <w:p>
      <w:pPr>
        <w:ind w:left="640" w:hanging="634"/>
        <w:spacing w:after="0" w:line="304" w:lineRule="auto"/>
        <w:tabs>
          <w:tab w:leader="none" w:pos="268" w:val="left"/>
        </w:tabs>
        <w:numPr>
          <w:ilvl w:val="0"/>
          <w:numId w:val="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if I am aware of material nonpublic information when I trade, but the reason I trade is because of something else, like to pay medical bills?</w:t>
      </w:r>
    </w:p>
    <w:p>
      <w:pPr>
        <w:spacing w:after="0" w:line="166" w:lineRule="exact"/>
        <w:rPr>
          <w:sz w:val="20"/>
          <w:szCs w:val="20"/>
          <w:color w:val="auto"/>
        </w:rPr>
      </w:pPr>
    </w:p>
    <w:p>
      <w:pPr>
        <w:ind w:left="640" w:hanging="634"/>
        <w:spacing w:after="0" w:line="250" w:lineRule="auto"/>
        <w:tabs>
          <w:tab w:leader="none" w:pos="286"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C3 AI at the time of the transaction.</w:t>
      </w:r>
    </w:p>
    <w:p>
      <w:pPr>
        <w:spacing w:after="0" w:line="185" w:lineRule="exact"/>
        <w:rPr>
          <w:sz w:val="20"/>
          <w:szCs w:val="20"/>
          <w:color w:val="auto"/>
        </w:rPr>
      </w:pPr>
    </w:p>
    <w:p>
      <w:pPr>
        <w:ind w:left="640" w:hanging="634"/>
        <w:spacing w:after="0" w:line="304" w:lineRule="auto"/>
        <w:tabs>
          <w:tab w:leader="none" w:pos="281"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Do the U.S. securities laws take into account mitigating circumstance, like avoiding a loss or planning a transaction before I had material nonpublic information?</w:t>
      </w:r>
    </w:p>
    <w:p>
      <w:pPr>
        <w:spacing w:after="0" w:line="153" w:lineRule="exact"/>
        <w:rPr>
          <w:sz w:val="20"/>
          <w:szCs w:val="20"/>
          <w:color w:val="auto"/>
        </w:rPr>
      </w:pPr>
    </w:p>
    <w:p>
      <w:pPr>
        <w:ind w:left="640" w:hanging="634"/>
        <w:spacing w:after="0" w:line="249" w:lineRule="auto"/>
        <w:tabs>
          <w:tab w:leader="none" w:pos="247"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The U.S. federal securities laws do not recognize any mitigating circumstances to insider trading.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C3 AI’s reputation.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if I don’t trade, but I tell someone else material nonpublic information and he or she trades?</w:t>
      </w:r>
    </w:p>
    <w:p>
      <w:pPr>
        <w:spacing w:after="0" w:line="263" w:lineRule="exact"/>
        <w:rPr>
          <w:sz w:val="20"/>
          <w:szCs w:val="20"/>
          <w:color w:val="auto"/>
        </w:rPr>
      </w:pPr>
    </w:p>
    <w:p>
      <w:pPr>
        <w:ind w:left="640" w:hanging="634"/>
        <w:spacing w:after="0" w:line="244" w:lineRule="auto"/>
        <w:tabs>
          <w:tab w:leader="none" w:pos="247"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called “tipping.” You are the “tipper” and the other person is called the “tippee.” If the tippee trades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C3 AI, including spouses, family members, friends, or business associates (unless the disclosure is made in accordance with C3 AI’s policies regarding the protection or authorized external disclosure of information regarding C3 AI). This includes anonymous discussions on the internet about C3 AI or companies with which C3 AI does business.</w:t>
      </w:r>
    </w:p>
    <w:p>
      <w:pPr>
        <w:sectPr>
          <w:pgSz w:w="11900" w:h="16838" w:orient="portrait"/>
          <w:cols w:equalWidth="0" w:num="1">
            <w:col w:w="11240"/>
          </w:cols>
          <w:pgMar w:left="320" w:top="114"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You can be held liable for your own transactions, as well as the transactions by a tippee and even the transactions of a tippee’s tippee.</w:t>
      </w:r>
    </w:p>
    <w:p>
      <w:pPr>
        <w:spacing w:after="0" w:line="16" w:lineRule="exact"/>
        <w:rPr>
          <w:sz w:val="20"/>
          <w:szCs w:val="20"/>
          <w:color w:val="auto"/>
        </w:rPr>
      </w:pPr>
    </w:p>
    <w:p>
      <w:pPr>
        <w:jc w:val="both"/>
        <w:ind w:left="640"/>
        <w:spacing w:after="0" w:line="243" w:lineRule="auto"/>
        <w:rPr>
          <w:sz w:val="20"/>
          <w:szCs w:val="20"/>
          <w:color w:val="auto"/>
        </w:rPr>
      </w:pPr>
      <w:r>
        <w:rPr>
          <w:rFonts w:ascii="Times New Roman" w:cs="Times New Roman" w:eastAsia="Times New Roman" w:hAnsi="Times New Roman"/>
          <w:sz w:val="19"/>
          <w:szCs w:val="19"/>
          <w:b w:val="1"/>
          <w:bCs w:val="1"/>
          <w:i w:val="1"/>
          <w:iCs w:val="1"/>
          <w:color w:val="auto"/>
        </w:rPr>
        <w:t>For these and other reasons, no employee, director, or designated consultant/independent contractor of C3 AI (or any other person subject to this policy) may either (a) recommend to another person that they buy, hold, or sell C3 AI securities at any time or (b) disclose material nonpublic information to persons within C3 AI whose jobs do not require them to have that material nonpublic information, or outside of C3 AI to other persons (unless the disclosure is made in accordance with C3 AI’s policies regarding the protection or authorized external disclosure of information regarding C3 AI).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if I don’t tell someone inside information itself; I just tell him or her whether to trade?</w:t>
      </w:r>
    </w:p>
    <w:p>
      <w:pPr>
        <w:spacing w:after="0" w:line="249" w:lineRule="exact"/>
        <w:rPr>
          <w:sz w:val="20"/>
          <w:szCs w:val="20"/>
          <w:color w:val="auto"/>
        </w:rPr>
      </w:pPr>
    </w:p>
    <w:p>
      <w:pPr>
        <w:ind w:left="640" w:hanging="634"/>
        <w:spacing w:after="0" w:line="285" w:lineRule="auto"/>
        <w:tabs>
          <w:tab w:leader="none" w:pos="26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still tipping, and you can still be responsible for insider trading. You may never recommend to another person that they trade our common stock or any derivative security related to our common stock, since that could be a form of tipping.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Does this policy or the insider trading laws apply to me if I work outside the U.S.?</w:t>
      </w:r>
    </w:p>
    <w:p>
      <w:pPr>
        <w:spacing w:after="0" w:line="263" w:lineRule="exact"/>
        <w:rPr>
          <w:sz w:val="20"/>
          <w:szCs w:val="20"/>
          <w:color w:val="auto"/>
        </w:rPr>
      </w:pPr>
    </w:p>
    <w:p>
      <w:pPr>
        <w:ind w:left="640" w:hanging="634"/>
        <w:spacing w:after="0" w:line="264" w:lineRule="auto"/>
        <w:tabs>
          <w:tab w:leader="none" w:pos="26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Yes. The same rules apply to U.S. and foreign employees, designated independent contractors and consultants (including advisors). The Securities and Exchange Commission (the U.S. government agency in charge of investor protection,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and the Financial Industry Regulatory Authority (a private regulator that oversees U.S. securities exchanges) routinely investigate trading in a company’s securities conducted by individuals and firms based abroad. In addition, as a C3 AI director, employee, or designated independent contractors and consultants (including advisors), our policies apply to you no matter where you work.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Am I restricted from trading securities of any companies other than C3 AI, for example a customer or competitor of C3 AI?</w:t>
      </w:r>
    </w:p>
    <w:p>
      <w:pPr>
        <w:spacing w:after="0" w:line="249" w:lineRule="exact"/>
        <w:rPr>
          <w:sz w:val="20"/>
          <w:szCs w:val="20"/>
          <w:color w:val="auto"/>
        </w:rPr>
      </w:pPr>
    </w:p>
    <w:p>
      <w:pPr>
        <w:ind w:left="640" w:hanging="634"/>
        <w:spacing w:after="0" w:line="261" w:lineRule="auto"/>
        <w:tabs>
          <w:tab w:leader="none" w:pos="247"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C3 AI, you sometimes obtain sensitive, material nonpublic information about other companies and their business dealings with C3 AI. In addition, if you learn of material nonpublic information through your service with the Company that could be expected to affect the trading price of the securities of another company, you cannot (x) use that information to trade, directly or indirectly through others, or (y) provide that information to another person in order to trade, in the securities of that other company. Any such action will be deemed a violation of this Policy.</w:t>
      </w:r>
    </w:p>
    <w:p>
      <w:pPr>
        <w:spacing w:after="0" w:line="202" w:lineRule="exact"/>
        <w:rPr>
          <w:rFonts w:ascii="Times New Roman" w:cs="Times New Roman" w:eastAsia="Times New Roman" w:hAnsi="Times New Roman"/>
          <w:sz w:val="19"/>
          <w:szCs w:val="19"/>
          <w:color w:val="auto"/>
        </w:rPr>
      </w:pPr>
    </w:p>
    <w:p>
      <w:pPr>
        <w:ind w:left="400" w:hanging="267"/>
        <w:spacing w:after="0"/>
        <w:tabs>
          <w:tab w:leader="none" w:pos="400" w:val="left"/>
        </w:tabs>
        <w:numPr>
          <w:ilvl w:val="1"/>
          <w:numId w:val="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So when can I trade my C3 AI securities?</w:t>
      </w:r>
    </w:p>
    <w:p>
      <w:pPr>
        <w:spacing w:after="0" w:line="249" w:lineRule="exact"/>
        <w:rPr>
          <w:sz w:val="20"/>
          <w:szCs w:val="20"/>
          <w:color w:val="auto"/>
        </w:rPr>
      </w:pPr>
    </w:p>
    <w:p>
      <w:pPr>
        <w:ind w:left="640" w:hanging="634"/>
        <w:spacing w:after="0" w:line="263" w:lineRule="auto"/>
        <w:tabs>
          <w:tab w:leader="none" w:pos="26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you are aware of material nonpublic information, you may not trade C3 AI securities until two full trading days have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w:t>
      </w:r>
      <w:r>
        <w:rPr>
          <w:rFonts w:ascii="Times New Roman" w:cs="Times New Roman" w:eastAsia="Times New Roman" w:hAnsi="Times New Roman"/>
          <w:sz w:val="19"/>
          <w:szCs w:val="19"/>
          <w:b w:val="1"/>
          <w:bCs w:val="1"/>
          <w:color w:val="auto"/>
        </w:rPr>
        <w:t>Even if you are not aware of any material nonpublic information, you may not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trade C3 AI securities during any trading “blackout” period that applies to you.</w:t>
      </w:r>
    </w:p>
    <w:p>
      <w:pPr>
        <w:sectPr>
          <w:pgSz w:w="11900" w:h="16838" w:orient="portrait"/>
          <w:cols w:equalWidth="0" w:num="1">
            <w:col w:w="11240"/>
          </w:cols>
          <w:pgMar w:left="320" w:top="114"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560"/>
        <w:spacing w:after="0" w:line="300" w:lineRule="auto"/>
        <w:rPr>
          <w:sz w:val="20"/>
          <w:szCs w:val="20"/>
          <w:color w:val="auto"/>
        </w:rPr>
      </w:pPr>
      <w:r>
        <w:rPr>
          <w:rFonts w:ascii="Times New Roman" w:cs="Times New Roman" w:eastAsia="Times New Roman" w:hAnsi="Times New Roman"/>
          <w:sz w:val="19"/>
          <w:szCs w:val="19"/>
          <w:color w:val="auto"/>
        </w:rPr>
        <w:t>Our insider trading policy describes the quarterly trading blackout period, and additional event-driven trading blackout periods (which may apply to you even if the quarterly trading blackout periods do not) may be announced by email.</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Blackout Periods</w:t>
      </w:r>
    </w:p>
    <w:p>
      <w:pPr>
        <w:spacing w:after="0" w:line="259" w:lineRule="exact"/>
        <w:rPr>
          <w:sz w:val="20"/>
          <w:szCs w:val="20"/>
          <w:color w:val="auto"/>
        </w:rPr>
      </w:pPr>
    </w:p>
    <w:p>
      <w:pPr>
        <w:ind w:left="320" w:hanging="267"/>
        <w:spacing w:after="0"/>
        <w:tabs>
          <w:tab w:leader="none" w:pos="320" w:val="left"/>
        </w:tabs>
        <w:numPr>
          <w:ilvl w:val="0"/>
          <w:numId w:val="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is a quarterly trading blackout period?</w:t>
      </w:r>
    </w:p>
    <w:p>
      <w:pPr>
        <w:spacing w:after="0" w:line="249" w:lineRule="exact"/>
        <w:rPr>
          <w:rFonts w:ascii="Times New Roman" w:cs="Times New Roman" w:eastAsia="Times New Roman" w:hAnsi="Times New Roman"/>
          <w:sz w:val="19"/>
          <w:szCs w:val="19"/>
          <w:b w:val="1"/>
          <w:bCs w:val="1"/>
          <w:color w:val="auto"/>
        </w:rPr>
      </w:pPr>
    </w:p>
    <w:p>
      <w:pPr>
        <w:ind w:left="560" w:hanging="475"/>
        <w:spacing w:after="0" w:line="244" w:lineRule="auto"/>
        <w:tabs>
          <w:tab w:leader="none" w:pos="339"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minimize even the appearance of insider trading, we have established “quarterly trading blackout periods” during which all officers, directors, designated independent contractors and consultants (including advisors), Specified Personnel, and their Related Persons— regardless of whether they are aware of material nonpublic information or not—may not conduct any trades in C3 AI securities. That means that, except as described in this policy, all officers, directors, designated independent contractors and consultants (including advisors), Specified Personnel, and their Related Persons will be able to trade in C3 AI securities </w:t>
      </w:r>
      <w:r>
        <w:rPr>
          <w:rFonts w:ascii="Times New Roman" w:cs="Times New Roman" w:eastAsia="Times New Roman" w:hAnsi="Times New Roman"/>
          <w:sz w:val="19"/>
          <w:szCs w:val="19"/>
          <w:u w:val="single" w:color="auto"/>
          <w:color w:val="auto"/>
        </w:rPr>
        <w:t>only</w:t>
      </w:r>
      <w:r>
        <w:rPr>
          <w:rFonts w:ascii="Times New Roman" w:cs="Times New Roman" w:eastAsia="Times New Roman" w:hAnsi="Times New Roman"/>
          <w:sz w:val="19"/>
          <w:szCs w:val="19"/>
          <w:color w:val="auto"/>
        </w:rPr>
        <w:t xml:space="preserve"> during limited open trading window periods that generally will begin after two full trading days have has elapsed since the public dissemination of C3 AI’s annual or quarterly financial results and end at the beginning of the next quarterly trading blackout period. Of course, even during an open trading window period, you may not (unless an exception applies) conduct any trades in C3 AI securities if you are otherwise in possession of material nonpublic information.</w:t>
      </w:r>
    </w:p>
    <w:p>
      <w:pPr>
        <w:spacing w:after="0" w:line="196" w:lineRule="exact"/>
        <w:rPr>
          <w:sz w:val="20"/>
          <w:szCs w:val="20"/>
          <w:color w:val="auto"/>
        </w:rPr>
      </w:pPr>
    </w:p>
    <w:p>
      <w:pPr>
        <w:ind w:left="320" w:hanging="267"/>
        <w:spacing w:after="0"/>
        <w:tabs>
          <w:tab w:leader="none" w:pos="320" w:val="left"/>
        </w:tabs>
        <w:numPr>
          <w:ilvl w:val="0"/>
          <w:numId w:val="9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are C3 AI’s quarterly trading blackout periods?</w:t>
      </w:r>
    </w:p>
    <w:p>
      <w:pPr>
        <w:spacing w:after="0" w:line="262" w:lineRule="exact"/>
        <w:rPr>
          <w:rFonts w:ascii="Times New Roman" w:cs="Times New Roman" w:eastAsia="Times New Roman" w:hAnsi="Times New Roman"/>
          <w:sz w:val="19"/>
          <w:szCs w:val="19"/>
          <w:b w:val="1"/>
          <w:bCs w:val="1"/>
          <w:color w:val="auto"/>
        </w:rPr>
      </w:pPr>
    </w:p>
    <w:p>
      <w:pPr>
        <w:ind w:left="560" w:hanging="475"/>
        <w:spacing w:after="0" w:line="250" w:lineRule="auto"/>
        <w:tabs>
          <w:tab w:leader="none" w:pos="326"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all employees, directors, designated independent contractors and consultants (including advisors), and their Related Persons, other than the individuals identified as Specified Personnel, each quarterly trading blackout period will generally begin at the end of the day that is the 15th day of the third month of each fiscal quarter (i.e., January 15, April 15, July 15 and October 15) and end after two full trading days have elapsed since the public dissemination of C3 AI’s financial results for that quarter (e.g., time of the earnings call).</w:t>
      </w:r>
    </w:p>
    <w:p>
      <w:pPr>
        <w:spacing w:after="0" w:line="185"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9"/>
          <w:szCs w:val="19"/>
          <w:color w:val="auto"/>
        </w:rPr>
        <w:t xml:space="preserve">The individuals identified as Specified Personnel in </w:t>
      </w:r>
      <w:r>
        <w:rPr>
          <w:rFonts w:ascii="Times New Roman" w:cs="Times New Roman" w:eastAsia="Times New Roman" w:hAnsi="Times New Roman"/>
          <w:sz w:val="19"/>
          <w:szCs w:val="19"/>
          <w:b w:val="1"/>
          <w:bCs w:val="1"/>
          <w:color w:val="auto"/>
        </w:rPr>
        <w:t>Appendix A</w:t>
      </w:r>
      <w:r>
        <w:rPr>
          <w:rFonts w:ascii="Times New Roman" w:cs="Times New Roman" w:eastAsia="Times New Roman" w:hAnsi="Times New Roman"/>
          <w:sz w:val="19"/>
          <w:szCs w:val="19"/>
          <w:color w:val="auto"/>
        </w:rPr>
        <w:t xml:space="preserve"> of this policy and their Related Persons are subject to a more restrictive quarterly trading blackout period that will generally begin at the end of the last day of the second month of each fiscal quarter (i.e., December 31, March 31, June 30 and September 30) and end after two full trading days have elapsed since the public dissemination of C3 AI’s financial results for that quarter (e.g., time of the earnings call).</w:t>
      </w:r>
    </w:p>
    <w:p>
      <w:pPr>
        <w:spacing w:after="0" w:line="185" w:lineRule="exact"/>
        <w:rPr>
          <w:sz w:val="20"/>
          <w:szCs w:val="20"/>
          <w:color w:val="auto"/>
        </w:rPr>
      </w:pPr>
    </w:p>
    <w:p>
      <w:pPr>
        <w:jc w:val="both"/>
        <w:ind w:left="560"/>
        <w:spacing w:after="0" w:line="285" w:lineRule="auto"/>
        <w:rPr>
          <w:sz w:val="20"/>
          <w:szCs w:val="20"/>
          <w:color w:val="auto"/>
        </w:rPr>
      </w:pPr>
      <w:r>
        <w:rPr>
          <w:rFonts w:ascii="Times New Roman" w:cs="Times New Roman" w:eastAsia="Times New Roman" w:hAnsi="Times New Roman"/>
          <w:sz w:val="19"/>
          <w:szCs w:val="19"/>
          <w:color w:val="auto"/>
        </w:rPr>
        <w:t>[From time to time, C3 AI may identify other persons who should be subject to quarterly blackout periods, and the General Counsel may update and revise Appendix A as appropriate.]</w:t>
      </w:r>
    </w:p>
    <w:p>
      <w:pPr>
        <w:spacing w:after="0" w:line="153" w:lineRule="exact"/>
        <w:rPr>
          <w:sz w:val="20"/>
          <w:szCs w:val="20"/>
          <w:color w:val="auto"/>
        </w:rPr>
      </w:pPr>
    </w:p>
    <w:p>
      <w:pPr>
        <w:ind w:left="320" w:hanging="267"/>
        <w:spacing w:after="0"/>
        <w:tabs>
          <w:tab w:leader="none" w:pos="320" w:val="left"/>
        </w:tabs>
        <w:numPr>
          <w:ilvl w:val="1"/>
          <w:numId w:val="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Can C3 AI’s quarterly trading blackout periods change?</w:t>
      </w:r>
    </w:p>
    <w:p>
      <w:pPr>
        <w:spacing w:after="0" w:line="262" w:lineRule="exact"/>
        <w:rPr>
          <w:rFonts w:ascii="Times New Roman" w:cs="Times New Roman" w:eastAsia="Times New Roman" w:hAnsi="Times New Roman"/>
          <w:sz w:val="19"/>
          <w:szCs w:val="19"/>
          <w:b w:val="1"/>
          <w:bCs w:val="1"/>
          <w:color w:val="auto"/>
        </w:rPr>
      </w:pPr>
    </w:p>
    <w:p>
      <w:pPr>
        <w:ind w:left="560" w:hanging="557"/>
        <w:spacing w:after="0" w:line="25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 The quarterly trading blackout period may commence early or may be extended if, in the judgment of the General Counsel, there exists undisclosed information that would make trades by C3 AI officers, directors, Specified Personnel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85" w:lineRule="exact"/>
        <w:rPr>
          <w:rFonts w:ascii="Times New Roman" w:cs="Times New Roman" w:eastAsia="Times New Roman" w:hAnsi="Times New Roman"/>
          <w:sz w:val="19"/>
          <w:szCs w:val="19"/>
          <w:b w:val="1"/>
          <w:bCs w:val="1"/>
          <w:color w:val="auto"/>
        </w:rPr>
      </w:pPr>
    </w:p>
    <w:p>
      <w:pPr>
        <w:ind w:left="320" w:hanging="267"/>
        <w:spacing w:after="0"/>
        <w:tabs>
          <w:tab w:leader="none" w:pos="320" w:val="left"/>
        </w:tabs>
        <w:numPr>
          <w:ilvl w:val="1"/>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Does C3 AI have blackout periods other than quarterly trading blackout periods?</w:t>
      </w:r>
    </w:p>
    <w:p>
      <w:pPr>
        <w:sectPr>
          <w:pgSz w:w="11900" w:h="16838" w:orient="portrait"/>
          <w:cols w:equalWidth="0" w:num="1">
            <w:col w:w="11160"/>
          </w:cols>
          <w:pgMar w:left="400" w:top="114"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hanging="634"/>
        <w:spacing w:after="0" w:line="249" w:lineRule="auto"/>
        <w:tabs>
          <w:tab w:leader="none" w:pos="247"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Yes. From time to time, an event may occur that is material to C3 AI and is known by only a few directors, officers, and/or employees. So long as the event remains material and nonpublic, the persons designated by the General Counsel may not trade in C3 AI securities. In that situation, C3 AI will notify the designated individuals that neither they nor their Related Persons may trade in the C3 AI securities. The existence of an event-specific trading blackout should also be considered material nonpublic information and should not be communicated to any other person.</w:t>
      </w:r>
    </w:p>
    <w:p>
      <w:pPr>
        <w:spacing w:after="0" w:line="188" w:lineRule="exact"/>
        <w:rPr>
          <w:sz w:val="20"/>
          <w:szCs w:val="20"/>
          <w:color w:val="auto"/>
        </w:rPr>
      </w:pPr>
    </w:p>
    <w:p>
      <w:pPr>
        <w:ind w:left="640" w:hanging="634"/>
        <w:spacing w:after="0" w:line="304" w:lineRule="auto"/>
        <w:tabs>
          <w:tab w:leader="none" w:pos="268" w:val="left"/>
        </w:tabs>
        <w:numPr>
          <w:ilvl w:val="0"/>
          <w:numId w:val="1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If I am subject to a blackout period and I have an open order to trade C3 AI securities on the date a blackout period commences, can I leave it to my broker to cancel the open order and avoid executing the trade?</w:t>
      </w:r>
    </w:p>
    <w:p>
      <w:pPr>
        <w:spacing w:after="0" w:line="153" w:lineRule="exact"/>
        <w:rPr>
          <w:sz w:val="20"/>
          <w:szCs w:val="20"/>
          <w:color w:val="auto"/>
        </w:rPr>
      </w:pPr>
    </w:p>
    <w:p>
      <w:pPr>
        <w:ind w:left="640" w:hanging="634"/>
        <w:spacing w:after="0" w:line="255" w:lineRule="auto"/>
        <w:tabs>
          <w:tab w:leader="none" w:pos="273"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Am I subject to trading blackout periods if I am on an approved leave of absence?</w:t>
      </w:r>
    </w:p>
    <w:p>
      <w:pPr>
        <w:spacing w:after="0" w:line="263" w:lineRule="exact"/>
        <w:rPr>
          <w:sz w:val="20"/>
          <w:szCs w:val="20"/>
          <w:color w:val="auto"/>
        </w:rPr>
      </w:pPr>
    </w:p>
    <w:p>
      <w:pPr>
        <w:ind w:left="640" w:hanging="634"/>
        <w:spacing w:after="0" w:line="246" w:lineRule="auto"/>
        <w:tabs>
          <w:tab w:leader="none" w:pos="247"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employee, designated independent contractors and consultants (including advisors) on an approved leave of absence is not subject to the Insider Trading Policy beginning at the opening of the next regularly scheduled open window period after the leave of absence begins. Each employee, independent contractor, or consultant will again become subject to the Insider Trading Policy immediately upon returning from leave of absence. However, even if you are not subject to our trading blackout period during the approved leave of absence, you should not trade in C3 AI securities if you are aware of material nonpublic information. That restriction stays with you as long as the information you possess is material and not publicly disseminated within the meaning of our insider trading policy.</w:t>
      </w:r>
    </w:p>
    <w:p>
      <w:pPr>
        <w:spacing w:after="0" w:line="189" w:lineRule="exact"/>
        <w:rPr>
          <w:sz w:val="20"/>
          <w:szCs w:val="20"/>
          <w:color w:val="auto"/>
        </w:rPr>
      </w:pPr>
    </w:p>
    <w:p>
      <w:pPr>
        <w:ind w:left="640" w:hanging="634"/>
        <w:spacing w:after="0" w:line="304" w:lineRule="auto"/>
        <w:tabs>
          <w:tab w:leader="none" w:pos="321" w:val="left"/>
        </w:tabs>
        <w:numPr>
          <w:ilvl w:val="0"/>
          <w:numId w:val="1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 I subject to trading blackout periods if I am no longer an employee, director, designated independent contractor or consultant/advisor of C3 AI?</w:t>
      </w:r>
    </w:p>
    <w:p>
      <w:pPr>
        <w:spacing w:after="0" w:line="153" w:lineRule="exact"/>
        <w:rPr>
          <w:sz w:val="20"/>
          <w:szCs w:val="20"/>
          <w:color w:val="auto"/>
        </w:rPr>
      </w:pPr>
    </w:p>
    <w:p>
      <w:pPr>
        <w:ind w:left="640" w:hanging="634"/>
        <w:spacing w:after="0" w:line="249" w:lineRule="auto"/>
        <w:tabs>
          <w:tab w:leader="none" w:pos="26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depends. If your employment with C3 AI ends during a trading blackout period, you will be subject to the remainder of that trading blackout period. If your employment with C3 AI ends on a day that the trading window is open, you will not be subject to the next trading blackout period. However, even if you are not subject to our trading blackout period after you leave C3 AI, you should not trade in C3 AI securities if you are aware of material nonpublic information. That restriction stays with you as long as the information you possess is material and not publicly disseminated within the meaning of our insider trading policy.</w:t>
      </w: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Exceptions to this Policy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Are there any exceptions to this policy?</w:t>
      </w:r>
    </w:p>
    <w:p>
      <w:pPr>
        <w:spacing w:after="0" w:line="263" w:lineRule="exact"/>
        <w:rPr>
          <w:sz w:val="20"/>
          <w:szCs w:val="20"/>
          <w:color w:val="auto"/>
        </w:rPr>
      </w:pPr>
    </w:p>
    <w:p>
      <w:pPr>
        <w:ind w:left="640" w:hanging="634"/>
        <w:spacing w:after="0" w:line="270" w:lineRule="auto"/>
        <w:tabs>
          <w:tab w:leader="none" w:pos="247"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are no exceptions to this policy, except as specifically noted below. There are no exceptions from insider trading laws or this Policy based on the size of the transaction or the type of consideration received.</w:t>
      </w:r>
    </w:p>
    <w:p>
      <w:pPr>
        <w:spacing w:after="0" w:line="167" w:lineRule="exact"/>
        <w:rPr>
          <w:sz w:val="20"/>
          <w:szCs w:val="20"/>
          <w:color w:val="auto"/>
        </w:rPr>
      </w:pPr>
    </w:p>
    <w:p>
      <w:pPr>
        <w:ind w:left="640" w:hanging="634"/>
        <w:spacing w:after="0" w:line="304" w:lineRule="auto"/>
        <w:tabs>
          <w:tab w:leader="none" w:pos="268" w:val="left"/>
        </w:tabs>
        <w:numPr>
          <w:ilvl w:val="0"/>
          <w:numId w:val="10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Can I exercise options granted to me by C3 AI, or participate in a C3 AI employee stock purchase plan, during a trading blackout period or when I possess material nonpublic information?</w:t>
      </w:r>
    </w:p>
    <w:p>
      <w:pPr>
        <w:sectPr>
          <w:pgSz w:w="11900" w:h="16838" w:orient="portrait"/>
          <w:cols w:equalWidth="0" w:num="1">
            <w:col w:w="11240"/>
          </w:cols>
          <w:pgMar w:left="320" w:top="11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hanging="634"/>
        <w:spacing w:after="0" w:line="249" w:lineRule="auto"/>
        <w:tabs>
          <w:tab w:leader="none" w:pos="247"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Yes. You may purchase shares by exercising your options or participating in a C3 AI employee stock purchase plan, but you may not sell the shares (even to pay the exercise price or any taxes due) during a trading blackout period or any time that you are aware of material nonpublic information. To be clear, you may not effect a broker-assisted cashless exercise (because these cashless exercise transactions include a market sale) during a trading blackout period or any time that you are aware of material nonpublic information. You may also receive and vest in stock options, restricted stock units, restricted stock or other equity compensation awards from the C3 AI.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tax withholding transactions are not restricted by this policy?</w:t>
      </w:r>
    </w:p>
    <w:p>
      <w:pPr>
        <w:spacing w:after="0" w:line="263" w:lineRule="exact"/>
        <w:rPr>
          <w:sz w:val="20"/>
          <w:szCs w:val="20"/>
          <w:color w:val="auto"/>
        </w:rPr>
      </w:pPr>
    </w:p>
    <w:p>
      <w:pPr>
        <w:ind w:left="640" w:hanging="634"/>
        <w:spacing w:after="0" w:line="250" w:lineRule="auto"/>
        <w:tabs>
          <w:tab w:leader="none" w:pos="26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policy does not apply to the surrender of shares directly to C3 AI to satisfy tax withholding obligations as a result of the issuance of shares upon exercise of options or settlement of restricted stock units issued by C3 AI. Of course, any market sale of the stock received upon exercise or settlement of any such equity awards remains subject to all provisions of this policy whether or not for the purpose of generating the cash needed to pay the exercise price or pay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Are mutual fund shares holding C3 AI common stock subject to the trading blackout periods?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No. You may trade in mutual funds holding our common stock at any time.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are the rules that apply to 10b5-1 Automatic Trading Programs?</w:t>
      </w:r>
    </w:p>
    <w:p>
      <w:pPr>
        <w:spacing w:after="0" w:line="259" w:lineRule="exact"/>
        <w:rPr>
          <w:sz w:val="20"/>
          <w:szCs w:val="20"/>
          <w:color w:val="auto"/>
        </w:rPr>
      </w:pPr>
    </w:p>
    <w:p>
      <w:pPr>
        <w:ind w:left="640" w:hanging="634"/>
        <w:spacing w:after="0" w:line="243" w:lineRule="auto"/>
        <w:tabs>
          <w:tab w:leader="none" w:pos="247"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Rule 10b5-1 of the Securities Exchange Act of 1934, as amended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C3 AI’s directors and executive officers, and, as permitted by the C3 AI, other C3 AI employees may establish a trading plan under which a broker is instructed to trade AI securities based on pre- determined criteria (a “</w:t>
      </w:r>
      <w:r>
        <w:rPr>
          <w:rFonts w:ascii="Times New Roman" w:cs="Times New Roman" w:eastAsia="Times New Roman" w:hAnsi="Times New Roman"/>
          <w:sz w:val="19"/>
          <w:szCs w:val="19"/>
          <w:b w:val="1"/>
          <w:bCs w:val="1"/>
          <w:color w:val="auto"/>
        </w:rPr>
        <w:t>10b5-1 Trading Plan</w:t>
      </w:r>
      <w:r>
        <w:rPr>
          <w:rFonts w:ascii="Times New Roman" w:cs="Times New Roman" w:eastAsia="Times New Roman" w:hAnsi="Times New Roman"/>
          <w:sz w:val="19"/>
          <w:szCs w:val="19"/>
          <w:color w:val="auto"/>
        </w:rPr>
        <w:t>”). So long as a 10b5-1 Trading Plan is properly established, transactions in C3 AI securities pursuant to that 10b5-1 Trading Plan are not subject to this policy. To be properly established, an eligible person’s 10b5-1 Trading Plan must be established in compliance with the requirements of Rule 10b5-1 of the Exchange Act and C3 AI’s Rule 10b5-1 Trading Plan Guidelines at a time when they were unaware of any material nonpublic information relating C3 AI and when you were not otherwise subject to a trading blackout period. Moreover, all 10b5-1 Trading Plans to be adopted by directors, officers, Specified Personnel and their Related Persons must be reviewed and approved by the General Counsel before being established to confirm that the 10b5-1 Trading Plan complies with all pertinent company policies and applicable securities laws.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Are purchases of C3 AI securities in a 401(k) plan allowed by this policy?</w:t>
      </w:r>
    </w:p>
    <w:p>
      <w:pPr>
        <w:spacing w:after="0" w:line="249" w:lineRule="exact"/>
        <w:rPr>
          <w:sz w:val="20"/>
          <w:szCs w:val="20"/>
          <w:color w:val="auto"/>
        </w:rPr>
      </w:pPr>
    </w:p>
    <w:p>
      <w:pPr>
        <w:ind w:left="640" w:hanging="634"/>
        <w:spacing w:after="0" w:line="259" w:lineRule="auto"/>
        <w:tabs>
          <w:tab w:leader="none" w:pos="247"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policy does not apply to purchases of C3 AI securities in C3 AI’s 401(k) plan resulting from your periodic contribution of money to the plan pursuant to your payroll deduction election. This policy does apply, however, to certain elections you may make under the 401(k) plan, including:</w:t>
      </w:r>
    </w:p>
    <w:p>
      <w:pPr>
        <w:spacing w:after="0" w:line="193" w:lineRule="exact"/>
        <w:rPr>
          <w:rFonts w:ascii="Times New Roman" w:cs="Times New Roman" w:eastAsia="Times New Roman" w:hAnsi="Times New Roman"/>
          <w:sz w:val="19"/>
          <w:szCs w:val="19"/>
          <w:color w:val="auto"/>
        </w:rPr>
      </w:pPr>
    </w:p>
    <w:p>
      <w:pPr>
        <w:jc w:val="both"/>
        <w:ind w:left="64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an election to increase or decrease the percentage of your periodic contributions that will be allocated to the C3 AI stock fund; (b) an election to make an intra-plan transfer of an existing account balance into or out of the C3 AI stock fund; (c) an election to borrow money against your 401(k) plan account if the loan will result in a liquidation of some or all of your C3 AI stock fund balance; and (d) an election to pre-pay a plan loan if the pre-payment will result in allocation of loan proceeds to the C3 AI stock fund.</w:t>
      </w:r>
    </w:p>
    <w:p>
      <w:pPr>
        <w:sectPr>
          <w:pgSz w:w="11900" w:h="16838" w:orient="portrait"/>
          <w:cols w:equalWidth="0" w:num="1">
            <w:col w:w="11240"/>
          </w:cols>
          <w:pgMar w:left="320" w:top="11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Margin Accounts, Pledging Shares, Hedging and Other Speculation in C3 AI Stock Q:</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Can I purchase C3 AI securities on margin or hold them in a margin account?</w:t>
      </w:r>
    </w:p>
    <w:p>
      <w:pPr>
        <w:spacing w:after="0" w:line="263" w:lineRule="exact"/>
        <w:rPr>
          <w:sz w:val="20"/>
          <w:szCs w:val="20"/>
          <w:color w:val="auto"/>
        </w:rPr>
      </w:pPr>
    </w:p>
    <w:p>
      <w:pPr>
        <w:ind w:left="640" w:hanging="634"/>
        <w:spacing w:after="0" w:line="259" w:lineRule="auto"/>
        <w:tabs>
          <w:tab w:leader="none" w:pos="26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“Purchasing on margin” is the use of borrowed money from a brokerage firm to purchase our securities. Holding our securities in a margin account includes holding the securities in an account in which the shares can be sold to pay a loan to the brokerage firm. You may not purchase our common stock on margin or hold it in a margin account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Can I pledge my C3 AI shares as collateral for a loan?</w:t>
      </w:r>
    </w:p>
    <w:p>
      <w:pPr>
        <w:spacing w:after="0" w:line="263" w:lineRule="exact"/>
        <w:rPr>
          <w:sz w:val="20"/>
          <w:szCs w:val="20"/>
          <w:color w:val="auto"/>
        </w:rPr>
      </w:pPr>
    </w:p>
    <w:p>
      <w:pPr>
        <w:ind w:left="640" w:hanging="634"/>
        <w:spacing w:after="0" w:line="270" w:lineRule="auto"/>
        <w:tabs>
          <w:tab w:leader="none" w:pos="247"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Pledging your shares as collateral for a loan could cause the pledgee to transfer your shares during a trading blackout period or when you are otherwise aware of material nonpublic information. As a result, you may not pledge your shares as collateral for a loan.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is problematic about margin accounts and pledged securities?</w:t>
      </w:r>
    </w:p>
    <w:p>
      <w:pPr>
        <w:spacing w:after="0" w:line="249" w:lineRule="exact"/>
        <w:rPr>
          <w:sz w:val="20"/>
          <w:szCs w:val="20"/>
          <w:color w:val="auto"/>
        </w:rPr>
      </w:pPr>
    </w:p>
    <w:p>
      <w:pPr>
        <w:ind w:left="640" w:hanging="634"/>
        <w:spacing w:after="0" w:line="246" w:lineRule="auto"/>
        <w:tabs>
          <w:tab w:leader="none" w:pos="247"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C3 AI securities, C3 AI employees, directors, and designated consultants/independent contractors are prohibited from holding C3 AI securities in a margin account or otherwise pledging C3 AI securities as collateral for a loan.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Can I hedge my ownership position in C3 AI?</w:t>
      </w:r>
    </w:p>
    <w:p>
      <w:pPr>
        <w:spacing w:after="0" w:line="249" w:lineRule="exact"/>
        <w:rPr>
          <w:sz w:val="20"/>
          <w:szCs w:val="20"/>
          <w:color w:val="auto"/>
        </w:rPr>
      </w:pPr>
    </w:p>
    <w:p>
      <w:pPr>
        <w:ind w:left="640" w:hanging="634"/>
        <w:spacing w:after="0" w:line="246" w:lineRule="auto"/>
        <w:tabs>
          <w:tab w:leader="none" w:pos="273"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Hedging or monetization transactions, including through the use of financial instruments such as prepaid variable forwards, equity swaps, collars, and exchange funds are prohibited by our insider trading policy. Other examples include borrowing or other arrangements involving a non-recourse pledge of Company securities and selling a security future that established a position that increases in value as the value of the underlying equity security decreases. Since such hedging transactions allow you to continue to own C3 AI securities obtained through employee benefit plans or otherwise, but without the full risks and rewards of ownership, you may no longer have the same objectives as C3 AI’s other stockholders. Therefore, our insider trading policy prohibits you from engaging in any such transactions.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Why are hedging transactions prohibited?</w:t>
      </w:r>
    </w:p>
    <w:p>
      <w:pPr>
        <w:spacing w:after="0" w:line="263" w:lineRule="exact"/>
        <w:rPr>
          <w:sz w:val="20"/>
          <w:szCs w:val="20"/>
          <w:color w:val="auto"/>
        </w:rPr>
      </w:pPr>
    </w:p>
    <w:p>
      <w:pPr>
        <w:ind w:left="640" w:hanging="634"/>
        <w:spacing w:after="0" w:line="259" w:lineRule="auto"/>
        <w:tabs>
          <w:tab w:leader="none" w:pos="247"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transactions may permit a person subject to this policy to continue to own C3 AI securities obtained through employee benefit plans or otherwise, but without the full risks and rewards of ownership. When that occurs, the person may no longer have the same objectives as C3 AI's other stockholders. Therefore, all persons subject to this policy are prohibited from engaging in any such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Am I allowed to trade derivative securities of C3 AI’s common stock?</w:t>
      </w:r>
    </w:p>
    <w:p>
      <w:pPr>
        <w:spacing w:after="0" w:line="263" w:lineRule="exact"/>
        <w:rPr>
          <w:sz w:val="20"/>
          <w:szCs w:val="20"/>
          <w:color w:val="auto"/>
        </w:rPr>
      </w:pPr>
    </w:p>
    <w:p>
      <w:pPr>
        <w:ind w:left="640" w:hanging="634"/>
        <w:spacing w:after="0" w:line="270" w:lineRule="auto"/>
        <w:tabs>
          <w:tab w:leader="none" w:pos="247"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You may not trade in derivative securities related to our common stock, which include publicly traded call and put options. In addition, you may not engage in short selling of our common stock</w:t>
      </w:r>
    </w:p>
    <w:p>
      <w:pPr>
        <w:sectPr>
          <w:pgSz w:w="11900" w:h="16838" w:orient="portrait"/>
          <w:cols w:equalWidth="0" w:num="1">
            <w:col w:w="11240"/>
          </w:cols>
          <w:pgMar w:left="320" w:top="11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or in any other inherently speculative transactions with respect to C3 AI’s common stock at any time.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are derivative securities?</w:t>
      </w:r>
    </w:p>
    <w:p>
      <w:pPr>
        <w:spacing w:after="0" w:line="263" w:lineRule="exact"/>
        <w:rPr>
          <w:sz w:val="20"/>
          <w:szCs w:val="20"/>
          <w:color w:val="auto"/>
        </w:rPr>
      </w:pPr>
    </w:p>
    <w:p>
      <w:pPr>
        <w:ind w:left="640" w:hanging="634"/>
        <w:spacing w:after="0" w:line="250" w:lineRule="auto"/>
        <w:tabs>
          <w:tab w:leader="none" w:pos="247"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is short selling?</w:t>
      </w:r>
    </w:p>
    <w:p>
      <w:pPr>
        <w:spacing w:after="0" w:line="249" w:lineRule="exact"/>
        <w:rPr>
          <w:sz w:val="20"/>
          <w:szCs w:val="20"/>
          <w:color w:val="auto"/>
        </w:rPr>
      </w:pPr>
    </w:p>
    <w:p>
      <w:pPr>
        <w:ind w:left="640" w:hanging="634"/>
        <w:spacing w:after="0" w:line="259" w:lineRule="auto"/>
        <w:tabs>
          <w:tab w:leader="none" w:pos="26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 Our insider trading policy prohibits you from engaging in any such transactions.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Why does C3 AI prohibit trading in derivative securities, short selling and engaging in other inherently speculative transactions?</w:t>
      </w:r>
    </w:p>
    <w:p>
      <w:pPr>
        <w:spacing w:after="0" w:line="249" w:lineRule="exact"/>
        <w:rPr>
          <w:sz w:val="20"/>
          <w:szCs w:val="20"/>
          <w:color w:val="auto"/>
        </w:rPr>
      </w:pPr>
    </w:p>
    <w:p>
      <w:pPr>
        <w:ind w:left="640" w:hanging="634"/>
        <w:spacing w:after="0" w:line="250" w:lineRule="auto"/>
        <w:tabs>
          <w:tab w:leader="none" w:pos="26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if I purchased publicly traded options or other derivative securities before I became subject to this policy?</w:t>
      </w:r>
    </w:p>
    <w:p>
      <w:pPr>
        <w:spacing w:after="0" w:line="249" w:lineRule="exact"/>
        <w:rPr>
          <w:sz w:val="20"/>
          <w:szCs w:val="20"/>
          <w:color w:val="auto"/>
        </w:rPr>
      </w:pPr>
    </w:p>
    <w:p>
      <w:pPr>
        <w:ind w:left="640" w:hanging="634"/>
        <w:spacing w:after="0" w:line="285" w:lineRule="auto"/>
        <w:tabs>
          <w:tab w:leader="none" w:pos="26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are the concerns about standing and limit orders?</w:t>
      </w:r>
    </w:p>
    <w:p>
      <w:pPr>
        <w:spacing w:after="0" w:line="263" w:lineRule="exact"/>
        <w:rPr>
          <w:sz w:val="20"/>
          <w:szCs w:val="20"/>
          <w:color w:val="auto"/>
        </w:rPr>
      </w:pPr>
    </w:p>
    <w:p>
      <w:pPr>
        <w:ind w:left="640" w:hanging="634"/>
        <w:spacing w:after="0" w:line="244" w:lineRule="auto"/>
        <w:tabs>
          <w:tab w:leader="none" w:pos="26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Standing and limit orders (except standing and limit orders under approved 10b5-1 Trading Plans, as discussed above) create heightened risks for insider trading violations similar to the use of margin accounts. There is no control over the timing of trades that result from standing instructions to a broker, and as a result the broker could execute a transaction when a C3 AI employee, director, or designated consultant/independent contractor (or advisor) is in possession of material nonpublic information. C3 AI therefore discourages placing standing or limit orders on C3 AI securities. If a person subject to this policy determines that they must use a standing order or limit order (other than under an approved 10b5-1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ectPr>
          <w:pgSz w:w="11900" w:h="16838" w:orient="portrait"/>
          <w:cols w:equalWidth="0" w:num="1">
            <w:col w:w="11240"/>
          </w:cols>
          <w:pgMar w:left="320" w:top="114"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Pre-Clearance of Transactions in C3 AI Securities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Who is required to pre-clear and provide advance notice of transactions?</w:t>
      </w:r>
    </w:p>
    <w:p>
      <w:pPr>
        <w:spacing w:after="0" w:line="249" w:lineRule="exact"/>
        <w:rPr>
          <w:sz w:val="20"/>
          <w:szCs w:val="20"/>
          <w:color w:val="auto"/>
        </w:rPr>
      </w:pPr>
    </w:p>
    <w:p>
      <w:pPr>
        <w:ind w:left="640" w:hanging="634"/>
        <w:spacing w:after="0" w:line="249" w:lineRule="auto"/>
        <w:tabs>
          <w:tab w:leader="none" w:pos="247"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requirements above, officers, directors, and other applicable members of management identified on Appendix A are subject to pre-clearance requirements face a further restriction: Even during an open trading window, they may not engage in any transaction in C3 AI securities without first obtaining pre-clearance of the transaction from the General Counsel or his or her designee at least two business days in advance of the proposed transaction. He or she will then determine whether the transaction may proceed. Pre-cleared transactions not completed within two business days will require new pre-clearance. C3 AI may choose to shorten this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Are individuals subject to pre-clearance required to provide advanced notice of stock option exercises?</w:t>
      </w:r>
    </w:p>
    <w:p>
      <w:pPr>
        <w:spacing w:after="0" w:line="263" w:lineRule="exact"/>
        <w:rPr>
          <w:sz w:val="20"/>
          <w:szCs w:val="20"/>
          <w:color w:val="auto"/>
        </w:rPr>
      </w:pPr>
    </w:p>
    <w:p>
      <w:pPr>
        <w:ind w:left="640" w:hanging="634"/>
        <w:spacing w:after="0" w:line="259" w:lineRule="auto"/>
        <w:tabs>
          <w:tab w:leader="none" w:pos="26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Yes. Persons subject to pre-clearance must also give advance notice of their plans to exercise an outstanding stock option to the General Counsel or his or her designee. Once any transaction takes place, the officer, director, or applicable member of management must immediately notify C3 AI's General Counsel or his or her designee so that C3 AI may assist in any Section 16 reporting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additional requirements apply to individuals subject to Section 16?</w:t>
      </w:r>
    </w:p>
    <w:p>
      <w:pPr>
        <w:spacing w:after="0" w:line="263" w:lineRule="exact"/>
        <w:rPr>
          <w:sz w:val="20"/>
          <w:szCs w:val="20"/>
          <w:color w:val="auto"/>
        </w:rPr>
      </w:pPr>
    </w:p>
    <w:p>
      <w:pPr>
        <w:ind w:left="640" w:hanging="634"/>
        <w:spacing w:after="0" w:line="250" w:lineRule="auto"/>
        <w:tabs>
          <w:tab w:leader="none" w:pos="247"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and any notices of sale required by Rule 144.</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Other Information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happens if I violate our insider trading policy?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Violating our policies may result in disciplinary action, which may include termination of your employment or other relationship with C3 AI.</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if I believe someone is violating this policy or otherwise using material nonpublic information to trade securities?</w:t>
      </w:r>
    </w:p>
    <w:p>
      <w:pPr>
        <w:spacing w:after="0" w:line="263" w:lineRule="exact"/>
        <w:rPr>
          <w:sz w:val="20"/>
          <w:szCs w:val="20"/>
          <w:color w:val="auto"/>
        </w:rPr>
      </w:pPr>
    </w:p>
    <w:p>
      <w:pPr>
        <w:ind w:left="640" w:hanging="634"/>
        <w:spacing w:after="0" w:line="251" w:lineRule="auto"/>
        <w:tabs>
          <w:tab w:leader="none" w:pos="247"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 believe someone is violating this policy or otherwise using material nonpublic information that they learned through their position at C3 AI to trade securities, you should report it to the General Counsel, or if the General Counsel is implicated in your report, then you should report it to the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are the sanctions if I trade on material nonpublic information or tip off someone else?</w:t>
      </w:r>
    </w:p>
    <w:p>
      <w:pPr>
        <w:spacing w:after="0" w:line="263" w:lineRule="exact"/>
        <w:rPr>
          <w:sz w:val="20"/>
          <w:szCs w:val="20"/>
          <w:color w:val="auto"/>
        </w:rPr>
      </w:pPr>
    </w:p>
    <w:p>
      <w:pPr>
        <w:ind w:left="640" w:hanging="634"/>
        <w:spacing w:after="0" w:line="251" w:lineRule="auto"/>
        <w:tabs>
          <w:tab w:leader="none" w:pos="26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disciplinary action by C3 AI —which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w:t>
      </w:r>
    </w:p>
    <w:p>
      <w:pPr>
        <w:sectPr>
          <w:pgSz w:w="11900" w:h="16838" w:orient="portrait"/>
          <w:cols w:equalWidth="0" w:num="1">
            <w:col w:w="11240"/>
          </w:cols>
          <w:pgMar w:left="320" w:top="114"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9"/>
          <w:szCs w:val="19"/>
          <w:color w:val="auto"/>
        </w:rPr>
        <w:t>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What is “loss avoided”?</w:t>
      </w:r>
    </w:p>
    <w:p>
      <w:pPr>
        <w:spacing w:after="0" w:line="263" w:lineRule="exact"/>
        <w:rPr>
          <w:sz w:val="20"/>
          <w:szCs w:val="20"/>
          <w:color w:val="auto"/>
        </w:rPr>
      </w:pPr>
    </w:p>
    <w:p>
      <w:pPr>
        <w:ind w:left="640" w:hanging="634"/>
        <w:spacing w:after="0" w:line="270" w:lineRule="auto"/>
        <w:tabs>
          <w:tab w:leader="none" w:pos="247"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 sell common stock or a related derivative security before negative news is publicly announced, and as a result of the announcement the stock price declines, you have avoided the loss caused by the negative news.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Who should I contact if I have questions about our insider trading policy or specific trades?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You should contact our General Counsel.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 Do changes to this policy require approval by C3 AI’s Board of Directors?</w:t>
      </w:r>
    </w:p>
    <w:p>
      <w:pPr>
        <w:spacing w:after="0" w:line="249" w:lineRule="exact"/>
        <w:rPr>
          <w:sz w:val="20"/>
          <w:szCs w:val="20"/>
          <w:color w:val="auto"/>
        </w:rPr>
      </w:pPr>
    </w:p>
    <w:p>
      <w:pPr>
        <w:ind w:left="640" w:hanging="634"/>
        <w:spacing w:after="0" w:line="259" w:lineRule="auto"/>
        <w:tabs>
          <w:tab w:leader="none" w:pos="247"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Yes. Changes to this policy require approval by C3 AI’s Board of Directors or a duly appointed committee of the Board of Directors. C3 AI reserves the right to amend this policy at any time, for any reason, subject to applicable laws, rules, and regulations, and with or without notice, although it will attempt to provide notice in advance of any change.</w:t>
      </w:r>
    </w:p>
    <w:p>
      <w:pPr>
        <w:spacing w:after="0" w:line="200" w:lineRule="exact"/>
        <w:rPr>
          <w:sz w:val="20"/>
          <w:szCs w:val="20"/>
          <w:color w:val="auto"/>
        </w:rPr>
      </w:pPr>
    </w:p>
    <w:p>
      <w:pPr>
        <w:spacing w:after="0" w:line="2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b w:val="1"/>
          <w:bCs w:val="1"/>
          <w:color w:val="auto"/>
        </w:rPr>
        <w:t>Appendix A</w:t>
      </w: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SPECIFIED PERSONNEL</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C3 AI Section 16 officers and members of the board of directors, and members of the Advisory Board.</w:t>
      </w:r>
    </w:p>
    <w:p>
      <w:pPr>
        <w:spacing w:after="0" w:line="23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All C3 AI employees with the title of General Manage/Vice President or above and working in the Strategy, Sales, Pre-Sales, Sales Operations, Customer Solutions, Customer Services, Alliances, Products, Engineering, or Customer Engineering groups.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C3 AI employees with the title Director or above working in the Information Technology or Information Security groups.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C3 AI employees with the title Director or above working in the Finance, Investor Relations, or Human Resources groups.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C3 AI employees working in the Legal group.</w:t>
      </w:r>
    </w:p>
    <w:p>
      <w:pPr>
        <w:spacing w:after="0" w:line="2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Other personnel specified by the General Counsel, such as those deeply involved in quarterly budgeting / planning meetings, including but not limited to the following:</w:t>
      </w:r>
    </w:p>
    <w:p>
      <w:pPr>
        <w:spacing w:after="0" w:line="171" w:lineRule="exact"/>
        <w:rPr>
          <w:sz w:val="20"/>
          <w:szCs w:val="20"/>
          <w:color w:val="auto"/>
        </w:rPr>
      </w:pPr>
    </w:p>
    <w:p>
      <w:pPr>
        <w:ind w:left="640" w:hanging="316"/>
        <w:spacing w:after="0"/>
        <w:tabs>
          <w:tab w:leader="none" w:pos="64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Revenue and Finance Managers involved in budgeting and forecasting</w:t>
      </w:r>
    </w:p>
    <w:p>
      <w:pPr>
        <w:spacing w:after="0" w:line="28" w:lineRule="exact"/>
        <w:rPr>
          <w:rFonts w:ascii="Times New Roman" w:cs="Times New Roman" w:eastAsia="Times New Roman" w:hAnsi="Times New Roman"/>
          <w:sz w:val="19"/>
          <w:szCs w:val="19"/>
          <w:color w:val="auto"/>
        </w:rPr>
      </w:pPr>
    </w:p>
    <w:p>
      <w:pPr>
        <w:ind w:left="640" w:hanging="316"/>
        <w:spacing w:after="0" w:line="232" w:lineRule="auto"/>
        <w:tabs>
          <w:tab w:leader="none" w:pos="64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assistants to CEO, EVP, and CTO</w:t>
      </w:r>
    </w:p>
    <w:p>
      <w:pPr>
        <w:ind w:left="640" w:hanging="316"/>
        <w:spacing w:after="0"/>
        <w:tabs>
          <w:tab w:leader="none" w:pos="64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Designated independent contractors and consultants (including advisors)</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All C3 AI employees, designated independent contractors/consultants (including advisors) not captured above with the title of Group Vice President or higher, including the following:</w:t>
      </w:r>
    </w:p>
    <w:p>
      <w:pPr>
        <w:sectPr>
          <w:pgSz w:w="11900" w:h="16838" w:orient="portrait"/>
          <w:cols w:equalWidth="0" w:num="1">
            <w:col w:w="11240"/>
          </w:cols>
          <w:pgMar w:left="320" w:top="114"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hanging="316"/>
        <w:spacing w:after="0"/>
        <w:tabs>
          <w:tab w:leader="none" w:pos="32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CMO</w:t>
      </w:r>
    </w:p>
    <w:p>
      <w:pPr>
        <w:spacing w:after="0" w:line="15" w:lineRule="exact"/>
        <w:rPr>
          <w:rFonts w:ascii="Times New Roman" w:cs="Times New Roman" w:eastAsia="Times New Roman" w:hAnsi="Times New Roman"/>
          <w:sz w:val="19"/>
          <w:szCs w:val="19"/>
          <w:color w:val="auto"/>
        </w:rPr>
      </w:pPr>
    </w:p>
    <w:p>
      <w:pPr>
        <w:ind w:left="320" w:hanging="316"/>
        <w:spacing w:after="0"/>
        <w:tabs>
          <w:tab w:leader="none" w:pos="32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SVP</w:t>
      </w:r>
    </w:p>
    <w:p>
      <w:pPr>
        <w:spacing w:after="0" w:line="6" w:lineRule="exact"/>
        <w:rPr>
          <w:rFonts w:ascii="Times New Roman" w:cs="Times New Roman" w:eastAsia="Times New Roman" w:hAnsi="Times New Roman"/>
          <w:sz w:val="19"/>
          <w:szCs w:val="19"/>
          <w:color w:val="auto"/>
        </w:rPr>
      </w:pPr>
    </w:p>
    <w:p>
      <w:pPr>
        <w:ind w:left="320" w:hanging="316"/>
        <w:spacing w:after="0" w:line="232" w:lineRule="auto"/>
        <w:tabs>
          <w:tab w:leader="none" w:pos="32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EVP</w:t>
      </w:r>
    </w:p>
    <w:p>
      <w:pPr>
        <w:ind w:left="320" w:hanging="316"/>
        <w:spacing w:after="0"/>
        <w:tabs>
          <w:tab w:leader="none" w:pos="32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Chief of Staff</w:t>
      </w:r>
    </w:p>
    <w:p>
      <w:pPr>
        <w:sectPr>
          <w:pgSz w:w="11900" w:h="16838" w:orient="portrait"/>
          <w:cols w:equalWidth="0" w:num="1">
            <w:col w:w="10920"/>
          </w:cols>
          <w:pgMar w:left="640" w:top="114"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Subsidiaries of C3.ai, Inc.</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Name of Subsidiary</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 Inc.</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C3.ai Gov, Inc.</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C3.ai International, Inc.</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AI Press, Inc.</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 IoT France S.A.S.</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C3.ai UK Ltd.</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C3.ai Canada Inc.</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 Energy Italy S.R.L.</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C3.ai Belgium S.R.L.</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C3.ai Japan K.K.</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C3.ai Netherlands B.V.</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C3.ai Singapore Pte Ltd.</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C3.ai Australia Pty Ltd</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C3.ai México S. de R.L. de C.V.</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Jurisdiction of Organization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Italy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Belgium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Japan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Singapore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Mexico</w:t>
      </w:r>
    </w:p>
    <w:p>
      <w:pPr>
        <w:sectPr>
          <w:pgSz w:w="11900" w:h="16838" w:orient="portrait"/>
          <w:cols w:equalWidth="0" w:num="2">
            <w:col w:w="4700" w:space="720"/>
            <w:col w:w="5820"/>
          </w:cols>
          <w:pgMar w:left="320" w:top="121" w:right="339" w:bottom="1440"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consent to the incorporation by reference in Registration Statement Nos. 333-251236, 333-253944, 333-257452, 333-265781, 333-272819, 333-280307, 333-288236 and 333-290265 on Form S-8 of our report dated June 23, 2026, relating to the consolidated financial statements of C3.ai, Inc. and subsidiaries (the “Company”) and the effectiveness of the Company's internal control over financial reporting, appearing in this Annual Report on Form 10-K for the year ended April 30,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 Jose, California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23, 2026</w:t>
      </w:r>
    </w:p>
    <w:p>
      <w:pPr>
        <w:sectPr>
          <w:pgSz w:w="11900" w:h="16838" w:orient="portrait"/>
          <w:cols w:equalWidth="0" w:num="1">
            <w:col w:w="11240"/>
          </w:cols>
          <w:pgMar w:left="320" w:top="1385" w:right="339" w:bottom="1440" w:gutter="0" w:footer="0" w:header="0"/>
        </w:sectPr>
      </w:pPr>
    </w:p>
    <w:bookmarkStart w:id="153" w:name="page154"/>
    <w:bookmarkEnd w:id="153"/>
    <w:p>
      <w:pPr>
        <w:jc w:val="center"/>
        <w:ind w:left="340" w:right="2080"/>
        <w:spacing w:after="0" w:line="261"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EXCHANGE ACT RULES 13a-14(a) AND 15d-14(a)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 Siebel, certify that:</w:t>
      </w:r>
    </w:p>
    <w:p>
      <w:pPr>
        <w:spacing w:after="0" w:line="244" w:lineRule="exact"/>
        <w:rPr>
          <w:sz w:val="20"/>
          <w:szCs w:val="20"/>
          <w:color w:val="auto"/>
        </w:rPr>
      </w:pPr>
    </w:p>
    <w:p>
      <w:pPr>
        <w:ind w:left="640" w:hanging="316"/>
        <w:spacing w:after="0"/>
        <w:tabs>
          <w:tab w:leader="none" w:pos="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C3.ai, Inc.;</w:t>
      </w:r>
    </w:p>
    <w:p>
      <w:pPr>
        <w:spacing w:after="0" w:line="24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280" w:hanging="320"/>
        <w:spacing w:after="0" w:line="274" w:lineRule="auto"/>
        <w:tabs>
          <w:tab w:leader="none" w:pos="127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280" w:hanging="320"/>
        <w:spacing w:after="0" w:line="274" w:lineRule="auto"/>
        <w:tabs>
          <w:tab w:leader="none" w:pos="127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280" w:hanging="320"/>
        <w:spacing w:after="0" w:line="274" w:lineRule="auto"/>
        <w:tabs>
          <w:tab w:leader="none" w:pos="12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1" w:right="339" w:bottom="1440" w:gutter="0" w:footer="0" w:header="0"/>
        </w:sectPr>
      </w:pPr>
    </w:p>
    <w:bookmarkStart w:id="154" w:name="page155"/>
    <w:bookmarkEnd w:id="154"/>
    <w:p>
      <w:pPr>
        <w:spacing w:after="0" w:line="259" w:lineRule="exact"/>
        <w:rPr>
          <w:sz w:val="20"/>
          <w:szCs w:val="20"/>
          <w:color w:val="auto"/>
        </w:rPr>
      </w:pPr>
    </w:p>
    <w:p>
      <w:pPr>
        <w:spacing w:after="0"/>
        <w:tabs>
          <w:tab w:leader="none" w:pos="3980" w:val="left"/>
          <w:tab w:leader="none" w:pos="472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M. Siebel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23495</wp:posOffset>
            </wp:positionV>
            <wp:extent cx="41313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4131310" cy="8255"/>
                    </a:xfrm>
                    <a:prstGeom prst="rect">
                      <a:avLst/>
                    </a:prstGeom>
                    <a:noFill/>
                  </pic:spPr>
                </pic:pic>
              </a:graphicData>
            </a:graphic>
          </wp:anchor>
        </w:drawing>
      </w:r>
    </w:p>
    <w:p>
      <w:pPr>
        <w:spacing w:after="0" w:line="3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Thomas M. Siebel</w:t>
      </w:r>
    </w:p>
    <w:p>
      <w:pPr>
        <w:spacing w:after="0" w:line="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p>
      <w:pPr>
        <w:spacing w:after="0" w:line="5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155" w:name="page156"/>
    <w:bookmarkEnd w:id="155"/>
    <w:p>
      <w:pPr>
        <w:jc w:val="center"/>
        <w:ind w:left="340" w:right="2080"/>
        <w:spacing w:after="0" w:line="261"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EXCHANGE ACT RULES 13a-14(a) AND 15d-14(a)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Hitesh Lath, certify that:</w:t>
      </w:r>
    </w:p>
    <w:p>
      <w:pPr>
        <w:spacing w:after="0" w:line="244" w:lineRule="exact"/>
        <w:rPr>
          <w:sz w:val="20"/>
          <w:szCs w:val="20"/>
          <w:color w:val="auto"/>
        </w:rPr>
      </w:pPr>
    </w:p>
    <w:p>
      <w:pPr>
        <w:ind w:left="640" w:hanging="316"/>
        <w:spacing w:after="0"/>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C3.ai, Inc.;</w:t>
      </w:r>
    </w:p>
    <w:p>
      <w:pPr>
        <w:spacing w:after="0" w:line="24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280" w:hanging="320"/>
        <w:spacing w:after="0" w:line="274" w:lineRule="auto"/>
        <w:tabs>
          <w:tab w:leader="none" w:pos="127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280" w:hanging="320"/>
        <w:spacing w:after="0" w:line="274" w:lineRule="auto"/>
        <w:tabs>
          <w:tab w:leader="none" w:pos="127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280" w:hanging="320"/>
        <w:spacing w:after="0" w:line="274" w:lineRule="auto"/>
        <w:tabs>
          <w:tab w:leader="none" w:pos="12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1" w:right="339" w:bottom="1440" w:gutter="0" w:footer="0" w:header="0"/>
        </w:sectPr>
      </w:pPr>
    </w:p>
    <w:bookmarkStart w:id="156" w:name="page157"/>
    <w:bookmarkEnd w:id="156"/>
    <w:p>
      <w:pPr>
        <w:spacing w:after="0" w:line="259" w:lineRule="exact"/>
        <w:rPr>
          <w:sz w:val="20"/>
          <w:szCs w:val="20"/>
          <w:color w:val="auto"/>
        </w:rPr>
      </w:pPr>
    </w:p>
    <w:p>
      <w:pPr>
        <w:spacing w:after="0"/>
        <w:tabs>
          <w:tab w:leader="none" w:pos="3980" w:val="left"/>
          <w:tab w:leader="none" w:pos="472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Hitesh 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23495</wp:posOffset>
            </wp:positionV>
            <wp:extent cx="41313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4131310" cy="8255"/>
                    </a:xfrm>
                    <a:prstGeom prst="rect">
                      <a:avLst/>
                    </a:prstGeom>
                    <a:noFill/>
                  </pic:spPr>
                </pic:pic>
              </a:graphicData>
            </a:graphic>
          </wp:anchor>
        </w:drawing>
      </w:r>
    </w:p>
    <w:p>
      <w:pPr>
        <w:spacing w:after="0" w:line="3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Hitesh Lath</w:t>
      </w:r>
    </w:p>
    <w:p>
      <w:pPr>
        <w:spacing w:after="0" w:line="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Senior Vice President, Chief Financial Officer and Chief Administrative Officer</w:t>
      </w:r>
    </w:p>
    <w:p>
      <w:pPr>
        <w:spacing w:after="0" w:line="5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380"/>
          </w:cols>
          <w:pgMar w:left="340" w:top="1440" w:right="117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6"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 Thomas M. Siebel, Chief Executive Officer of C3.ai, Inc. (the “Company”), do hereby certify, to the best of my knowledge and pursuant to the requirement set forth in Rule 13a-14(b) of the Securities Exchange Act of 1934, as amended, (the “Exchange Act”) and 18 U.S.C. Section 1350, as adopted pursuant to Section 906 of the Sarbanes-Oxley Act of 2002, that:</w:t>
      </w:r>
    </w:p>
    <w:p>
      <w:pPr>
        <w:spacing w:after="0" w:line="196" w:lineRule="exact"/>
        <w:rPr>
          <w:sz w:val="20"/>
          <w:szCs w:val="20"/>
          <w:color w:val="auto"/>
        </w:rPr>
      </w:pPr>
    </w:p>
    <w:p>
      <w:pPr>
        <w:ind w:left="640" w:hanging="316"/>
        <w:spacing w:after="0" w:line="274" w:lineRule="auto"/>
        <w:tabs>
          <w:tab w:leader="none" w:pos="63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April 30, 2026, to which this Certification is attached as Exhibit 32.1 (the “Report”), fully complies with the requirements of Section 13(a) or Section 15(d) of the Exchange Act; and</w:t>
      </w:r>
    </w:p>
    <w:p>
      <w:pPr>
        <w:spacing w:after="0" w:line="17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4000" w:val="left"/>
          <w:tab w:leader="none" w:pos="474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M. Siebel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23495</wp:posOffset>
            </wp:positionV>
            <wp:extent cx="41313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4131310" cy="8255"/>
                    </a:xfrm>
                    <a:prstGeom prst="rect">
                      <a:avLst/>
                    </a:prstGeom>
                    <a:noFill/>
                  </pic:spPr>
                </pic:pic>
              </a:graphicData>
            </a:graphic>
          </wp:anchor>
        </w:drawing>
      </w:r>
    </w:p>
    <w:p>
      <w:pPr>
        <w:spacing w:after="0" w:line="3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Thomas M. Siebel</w:t>
      </w:r>
    </w:p>
    <w:p>
      <w:pPr>
        <w:spacing w:after="0" w:line="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p>
      <w:pPr>
        <w:spacing w:after="0" w:line="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391"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6" w:lineRule="auto"/>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 Hitesh Lath, Senior Vice President and Chief Financial Officer of C3.ai, Inc. (the “Company”), do hereby certify, to the best of my knowledge and pursuant to the requirement set forth in Rule 13a-14(b) of the Securities Exchange Act of 1934, as amended, (the “Exchange Act”) and 18 U.S.C. Section 1350, as adopted pursuant to Section 906 of the Sarbanes-Oxley Act of 2002, that:</w:t>
      </w:r>
    </w:p>
    <w:p>
      <w:pPr>
        <w:spacing w:after="0" w:line="196" w:lineRule="exact"/>
        <w:rPr>
          <w:sz w:val="20"/>
          <w:szCs w:val="20"/>
          <w:color w:val="auto"/>
        </w:rPr>
      </w:pPr>
    </w:p>
    <w:p>
      <w:pPr>
        <w:ind w:left="640" w:hanging="316"/>
        <w:spacing w:after="0" w:line="274" w:lineRule="auto"/>
        <w:tabs>
          <w:tab w:leader="none" w:pos="63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April 30, 2026, to which this Certification is attached as Exhibit 32.2 (the “Report”), fully complies with the requirements of Section 13(a) or Section 15(d) of the Exchange Act; and</w:t>
      </w:r>
    </w:p>
    <w:p>
      <w:pPr>
        <w:spacing w:after="0" w:line="17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4000" w:val="left"/>
          <w:tab w:leader="none" w:pos="474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Hitesh 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23495</wp:posOffset>
            </wp:positionV>
            <wp:extent cx="41313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4131310" cy="8255"/>
                    </a:xfrm>
                    <a:prstGeom prst="rect">
                      <a:avLst/>
                    </a:prstGeom>
                    <a:noFill/>
                  </pic:spPr>
                </pic:pic>
              </a:graphicData>
            </a:graphic>
          </wp:anchor>
        </w:drawing>
      </w:r>
    </w:p>
    <w:p>
      <w:pPr>
        <w:spacing w:after="0" w:line="3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Hitesh Lath</w:t>
      </w:r>
    </w:p>
    <w:p>
      <w:pPr>
        <w:spacing w:after="0" w:line="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Senior Vice President, Chief Financial Officer and Chief Administrative Officer</w:t>
      </w:r>
    </w:p>
    <w:p>
      <w:pPr>
        <w:spacing w:after="0" w:line="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lvl w:ilvl="1">
      <w:lvlJc w:val="left"/>
      <w:lvlText w:val="(%2)"/>
      <w:numFmt w:val="decimal"/>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1"/>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lvl w:ilvl="1">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emdash "/>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1)"/>
      <w:numFmt w:val="decimal"/>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lvl w:ilvl="1">
      <w:lvlJc w:val="left"/>
      <w:lvlText w:val="◦"/>
      <w:numFmt w:val="bullet"/>
      <w:start w:val="1"/>
    </w:lvl>
  </w:abstractNum>
  <w:abstractNum w:abstractNumId="49">
    <w:nsid w:val="39EE015C"/>
    <w:multiLevelType w:val="hybridMultilevel"/>
    <w:lvl w:ilvl="0">
      <w:lvlJc w:val="left"/>
      <w:lvlText w:val="(%1)"/>
      <w:numFmt w:val="decimal"/>
      <w:start w:val="1"/>
    </w:lvl>
  </w:abstractNum>
  <w:abstractNum w:abstractNumId="50">
    <w:nsid w:val="57FC4FBB"/>
    <w:multiLevelType w:val="hybridMultilevel"/>
    <w:lvl w:ilvl="0">
      <w:lvlJc w:val="left"/>
      <w:lvlText w:val="(%1)"/>
      <w:numFmt w:val="decimal"/>
      <w:start w:val="1"/>
    </w:lvl>
  </w:abstractNum>
  <w:abstractNum w:abstractNumId="51">
    <w:nsid w:val="CC1016F"/>
    <w:multiLevelType w:val="hybridMultilevel"/>
    <w:lvl w:ilvl="0">
      <w:lvlJc w:val="left"/>
      <w:lvlText w:val="%1."/>
      <w:numFmt w:val="decimal"/>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1."/>
      <w:numFmt w:val="decimal"/>
      <w:start w:val="2"/>
    </w:lvl>
  </w:abstractNum>
  <w:abstractNum w:abstractNumId="54">
    <w:nsid w:val="26F324BA"/>
    <w:multiLevelType w:val="hybridMultilevel"/>
    <w:lvl w:ilvl="0">
      <w:lvlJc w:val="left"/>
      <w:lvlText w:val="(%1)"/>
      <w:numFmt w:val="decimal"/>
      <w:start w:val="1"/>
    </w:lvl>
  </w:abstractNum>
  <w:abstractNum w:abstractNumId="55">
    <w:nsid w:val="7F01579B"/>
    <w:multiLevelType w:val="hybridMultilevel"/>
    <w:lvl w:ilvl="0">
      <w:lvlJc w:val="left"/>
      <w:lvlText w:val="%1."/>
      <w:numFmt w:val="decimal"/>
      <w:start w:val="3"/>
    </w:lvl>
  </w:abstractNum>
  <w:abstractNum w:abstractNumId="56">
    <w:nsid w:val="49DA307D"/>
    <w:multiLevelType w:val="hybridMultilevel"/>
    <w:lvl w:ilvl="0">
      <w:lvlJc w:val="left"/>
      <w:lvlText w:val="%1."/>
      <w:numFmt w:val="decimal"/>
      <w:start w:val="4"/>
    </w:lvl>
  </w:abstractNum>
  <w:abstractNum w:abstractNumId="57">
    <w:nsid w:val="7055A5F5"/>
    <w:multiLevelType w:val="hybridMultilevel"/>
    <w:lvl w:ilvl="0">
      <w:lvlJc w:val="left"/>
      <w:lvlText w:val="%1."/>
      <w:numFmt w:val="decimal"/>
      <w:start w:val="5"/>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1."/>
      <w:numFmt w:val="decimal"/>
      <w:start w:val="6"/>
    </w:lvl>
  </w:abstractNum>
  <w:abstractNum w:abstractNumId="60">
    <w:nsid w:val="488AC1A"/>
    <w:multiLevelType w:val="hybridMultilevel"/>
    <w:lvl w:ilvl="0">
      <w:lvlJc w:val="left"/>
      <w:lvlText w:val="%1."/>
      <w:numFmt w:val="decimal"/>
      <w:start w:val="7"/>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1)"/>
      <w:numFmt w:val="lowerLetter"/>
      <w:start w:val="1"/>
    </w:lvl>
    <w:lvl w:ilvl="1">
      <w:lvlJc w:val="left"/>
      <w:lvlText w:val="%2."/>
      <w:numFmt w:val="decimal"/>
      <w:start w:val="1"/>
    </w:lvl>
  </w:abstractNum>
  <w:abstractNum w:abstractNumId="64">
    <w:nsid w:val="6FC75AF8"/>
    <w:multiLevelType w:val="hybridMultilevel"/>
    <w:lvl w:ilvl="0">
      <w:lvlJc w:val="left"/>
      <w:lvlText w:val="%1."/>
      <w:numFmt w:val="decimal"/>
      <w:start w:val="2"/>
    </w:lvl>
  </w:abstractNum>
  <w:abstractNum w:abstractNumId="65">
    <w:nsid w:val="6A5F7029"/>
    <w:multiLevelType w:val="hybridMultilevel"/>
    <w:lvl w:ilvl="0">
      <w:lvlJc w:val="left"/>
      <w:lvlText w:val="%1."/>
      <w:numFmt w:val="decimal"/>
      <w:start w:val="3"/>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1."/>
      <w:numFmt w:val="decimal"/>
      <w:start w:val="1"/>
    </w:lvl>
  </w:abstractNum>
  <w:abstractNum w:abstractNumId="71">
    <w:nsid w:val="3FA62ACA"/>
    <w:multiLevelType w:val="hybridMultilevel"/>
    <w:lvl w:ilvl="0">
      <w:lvlJc w:val="left"/>
      <w:lvlText w:val="%1:"/>
      <w:numFmt w:val="upperLetter"/>
      <w:start w:val="17"/>
    </w:lvl>
    <w:lvl w:ilvl="1">
      <w:lvlJc w:val="left"/>
      <w:lvlText w:val="%2:"/>
      <w:numFmt w:val="upperLetter"/>
      <w:start w:val="1"/>
    </w:lvl>
  </w:abstractNum>
  <w:abstractNum w:abstractNumId="72">
    <w:nsid w:val="14FCE74E"/>
    <w:multiLevelType w:val="hybridMultilevel"/>
    <w:lvl w:ilvl="0">
      <w:lvlJc w:val="left"/>
      <w:lvlText w:val="%1:"/>
      <w:numFmt w:val="upperLetter"/>
      <w:start w:val="1"/>
    </w:lvl>
  </w:abstractNum>
  <w:abstractNum w:abstractNumId="73">
    <w:nsid w:val="6A3DD3E8"/>
    <w:multiLevelType w:val="hybridMultilevel"/>
    <w:lvl w:ilvl="0">
      <w:lvlJc w:val="left"/>
      <w:lvlText w:val="%1"/>
      <w:numFmt w:val="upperLetter"/>
      <w:start w:val="1"/>
    </w:lvl>
    <w:lvl w:ilvl="1">
      <w:lvlJc w:val="left"/>
      <w:lvlText w:val="%2:"/>
      <w:numFmt w:val="upperLetter"/>
      <w:start w:val="17"/>
    </w:lvl>
  </w:abstractNum>
  <w:abstractNum w:abstractNumId="74">
    <w:nsid w:val="71C91298"/>
    <w:multiLevelType w:val="hybridMultilevel"/>
    <w:lvl w:ilvl="0">
      <w:lvlJc w:val="left"/>
      <w:lvlText w:val="%1:"/>
      <w:numFmt w:val="upperLetter"/>
      <w:start w:val="1"/>
    </w:lvl>
    <w:lvl w:ilvl="1">
      <w:lvlJc w:val="left"/>
      <w:lvlText w:val="%2:"/>
      <w:numFmt w:val="upperLetter"/>
      <w:start w:val="17"/>
    </w:lvl>
  </w:abstractNum>
  <w:abstractNum w:abstractNumId="75">
    <w:nsid w:val="9DAF632"/>
    <w:multiLevelType w:val="hybridMultilevel"/>
    <w:lvl w:ilvl="0">
      <w:lvlJc w:val="left"/>
      <w:lvlText w:val="%1:"/>
      <w:numFmt w:val="upperLetter"/>
      <w:start w:val="1"/>
    </w:lvl>
  </w:abstractNum>
  <w:abstractNum w:abstractNumId="76">
    <w:nsid w:val="53299938"/>
    <w:multiLevelType w:val="hybridMultilevel"/>
    <w:lvl w:ilvl="0">
      <w:lvlJc w:val="left"/>
      <w:lvlText w:val="%1:"/>
      <w:numFmt w:val="upperLetter"/>
      <w:start w:val="17"/>
    </w:lvl>
    <w:lvl w:ilvl="1">
      <w:lvlJc w:val="left"/>
      <w:lvlText w:val="%2:"/>
      <w:numFmt w:val="upperLetter"/>
      <w:start w:val="1"/>
    </w:lvl>
  </w:abstractNum>
  <w:abstractNum w:abstractNumId="77">
    <w:nsid w:val="1FBFE8E0"/>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7"/>
    </w:lvl>
  </w:abstractNum>
  <w:abstractNum w:abstractNumId="78">
    <w:nsid w:val="5092CA79"/>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79">
    <w:nsid w:val="1D545C4D"/>
    <w:multiLevelType w:val="hybridMultilevel"/>
    <w:lvl w:ilvl="0">
      <w:lvlJc w:val="left"/>
      <w:lvlText w:val="%1:"/>
      <w:numFmt w:val="upperLetter"/>
      <w:start w:val="17"/>
    </w:lvl>
    <w:lvl w:ilvl="1">
      <w:lvlJc w:val="left"/>
      <w:lvlText w:val="%2:"/>
      <w:numFmt w:val="upperLetter"/>
      <w:start w:val="1"/>
    </w:lvl>
    <w:lvl w:ilvl="2">
      <w:lvlJc w:val="left"/>
      <w:lvlText w:val="%3:"/>
      <w:numFmt w:val="upperLetter"/>
      <w:start w:val="17"/>
    </w:lvl>
  </w:abstractNum>
  <w:abstractNum w:abstractNumId="80">
    <w:nsid w:val="59ADEA3D"/>
    <w:multiLevelType w:val="hybridMultilevel"/>
    <w:lvl w:ilvl="0">
      <w:lvlJc w:val="left"/>
      <w:lvlText w:val="%1:"/>
      <w:numFmt w:val="upperLetter"/>
      <w:start w:val="1"/>
    </w:lvl>
    <w:lvl w:ilvl="1">
      <w:lvlJc w:val="left"/>
      <w:lvlText w:val="•"/>
      <w:numFmt w:val="bullet"/>
      <w:start w:val="1"/>
    </w:lvl>
  </w:abstractNum>
  <w:abstractNum w:abstractNumId="81">
    <w:nsid w:val="288F1A34"/>
    <w:multiLevelType w:val="hybridMultilevel"/>
    <w:lvl w:ilvl="0">
      <w:lvlJc w:val="left"/>
      <w:lvlText w:val="%1"/>
      <w:numFmt w:val="upperLetter"/>
      <w:start w:val="1"/>
    </w:lvl>
    <w:lvl w:ilvl="1">
      <w:lvlJc w:val="left"/>
      <w:lvlText w:val="%2:"/>
      <w:numFmt w:val="upperLetter"/>
      <w:start w:val="16"/>
    </w:lvl>
    <w:lvl w:ilvl="2">
      <w:lvlJc w:val="left"/>
      <w:lvlText w:val="•"/>
      <w:numFmt w:val="bullet"/>
      <w:start w:val="1"/>
    </w:lvl>
    <w:lvl w:ilvl="3">
      <w:lvlJc w:val="left"/>
      <w:lvlText w:val="◦"/>
      <w:numFmt w:val="bullet"/>
      <w:start w:val="1"/>
    </w:lvl>
  </w:abstractNum>
  <w:abstractNum w:abstractNumId="82">
    <w:nsid w:val="2A155DBC"/>
    <w:multiLevelType w:val="hybridMultilevel"/>
    <w:lvl w:ilvl="0">
      <w:lvlJc w:val="left"/>
      <w:lvlText w:val="%1:"/>
      <w:numFmt w:val="upperLetter"/>
      <w:start w:val="1"/>
    </w:lvl>
    <w:lvl w:ilvl="1">
      <w:lvlJc w:val="left"/>
      <w:lvlText w:val="%2"/>
      <w:numFmt w:val="upperLetter"/>
      <w:start w:val="1"/>
    </w:lvl>
    <w:lvl w:ilvl="2">
      <w:lvlJc w:val="left"/>
      <w:lvlText w:val="•"/>
      <w:numFmt w:val="bullet"/>
      <w:start w:val="1"/>
    </w:lvl>
    <w:lvl w:ilvl="3">
      <w:lvlJc w:val="left"/>
      <w:lvlText w:val="◦"/>
      <w:numFmt w:val="bullet"/>
      <w:start w:val="1"/>
    </w:lvl>
  </w:abstractNum>
  <w:abstractNum w:abstractNumId="83">
    <w:nsid w:val="1D9F6E5F"/>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7"/>
    </w:lvl>
  </w:abstractNum>
  <w:abstractNum w:abstractNumId="84">
    <w:nsid w:val="97E1B4E"/>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85">
    <w:nsid w:val="51088277"/>
    <w:multiLevelType w:val="hybridMultilevel"/>
    <w:lvl w:ilvl="0">
      <w:lvlJc w:val="left"/>
      <w:lvlText w:val="%1:"/>
      <w:numFmt w:val="upperLetter"/>
      <w:start w:val="17"/>
    </w:lvl>
    <w:lvl w:ilvl="1">
      <w:lvlJc w:val="left"/>
      <w:lvlText w:val="%2"/>
      <w:numFmt w:val="upperLetter"/>
      <w:start w:val="1"/>
    </w:lvl>
    <w:lvl w:ilvl="2">
      <w:lvlJc w:val="left"/>
      <w:lvlText w:val="%3"/>
      <w:numFmt w:val="upperLetter"/>
      <w:start w:val="1"/>
    </w:lvl>
  </w:abstractNum>
  <w:abstractNum w:abstractNumId="86">
    <w:nsid w:val="1CA0C5FA"/>
    <w:multiLevelType w:val="hybridMultilevel"/>
    <w:lvl w:ilvl="0">
      <w:lvlJc w:val="left"/>
      <w:lvlText w:val="%1:"/>
      <w:numFmt w:val="upperLetter"/>
      <w:start w:val="1"/>
    </w:lvl>
  </w:abstractNum>
  <w:abstractNum w:abstractNumId="87">
    <w:nsid w:val="53584BCB"/>
    <w:multiLevelType w:val="hybridMultilevel"/>
    <w:lvl w:ilvl="0">
      <w:lvlJc w:val="left"/>
      <w:lvlText w:val="%1:"/>
      <w:numFmt w:val="upperLetter"/>
      <w:start w:val="17"/>
    </w:lvl>
  </w:abstractNum>
  <w:abstractNum w:abstractNumId="88">
    <w:nsid w:val="415E286C"/>
    <w:multiLevelType w:val="hybridMultilevel"/>
    <w:lvl w:ilvl="0">
      <w:lvlJc w:val="left"/>
      <w:lvlText w:val="%1:"/>
      <w:numFmt w:val="upperLetter"/>
      <w:start w:val="1"/>
    </w:lvl>
  </w:abstractNum>
  <w:abstractNum w:abstractNumId="89">
    <w:nsid w:val="7C58FD05"/>
    <w:multiLevelType w:val="hybridMultilevel"/>
    <w:lvl w:ilvl="0">
      <w:lvlJc w:val="left"/>
      <w:lvlText w:val="%1:"/>
      <w:numFmt w:val="upperLetter"/>
      <w:start w:val="1"/>
    </w:lvl>
  </w:abstractNum>
  <w:abstractNum w:abstractNumId="90">
    <w:nsid w:val="23D86AAC"/>
    <w:multiLevelType w:val="hybridMultilevel"/>
    <w:lvl w:ilvl="0">
      <w:lvlJc w:val="left"/>
      <w:lvlText w:val="%1:"/>
      <w:numFmt w:val="upperLetter"/>
      <w:start w:val="1"/>
    </w:lvl>
  </w:abstractNum>
  <w:abstractNum w:abstractNumId="91">
    <w:nsid w:val="45E6D486"/>
    <w:multiLevelType w:val="hybridMultilevel"/>
    <w:lvl w:ilvl="0">
      <w:lvlJc w:val="left"/>
      <w:lvlText w:val="%1:"/>
      <w:numFmt w:val="upperLetter"/>
      <w:start w:val="1"/>
    </w:lvl>
  </w:abstractNum>
  <w:abstractNum w:abstractNumId="92">
    <w:nsid w:val="5C10FE21"/>
    <w:multiLevelType w:val="hybridMultilevel"/>
    <w:lvl w:ilvl="0">
      <w:lvlJc w:val="left"/>
      <w:lvlText w:val="%1:"/>
      <w:numFmt w:val="upperLetter"/>
      <w:start w:val="1"/>
    </w:lvl>
    <w:lvl w:ilvl="1">
      <w:lvlJc w:val="left"/>
      <w:lvlText w:val="%2:"/>
      <w:numFmt w:val="upperLetter"/>
      <w:start w:val="17"/>
    </w:lvl>
  </w:abstractNum>
  <w:abstractNum w:abstractNumId="93">
    <w:nsid w:val="E7FFA2B"/>
    <w:multiLevelType w:val="hybridMultilevel"/>
    <w:lvl w:ilvl="0">
      <w:lvlJc w:val="left"/>
      <w:lvlText w:val="%1:"/>
      <w:numFmt w:val="upperLetter"/>
      <w:start w:val="1"/>
    </w:lvl>
  </w:abstractNum>
  <w:abstractNum w:abstractNumId="94">
    <w:nsid w:val="3C5991AA"/>
    <w:multiLevelType w:val="hybridMultilevel"/>
    <w:lvl w:ilvl="0">
      <w:lvlJc w:val="left"/>
      <w:lvlText w:val="%1:"/>
      <w:numFmt w:val="upperLetter"/>
      <w:start w:val="17"/>
    </w:lvl>
    <w:lvl w:ilvl="1">
      <w:lvlJc w:val="left"/>
      <w:lvlText w:val="%2:"/>
      <w:numFmt w:val="upperLetter"/>
      <w:start w:val="1"/>
    </w:lvl>
  </w:abstractNum>
  <w:abstractNum w:abstractNumId="95">
    <w:nsid w:val="4BD8591A"/>
    <w:multiLevelType w:val="hybridMultilevel"/>
    <w:lvl w:ilvl="0">
      <w:lvlJc w:val="left"/>
      <w:lvlText w:val="%1:"/>
      <w:numFmt w:val="upperLetter"/>
      <w:start w:val="17"/>
    </w:lvl>
    <w:lvl w:ilvl="1">
      <w:lvlJc w:val="left"/>
      <w:lvlText w:val="%2:"/>
      <w:numFmt w:val="upperLetter"/>
      <w:start w:val="1"/>
    </w:lvl>
  </w:abstractNum>
  <w:abstractNum w:abstractNumId="96">
    <w:nsid w:val="78DF6A55"/>
    <w:multiLevelType w:val="hybridMultilevel"/>
    <w:lvl w:ilvl="0">
      <w:lvlJc w:val="left"/>
      <w:lvlText w:val="%1"/>
      <w:numFmt w:val="upperLetter"/>
      <w:start w:val="1"/>
    </w:lvl>
    <w:lvl w:ilvl="1">
      <w:lvlJc w:val="left"/>
      <w:lvlText w:val="%2:"/>
      <w:numFmt w:val="upperLetter"/>
      <w:start w:val="17"/>
    </w:lvl>
  </w:abstractNum>
  <w:abstractNum w:abstractNumId="97">
    <w:nsid w:val="39B7AAA2"/>
    <w:multiLevelType w:val="hybridMultilevel"/>
    <w:lvl w:ilvl="0">
      <w:lvlJc w:val="left"/>
      <w:lvlText w:val="%1"/>
      <w:numFmt w:val="upperLetter"/>
      <w:start w:val="1"/>
    </w:lvl>
    <w:lvl w:ilvl="1">
      <w:lvlJc w:val="left"/>
      <w:lvlText w:val="%2:"/>
      <w:numFmt w:val="upperLetter"/>
      <w:start w:val="17"/>
    </w:lvl>
  </w:abstractNum>
  <w:abstractNum w:abstractNumId="98">
    <w:nsid w:val="2B0D8DBE"/>
    <w:multiLevelType w:val="hybridMultilevel"/>
    <w:lvl w:ilvl="0">
      <w:lvlJc w:val="left"/>
      <w:lvlText w:val="%1:"/>
      <w:numFmt w:val="upperLetter"/>
      <w:start w:val="1"/>
    </w:lvl>
  </w:abstractNum>
  <w:abstractNum w:abstractNumId="99">
    <w:nsid w:val="6C80EC70"/>
    <w:multiLevelType w:val="hybridMultilevel"/>
    <w:lvl w:ilvl="0">
      <w:lvlJc w:val="left"/>
      <w:lvlText w:val="%1:"/>
      <w:numFmt w:val="upperLetter"/>
      <w:start w:val="17"/>
    </w:lvl>
  </w:abstractNum>
  <w:abstractNum w:abstractNumId="100">
    <w:nsid w:val="379E21B5"/>
    <w:multiLevelType w:val="hybridMultilevel"/>
    <w:lvl w:ilvl="0">
      <w:lvlJc w:val="left"/>
      <w:lvlText w:val="%1:"/>
      <w:numFmt w:val="upperLetter"/>
      <w:start w:val="1"/>
    </w:lvl>
  </w:abstractNum>
  <w:abstractNum w:abstractNumId="101">
    <w:nsid w:val="69E373"/>
    <w:multiLevelType w:val="hybridMultilevel"/>
    <w:lvl w:ilvl="0">
      <w:lvlJc w:val="left"/>
      <w:lvlText w:val="%1:"/>
      <w:numFmt w:val="upperLetter"/>
      <w:start w:val="1"/>
    </w:lvl>
  </w:abstractNum>
  <w:abstractNum w:abstractNumId="102">
    <w:nsid w:val="2C27173B"/>
    <w:multiLevelType w:val="hybridMultilevel"/>
    <w:lvl w:ilvl="0">
      <w:lvlJc w:val="left"/>
      <w:lvlText w:val="%1:"/>
      <w:numFmt w:val="upperLetter"/>
      <w:start w:val="17"/>
    </w:lvl>
  </w:abstractNum>
  <w:abstractNum w:abstractNumId="103">
    <w:nsid w:val="4C9B0904"/>
    <w:multiLevelType w:val="hybridMultilevel"/>
    <w:lvl w:ilvl="0">
      <w:lvlJc w:val="left"/>
      <w:lvlText w:val="%1:"/>
      <w:numFmt w:val="upperLetter"/>
      <w:start w:val="1"/>
    </w:lvl>
  </w:abstractNum>
  <w:abstractNum w:abstractNumId="104">
    <w:nsid w:val="6AA7B75C"/>
    <w:multiLevelType w:val="hybridMultilevel"/>
    <w:lvl w:ilvl="0">
      <w:lvlJc w:val="left"/>
      <w:lvlText w:val="%1:"/>
      <w:numFmt w:val="upperLetter"/>
      <w:start w:val="1"/>
    </w:lvl>
  </w:abstractNum>
  <w:abstractNum w:abstractNumId="105">
    <w:nsid w:val="1DF029D3"/>
    <w:multiLevelType w:val="hybridMultilevel"/>
    <w:lvl w:ilvl="0">
      <w:lvlJc w:val="left"/>
      <w:lvlText w:val="%1:"/>
      <w:numFmt w:val="upperLetter"/>
      <w:start w:val="17"/>
    </w:lvl>
  </w:abstractNum>
  <w:abstractNum w:abstractNumId="106">
    <w:nsid w:val="5675FF36"/>
    <w:multiLevelType w:val="hybridMultilevel"/>
    <w:lvl w:ilvl="0">
      <w:lvlJc w:val="left"/>
      <w:lvlText w:val="%1:"/>
      <w:numFmt w:val="upperLetter"/>
      <w:start w:val="1"/>
    </w:lvl>
  </w:abstractNum>
  <w:abstractNum w:abstractNumId="107">
    <w:nsid w:val="3DD15094"/>
    <w:multiLevelType w:val="hybridMultilevel"/>
    <w:lvl w:ilvl="0">
      <w:lvlJc w:val="left"/>
      <w:lvlText w:val="%1:"/>
      <w:numFmt w:val="upperLetter"/>
      <w:start w:val="1"/>
    </w:lvl>
  </w:abstractNum>
  <w:abstractNum w:abstractNumId="108">
    <w:nsid w:val="3DB012B3"/>
    <w:multiLevelType w:val="hybridMultilevel"/>
    <w:lvl w:ilvl="0">
      <w:lvlJc w:val="left"/>
      <w:lvlText w:val="%1:"/>
      <w:numFmt w:val="upperLetter"/>
      <w:start w:val="1"/>
    </w:lvl>
  </w:abstractNum>
  <w:abstractNum w:abstractNumId="109">
    <w:nsid w:val="2708C9AF"/>
    <w:multiLevelType w:val="hybridMultilevel"/>
    <w:lvl w:ilvl="0">
      <w:lvlJc w:val="left"/>
      <w:lvlText w:val="%1:"/>
      <w:numFmt w:val="upperLetter"/>
      <w:start w:val="1"/>
    </w:lvl>
  </w:abstractNum>
  <w:abstractNum w:abstractNumId="110">
    <w:nsid w:val="5B25ACE2"/>
    <w:multiLevelType w:val="hybridMultilevel"/>
    <w:lvl w:ilvl="0">
      <w:lvlJc w:val="left"/>
      <w:lvlText w:val="%1:"/>
      <w:numFmt w:val="upperLetter"/>
      <w:start w:val="1"/>
    </w:lvl>
  </w:abstractNum>
  <w:abstractNum w:abstractNumId="111">
    <w:nsid w:val="175DFCF0"/>
    <w:multiLevelType w:val="hybridMultilevel"/>
    <w:lvl w:ilvl="0">
      <w:lvlJc w:val="left"/>
      <w:lvlText w:val="%1:"/>
      <w:numFmt w:val="upperLetter"/>
      <w:start w:val="1"/>
    </w:lvl>
  </w:abstractNum>
  <w:abstractNum w:abstractNumId="112">
    <w:nsid w:val="4F97E3E4"/>
    <w:multiLevelType w:val="hybridMultilevel"/>
    <w:lvl w:ilvl="0">
      <w:lvlJc w:val="left"/>
      <w:lvlText w:val="%1:"/>
      <w:numFmt w:val="upperLetter"/>
      <w:start w:val="1"/>
    </w:lvl>
  </w:abstractNum>
  <w:abstractNum w:abstractNumId="113">
    <w:nsid w:val="53B0A9E"/>
    <w:multiLevelType w:val="hybridMultilevel"/>
    <w:lvl w:ilvl="0">
      <w:lvlJc w:val="left"/>
      <w:lvlText w:val="%1:"/>
      <w:numFmt w:val="upperLetter"/>
      <w:start w:val="1"/>
    </w:lvl>
  </w:abstractNum>
  <w:abstractNum w:abstractNumId="114">
    <w:nsid w:val="34FD6B4F"/>
    <w:multiLevelType w:val="hybridMultilevel"/>
    <w:lvl w:ilvl="0">
      <w:lvlJc w:val="left"/>
      <w:lvlText w:val="%1:"/>
      <w:numFmt w:val="upperLetter"/>
      <w:start w:val="1"/>
    </w:lvl>
  </w:abstractNum>
  <w:abstractNum w:abstractNumId="115">
    <w:nsid w:val="5915FF32"/>
    <w:multiLevelType w:val="hybridMultilevel"/>
    <w:lvl w:ilvl="0">
      <w:lvlJc w:val="left"/>
      <w:lvlText w:val="%1:"/>
      <w:numFmt w:val="upperLetter"/>
      <w:start w:val="1"/>
    </w:lvl>
  </w:abstractNum>
  <w:abstractNum w:abstractNumId="116">
    <w:nsid w:val="56438D15"/>
    <w:multiLevelType w:val="hybridMultilevel"/>
    <w:lvl w:ilvl="0">
      <w:lvlJc w:val="left"/>
      <w:lvlText w:val="%1:"/>
      <w:numFmt w:val="upperLetter"/>
      <w:start w:val="1"/>
    </w:lvl>
  </w:abstractNum>
  <w:abstractNum w:abstractNumId="117">
    <w:nsid w:val="519E3149"/>
    <w:multiLevelType w:val="hybridMultilevel"/>
    <w:lvl w:ilvl="0">
      <w:lvlJc w:val="left"/>
      <w:lvlText w:val="%1:"/>
      <w:numFmt w:val="upperLetter"/>
      <w:start w:val="1"/>
    </w:lvl>
  </w:abstractNum>
  <w:abstractNum w:abstractNumId="118">
    <w:nsid w:val="2C6E4AFD"/>
    <w:multiLevelType w:val="hybridMultilevel"/>
    <w:lvl w:ilvl="0">
      <w:lvlJc w:val="left"/>
      <w:lvlText w:val="%1:"/>
      <w:numFmt w:val="upperLetter"/>
      <w:start w:val="1"/>
    </w:lvl>
  </w:abstractNum>
  <w:abstractNum w:abstractNumId="119">
    <w:nsid w:val="17A1B582"/>
    <w:multiLevelType w:val="hybridMultilevel"/>
    <w:lvl w:ilvl="0">
      <w:lvlJc w:val="left"/>
      <w:lvlText w:val="%1:"/>
      <w:numFmt w:val="upperLetter"/>
      <w:start w:val="1"/>
    </w:lvl>
  </w:abstractNum>
  <w:abstractNum w:abstractNumId="120">
    <w:nsid w:val="4DF72E4E"/>
    <w:multiLevelType w:val="hybridMultilevel"/>
    <w:lvl w:ilvl="0">
      <w:lvlJc w:val="left"/>
      <w:lvlText w:val="%1:"/>
      <w:numFmt w:val="upperLetter"/>
      <w:start w:val="1"/>
    </w:lvl>
  </w:abstractNum>
  <w:abstractNum w:abstractNumId="121">
    <w:nsid w:val="5046B5A9"/>
    <w:multiLevelType w:val="hybridMultilevel"/>
    <w:lvl w:ilvl="0">
      <w:lvlJc w:val="left"/>
      <w:lvlText w:val="%1:"/>
      <w:numFmt w:val="upperLetter"/>
      <w:start w:val="1"/>
    </w:lvl>
  </w:abstractNum>
  <w:abstractNum w:abstractNumId="122">
    <w:nsid w:val="5D888A08"/>
    <w:multiLevelType w:val="hybridMultilevel"/>
    <w:lvl w:ilvl="0">
      <w:lvlJc w:val="left"/>
      <w:lvlText w:val="%1:"/>
      <w:numFmt w:val="upperLetter"/>
      <w:start w:val="1"/>
    </w:lvl>
  </w:abstractNum>
  <w:abstractNum w:abstractNumId="123">
    <w:nsid w:val="2A082C70"/>
    <w:multiLevelType w:val="hybridMultilevel"/>
    <w:lvl w:ilvl="0">
      <w:lvlJc w:val="left"/>
      <w:lvlText w:val="%1:"/>
      <w:numFmt w:val="upperLetter"/>
      <w:start w:val="1"/>
    </w:lvl>
  </w:abstractNum>
  <w:abstractNum w:abstractNumId="124">
    <w:nsid w:val="5EC6AFD4"/>
    <w:multiLevelType w:val="hybridMultilevel"/>
    <w:lvl w:ilvl="0">
      <w:lvlJc w:val="left"/>
      <w:lvlText w:val="%1:"/>
      <w:numFmt w:val="upperLetter"/>
      <w:start w:val="1"/>
    </w:lvl>
  </w:abstractNum>
  <w:abstractNum w:abstractNumId="125">
    <w:nsid w:val="19E21BB2"/>
    <w:multiLevelType w:val="hybridMultilevel"/>
    <w:lvl w:ilvl="0">
      <w:lvlJc w:val="left"/>
      <w:lvlText w:val="%1:"/>
      <w:numFmt w:val="upperLetter"/>
      <w:start w:val="1"/>
    </w:lvl>
  </w:abstractNum>
  <w:abstractNum w:abstractNumId="126">
    <w:nsid w:val="75E0858A"/>
    <w:multiLevelType w:val="hybridMultilevel"/>
    <w:lvl w:ilvl="0">
      <w:lvlJc w:val="left"/>
      <w:lvlText w:val="%1:"/>
      <w:numFmt w:val="upperLetter"/>
      <w:start w:val="1"/>
    </w:lvl>
  </w:abstractNum>
  <w:abstractNum w:abstractNumId="127">
    <w:nsid w:val="57A61A29"/>
    <w:multiLevelType w:val="hybridMultilevel"/>
    <w:lvl w:ilvl="0">
      <w:lvlJc w:val="left"/>
      <w:lvlText w:val="%1:"/>
      <w:numFmt w:val="upperLetter"/>
      <w:start w:val="1"/>
    </w:lvl>
  </w:abstractNum>
  <w:abstractNum w:abstractNumId="128">
    <w:nsid w:val="5399C654"/>
    <w:multiLevelType w:val="hybridMultilevel"/>
    <w:lvl w:ilvl="0">
      <w:lvlJc w:val="left"/>
      <w:lvlText w:val="•"/>
      <w:numFmt w:val="bullet"/>
      <w:start w:val="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1."/>
      <w:numFmt w:val="decimal"/>
      <w:start w:val="1"/>
    </w:lvl>
    <w:lvl w:ilvl="1">
      <w:lvlJc w:val="left"/>
      <w:lvlText w:val="%2."/>
      <w:numFmt w:val="lowerLetter"/>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abstractNum>
  <w:abstractNum w:abstractNumId="132">
    <w:nsid w:val="2157F6BC"/>
    <w:multiLevelType w:val="hybridMultilevel"/>
    <w:lvl w:ilvl="0">
      <w:lvlJc w:val="left"/>
      <w:lvlText w:val="%1."/>
      <w:numFmt w:val="lowerLetter"/>
      <w:start w:val="1"/>
    </w:lvl>
  </w:abstractNum>
  <w:abstractNum w:abstractNumId="133">
    <w:nsid w:val="704E1DD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92"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jpe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85" Type="http://schemas.openxmlformats.org/officeDocument/2006/relationships/hyperlink" Target="https://www.sec.gov/ix?doc=/Archives/edgar/data/1577526/000162828022017829/ai-20220430.htm" TargetMode="External"/><Relationship Id="rId161" Type="http://schemas.openxmlformats.org/officeDocument/2006/relationships/hyperlink" Target="https://www.sec.gov/Archives/edgar/data/0001577526/000162828020017407/exhibit31-8xk.htm" TargetMode="External"/><Relationship Id="rId162" Type="http://schemas.openxmlformats.org/officeDocument/2006/relationships/hyperlink" Target="https://www.sec.gov/Archives/edgar/data/1577526/000162828020016868/exhibit34-sx1a2.htm" TargetMode="External"/><Relationship Id="rId163" Type="http://schemas.openxmlformats.org/officeDocument/2006/relationships/hyperlink" Target="https://www.sec.gov/Archives/edgar/data/1577526/000162828020016868/exhibit41-sx1a2.htm" TargetMode="External"/><Relationship Id="rId164" Type="http://schemas.openxmlformats.org/officeDocument/2006/relationships/hyperlink" Target="https://www.sec.gov/Archives/edgar/data/1577526/000162828020016726/exhibit42-sx1a1.htm" TargetMode="External"/><Relationship Id="rId165" Type="http://schemas.openxmlformats.org/officeDocument/2006/relationships/hyperlink" Target="https://www.sec.gov/Archives/edgar/data/1577526/000162828021012990/exhibit421.htm" TargetMode="External"/><Relationship Id="rId166" Type="http://schemas.openxmlformats.org/officeDocument/2006/relationships/hyperlink" Target="https://www.sec.gov/Archives/edgar/data/1577526/000162828020016443/exhibit43s-1.htm" TargetMode="External"/><Relationship Id="rId167" Type="http://schemas.openxmlformats.org/officeDocument/2006/relationships/hyperlink" Target="https://www.sec.gov/Archives/edgar/data/1577526/000162828021012990/exhibit44.htm" TargetMode="External"/><Relationship Id="rId168" Type="http://schemas.openxmlformats.org/officeDocument/2006/relationships/hyperlink" Target="https://www.sec.gov/Archives/edgar/data/1577526/000162828023040969/ex101-c3aixamended2020equi.htm" TargetMode="External"/><Relationship Id="rId169" Type="http://schemas.openxmlformats.org/officeDocument/2006/relationships/hyperlink" Target="https://www.sec.gov/Archives/edgar/data/1577526/000162828020016868/exhibit103-sx1a2.htm" TargetMode="External"/><Relationship Id="rId170" Type="http://schemas.openxmlformats.org/officeDocument/2006/relationships/hyperlink" Target="https://www.sec.gov/Archives/edgar/data/1577526/000162828020016443/exhibit106-sx1.htm" TargetMode="External"/><Relationship Id="rId171" Type="http://schemas.openxmlformats.org/officeDocument/2006/relationships/hyperlink" Target="https://www.sec.gov/Archives/edgar/data/1577526/000157752625000055/exhibit104-offerletterbyan.htm" TargetMode="External"/><Relationship Id="rId172" Type="http://schemas.openxmlformats.org/officeDocument/2006/relationships/hyperlink" Target="https://www.sec.gov/Archives/edgar/data/0001577526/000119312521071595/d116036dex101.htm" TargetMode="External"/><Relationship Id="rId175" Type="http://schemas.openxmlformats.org/officeDocument/2006/relationships/hyperlink" Target="https://www.sec.gov/Archives/edgar/data/1577526/000162828020016443/exhibit107-sx1.htm" TargetMode="External"/><Relationship Id="rId176" Type="http://schemas.openxmlformats.org/officeDocument/2006/relationships/hyperlink" Target="https://www.sec.gov/Archives/edgar/data/1577526/000162828020016443/exhibit108-sx1.htm" TargetMode="External"/><Relationship Id="rId177" Type="http://schemas.openxmlformats.org/officeDocument/2006/relationships/hyperlink" Target="https://www.sec.gov/Archives/edgar/data/1577526/000162828020016443/exhibit109-sx1.htm" TargetMode="External"/><Relationship Id="rId178" Type="http://schemas.openxmlformats.org/officeDocument/2006/relationships/hyperlink" Target="https://www.sec.gov/Archives/edgar/data/1577526/000162828021024342/exhibit101.htm" TargetMode="External"/><Relationship Id="rId179" Type="http://schemas.openxmlformats.org/officeDocument/2006/relationships/hyperlink" Target="https://www.sec.gov/Archives/edgar/data/1577526/000162828022017829/fy22exhibit1094.htm" TargetMode="External"/><Relationship Id="rId180" Type="http://schemas.openxmlformats.org/officeDocument/2006/relationships/hyperlink" Target="https://www.sec.gov/Archives/edgar/data/1577526/000162828023006164/exhibit-101.htm" TargetMode="External"/><Relationship Id="rId181" Type="http://schemas.openxmlformats.org/officeDocument/2006/relationships/hyperlink" Target="https://www.sec.gov/Archives/edgar/data/1577526/000162828020016443/exhibit1010-sx1.htm" TargetMode="External"/><Relationship Id="rId182" Type="http://schemas.openxmlformats.org/officeDocument/2006/relationships/hyperlink" Target="https://www.sec.gov/Archives/edgar/data/1577526/000162828020016443/exhibit1011-sx1.htm" TargetMode="External"/><Relationship Id="rId183" Type="http://schemas.openxmlformats.org/officeDocument/2006/relationships/hyperlink" Target="https://www.sec.gov/Archives/edgar/data/1577526/000162828020016443/exhibit1012-sx1.htm" TargetMode="External"/><Relationship Id="rId184" Type="http://schemas.openxmlformats.org/officeDocument/2006/relationships/hyperlink" Target="https://www.sec.gov/Archives/edgar/data/1577526/000162828021024342/exhibit104.htm" TargetMode="External"/><Relationship Id="rId185" Type="http://schemas.openxmlformats.org/officeDocument/2006/relationships/hyperlink" Target="https://www.sec.gov/Archives/edgar/data/1577526/000162828021024342/exhibit102.htm" TargetMode="External"/><Relationship Id="rId186" Type="http://schemas.openxmlformats.org/officeDocument/2006/relationships/hyperlink" Target="https://www.sec.gov/Archives/edgar/data/1577526/000162828024007744/exhibit101-offerletterbyan.htm" TargetMode="External"/><Relationship Id="rId187" Type="http://schemas.openxmlformats.org/officeDocument/2006/relationships/hyperlink" Target="https://www.sec.gov/Archives/edgar/data/1577526/000162828024039467/exhibit101merelsvpopsletter.htm" TargetMode="External"/><Relationship Id="rId188" Type="http://schemas.openxmlformats.org/officeDocument/2006/relationships/hyperlink" Target="https://www.sec.gov/Archives/edgar/data/1577526/000157752625000033/exhibit101-offerletterbyan.htm" TargetMode="External"/><Relationship Id="rId189" Type="http://schemas.openxmlformats.org/officeDocument/2006/relationships/hyperlink" Target="https://www.sec.gov/Archives/edgar/data/1577526/000157752625000038/exhibit991-c3aix2025induce.htm" TargetMode="External"/><Relationship Id="rId190" Type="http://schemas.openxmlformats.org/officeDocument/2006/relationships/hyperlink" Target="https://www.sec.gov/Archives/edgar/data/1577526/000157752625000038/exhibit992-c3aix2025induce.htm" TargetMode="External"/><Relationship Id="rId191" Type="http://schemas.openxmlformats.org/officeDocument/2006/relationships/hyperlink" Target="https://www.sec.gov/Archives/edgar/data/1577526/000157752625000038/exhibit993-c3aix2025induce.htm" TargetMode="External"/><Relationship Id="rId193" Type="http://schemas.openxmlformats.org/officeDocument/2006/relationships/hyperlink" Target="https://www.sec.gov/Archives/edgar/data/1577526/000162828024028786/exhibit971-c3aiincincenti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2026-06-24T05:14:17Z</dcterms:created>
  <dcterms:modified xsi:type="dcterms:W3CDTF">2026-06-24T05:14:17Z</dcterms:modified>
</cp:coreProperties>
</file>