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765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6574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SIEBEL THOMAS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C3.AI,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SEAPORT BLVD, SUITE 500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C3.ai,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CEO and Chairman of the Board</w:t>
      </w:r>
    </w:p>
    <w:p>
      <w:pPr>
        <w:spacing w:after="0" w:line="432"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300"/>
              <w:spacing w:after="0" w:line="145"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104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0000FF"/>
              </w:rPr>
              <w:t>REDWOOD</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94603</w:t>
            </w:r>
          </w:p>
        </w:tc>
        <w:tc>
          <w:tcPr>
            <w:tcW w:w="67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10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20" w:type="dxa"/>
            <w:vAlign w:val="bottom"/>
          </w:tcPr>
          <w:p>
            <w:pPr>
              <w:ind w:left="4500"/>
              <w:spacing w:after="0" w:line="140" w:lineRule="exact"/>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33"/>
        </w:trPr>
        <w:tc>
          <w:tcPr>
            <w:tcW w:w="10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20" w:type="dxa"/>
            <w:vAlign w:val="bottom"/>
          </w:tcPr>
          <w:p>
            <w:pPr>
              <w:ind w:left="450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4"/>
        </w:trPr>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000" w:type="dxa"/>
            <w:vAlign w:val="bottom"/>
            <w:gridSpan w:val="4"/>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2"/>
          </w:tcPr>
          <w:p>
            <w:pPr>
              <w:ind w:left="64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00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00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06/11/2026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jc w:val="center"/>
              <w:ind w:right="283"/>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44,767</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200" w:type="dxa"/>
            <w:vAlign w:val="bottom"/>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4"/>
              </w:rPr>
              <w:t>767,129</w:t>
            </w:r>
          </w:p>
        </w:tc>
        <w:tc>
          <w:tcPr>
            <w:tcW w:w="280" w:type="dxa"/>
            <w:vAlign w:val="bottom"/>
          </w:tcPr>
          <w:p>
            <w:pPr>
              <w:spacing w:after="0"/>
              <w:rPr>
                <w:sz w:val="22"/>
                <w:szCs w:val="22"/>
                <w:color w:val="auto"/>
              </w:rPr>
            </w:pPr>
          </w:p>
        </w:tc>
        <w:tc>
          <w:tcPr>
            <w:tcW w:w="580" w:type="dxa"/>
            <w:vAlign w:val="bottom"/>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06/12/2026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23,570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10.92</w:t>
            </w:r>
            <w:r>
              <w:rPr>
                <w:rFonts w:ascii="Times New Roman" w:cs="Times New Roman" w:eastAsia="Times New Roman" w:hAnsi="Times New Roman"/>
                <w:sz w:val="21"/>
                <w:szCs w:val="21"/>
                <w:color w:val="008000"/>
                <w:w w:val="90"/>
                <w:vertAlign w:val="superscript"/>
              </w:rPr>
              <w:t>(3)</w:t>
            </w:r>
          </w:p>
        </w:tc>
        <w:tc>
          <w:tcPr>
            <w:tcW w:w="120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4"/>
              </w:rPr>
              <w:t>743,559</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21,197</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4"/>
              </w:rPr>
              <w:t>722,362</w:t>
            </w:r>
          </w:p>
        </w:tc>
        <w:tc>
          <w:tcPr>
            <w:tcW w:w="280" w:type="dxa"/>
            <w:vAlign w:val="bottom"/>
          </w:tcPr>
          <w:p>
            <w:pPr>
              <w:spacing w:after="0"/>
              <w:rPr>
                <w:sz w:val="22"/>
                <w:szCs w:val="22"/>
                <w:color w:val="auto"/>
              </w:rPr>
            </w:pPr>
          </w:p>
        </w:tc>
        <w:tc>
          <w:tcPr>
            <w:tcW w:w="580" w:type="dxa"/>
            <w:vAlign w:val="bottom"/>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21,197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6"/>
              </w:rPr>
              <w:t>6,923,353</w:t>
            </w:r>
          </w:p>
        </w:tc>
        <w:tc>
          <w:tcPr>
            <w:tcW w:w="280" w:type="dxa"/>
            <w:vAlign w:val="bottom"/>
          </w:tcPr>
          <w:p>
            <w:pPr>
              <w:spacing w:after="0"/>
              <w:rPr>
                <w:sz w:val="21"/>
                <w:szCs w:val="21"/>
                <w:color w:val="auto"/>
              </w:rPr>
            </w:pPr>
          </w:p>
        </w:tc>
        <w:tc>
          <w:tcPr>
            <w:tcW w:w="580" w:type="dxa"/>
            <w:vAlign w:val="bottom"/>
            <w:vMerge w:val="restart"/>
          </w:tcPr>
          <w:p>
            <w:pPr>
              <w:jc w:val="center"/>
              <w:ind w:right="288"/>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top w:val="single" w:sz="8" w:color="2C2C2C"/>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(5)</w:t>
            </w: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472,005</w:t>
            </w:r>
          </w:p>
        </w:tc>
        <w:tc>
          <w:tcPr>
            <w:tcW w:w="5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2.04</w:t>
            </w:r>
          </w:p>
        </w:tc>
        <w:tc>
          <w:tcPr>
            <w:tcW w:w="1200" w:type="dxa"/>
            <w:vAlign w:val="bottom"/>
            <w:tcBorders>
              <w:top w:val="single" w:sz="8" w:color="2C2C2C"/>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6"/>
              </w:rPr>
              <w:t>1,194,367</w:t>
            </w:r>
          </w:p>
        </w:tc>
        <w:tc>
          <w:tcPr>
            <w:tcW w:w="28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472,005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11.11</w:t>
            </w:r>
            <w:r>
              <w:rPr>
                <w:rFonts w:ascii="Times New Roman" w:cs="Times New Roman" w:eastAsia="Times New Roman" w:hAnsi="Times New Roman"/>
                <w:sz w:val="21"/>
                <w:szCs w:val="21"/>
                <w:color w:val="008000"/>
                <w:w w:val="90"/>
                <w:vertAlign w:val="superscript"/>
              </w:rPr>
              <w:t>(6)</w:t>
            </w:r>
          </w:p>
        </w:tc>
        <w:tc>
          <w:tcPr>
            <w:tcW w:w="120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4"/>
              </w:rPr>
              <w:t>722,362</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vMerge w:val="restart"/>
          </w:tcPr>
          <w:p>
            <w:pPr>
              <w:jc w:val="center"/>
              <w:ind w:left="312"/>
              <w:spacing w:after="0"/>
              <w:rPr>
                <w:sz w:val="20"/>
                <w:szCs w:val="20"/>
                <w:color w:val="auto"/>
              </w:rPr>
            </w:pPr>
            <w:r>
              <w:rPr>
                <w:rFonts w:ascii="Times New Roman" w:cs="Times New Roman" w:eastAsia="Times New Roman" w:hAnsi="Times New Roman"/>
                <w:sz w:val="17"/>
                <w:szCs w:val="17"/>
                <w:color w:val="0000FF"/>
                <w:w w:val="93"/>
              </w:rPr>
              <w:t>9,216</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vMerge w:val="restart"/>
          </w:tcPr>
          <w:p>
            <w:pPr>
              <w:jc w:val="center"/>
              <w:ind w:right="288"/>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2"/>
              <w:spacing w:after="0"/>
              <w:rPr>
                <w:sz w:val="20"/>
                <w:szCs w:val="20"/>
                <w:color w:val="auto"/>
              </w:rPr>
            </w:pPr>
            <w:r>
              <w:rPr>
                <w:rFonts w:ascii="Times New Roman" w:cs="Times New Roman" w:eastAsia="Times New Roman" w:hAnsi="Times New Roman"/>
                <w:sz w:val="17"/>
                <w:szCs w:val="17"/>
                <w:color w:val="0000FF"/>
                <w:w w:val="94"/>
              </w:rPr>
              <w:t>170,294</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288"/>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2"/>
              <w:spacing w:after="0"/>
              <w:rPr>
                <w:sz w:val="20"/>
                <w:szCs w:val="20"/>
                <w:color w:val="auto"/>
              </w:rPr>
            </w:pPr>
            <w:r>
              <w:rPr>
                <w:rFonts w:ascii="Times New Roman" w:cs="Times New Roman" w:eastAsia="Times New Roman" w:hAnsi="Times New Roman"/>
                <w:sz w:val="17"/>
                <w:szCs w:val="17"/>
                <w:color w:val="0000FF"/>
                <w:w w:val="94"/>
              </w:rPr>
              <w:t>72,695</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288"/>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2"/>
              <w:spacing w:after="0"/>
              <w:rPr>
                <w:sz w:val="20"/>
                <w:szCs w:val="20"/>
                <w:color w:val="auto"/>
              </w:rPr>
            </w:pPr>
            <w:r>
              <w:rPr>
                <w:rFonts w:ascii="Times New Roman" w:cs="Times New Roman" w:eastAsia="Times New Roman" w:hAnsi="Times New Roman"/>
                <w:sz w:val="17"/>
                <w:szCs w:val="17"/>
                <w:color w:val="0000FF"/>
                <w:w w:val="94"/>
              </w:rPr>
              <w:t>1,237,115</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288"/>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(10)</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74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13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74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Shares</w:t>
            </w: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(11)</w:t>
            </w:r>
          </w:p>
        </w:tc>
        <w:tc>
          <w:tcPr>
            <w:tcW w:w="740" w:type="dxa"/>
            <w:vAlign w:val="bottom"/>
            <w:vMerge w:val="restart"/>
          </w:tcPr>
          <w:p>
            <w:pPr>
              <w:jc w:val="right"/>
              <w:ind w:right="211"/>
              <w:spacing w:after="0"/>
              <w:rPr>
                <w:sz w:val="20"/>
                <w:szCs w:val="20"/>
                <w:color w:val="auto"/>
              </w:rPr>
            </w:pPr>
            <w:r>
              <w:rPr>
                <w:rFonts w:ascii="Times New Roman" w:cs="Times New Roman" w:eastAsia="Times New Roman" w:hAnsi="Times New Roman"/>
                <w:sz w:val="11"/>
                <w:szCs w:val="11"/>
                <w:color w:val="008000"/>
              </w:rPr>
              <w:t>(11)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44,767</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12"/>
                <w:szCs w:val="12"/>
                <w:color w:val="auto"/>
              </w:rPr>
            </w:pPr>
          </w:p>
        </w:tc>
        <w:tc>
          <w:tcPr>
            <w:tcW w:w="60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21"/>
              <w:spacing w:after="0" w:line="140" w:lineRule="exact"/>
              <w:rPr>
                <w:sz w:val="20"/>
                <w:szCs w:val="20"/>
                <w:color w:val="auto"/>
              </w:rPr>
            </w:pPr>
            <w:r>
              <w:rPr>
                <w:rFonts w:ascii="Times New Roman" w:cs="Times New Roman" w:eastAsia="Times New Roman" w:hAnsi="Times New Roman"/>
                <w:sz w:val="13"/>
                <w:szCs w:val="13"/>
                <w:color w:val="0000FF"/>
              </w:rPr>
              <w:t>44,767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74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4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223,994</w:t>
            </w:r>
          </w:p>
        </w:tc>
        <w:tc>
          <w:tcPr>
            <w:tcW w:w="580" w:type="dxa"/>
            <w:vAlign w:val="bottom"/>
          </w:tcPr>
          <w:p>
            <w:pPr>
              <w:ind w:left="4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vMerge w:val="restart"/>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(5)</w:t>
            </w: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7"/>
                <w:szCs w:val="17"/>
                <w:color w:val="0000FF"/>
              </w:rPr>
              <w:t>472,005</w:t>
            </w: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2.04</w:t>
            </w: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472,005</w:t>
            </w:r>
          </w:p>
        </w:tc>
        <w:tc>
          <w:tcPr>
            <w:tcW w:w="780" w:type="dxa"/>
            <w:vAlign w:val="bottom"/>
            <w:vMerge w:val="continue"/>
          </w:tcPr>
          <w:p>
            <w:pPr>
              <w:spacing w:after="0"/>
              <w:rPr>
                <w:sz w:val="6"/>
                <w:szCs w:val="6"/>
                <w:color w:val="auto"/>
              </w:rPr>
            </w:pPr>
          </w:p>
        </w:tc>
        <w:tc>
          <w:tcPr>
            <w:tcW w:w="740" w:type="dxa"/>
            <w:vAlign w:val="bottom"/>
            <w:vMerge w:val="restart"/>
          </w:tcPr>
          <w:p>
            <w:pPr>
              <w:jc w:val="right"/>
              <w:ind w:right="11"/>
              <w:spacing w:after="0" w:line="140" w:lineRule="exact"/>
              <w:rPr>
                <w:sz w:val="20"/>
                <w:szCs w:val="20"/>
                <w:color w:val="auto"/>
              </w:rPr>
            </w:pPr>
            <w:r>
              <w:rPr>
                <w:rFonts w:ascii="Times New Roman" w:cs="Times New Roman" w:eastAsia="Times New Roman" w:hAnsi="Times New Roman"/>
                <w:sz w:val="13"/>
                <w:szCs w:val="13"/>
                <w:color w:val="0000FF"/>
              </w:rPr>
              <w:t>11/07/2027</w:t>
            </w:r>
          </w:p>
        </w:tc>
        <w:tc>
          <w:tcPr>
            <w:tcW w:w="5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6"/>
                <w:szCs w:val="6"/>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40" w:type="dxa"/>
            <w:vAlign w:val="bottom"/>
            <w:gridSpan w:val="2"/>
            <w:vMerge w:val="restart"/>
          </w:tcPr>
          <w:p>
            <w:pPr>
              <w:ind w:left="200"/>
              <w:spacing w:after="0" w:line="140" w:lineRule="exact"/>
              <w:rPr>
                <w:sz w:val="20"/>
                <w:szCs w:val="20"/>
                <w:color w:val="auto"/>
              </w:rPr>
            </w:pPr>
            <w:r>
              <w:rPr>
                <w:rFonts w:ascii="Times New Roman" w:cs="Times New Roman" w:eastAsia="Times New Roman" w:hAnsi="Times New Roman"/>
                <w:sz w:val="13"/>
                <w:szCs w:val="13"/>
                <w:color w:val="0000FF"/>
              </w:rPr>
              <w:t>329,075</w:t>
            </w:r>
          </w:p>
        </w:tc>
        <w:tc>
          <w:tcPr>
            <w:tcW w:w="580" w:type="dxa"/>
            <w:vAlign w:val="bottom"/>
            <w:vMerge w:val="restart"/>
          </w:tcPr>
          <w:p>
            <w:pPr>
              <w:ind w:left="4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-2176780</wp:posOffset>
            </wp:positionV>
            <wp:extent cx="28575" cy="2181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1818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 upon settlement.</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policies and practice, these shares of Class A Common Stock were automatically withheld and sold by the Issuer to satisfy the Reporting Person's tax withholding obligations related to the vesting of RSUs reported herein.</w:t>
      </w:r>
    </w:p>
    <w:p>
      <w:pPr>
        <w:spacing w:after="0" w:line="19"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weighted-average price. These shares were sold in multiple transactions at prices ranging from $10.75 to $11.06, inclusive. The Reporting Person will provide upon request to the staff of the Securities and Exchange Commission, the Issuer or any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Siebel Living Trust u/a/d 7/27/93, as amended, of which the Reporting Person is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being reported was effected pursuant to a previously established Rule 10b5-1 trading plan dated September 20, 2024.</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weighted-average price. These shares were sold in multiple transactions at prices ranging from $10.845 to $11.34, inclusive. The Reporting Person will provide upon request to the staff of</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the Securities and Exchange Commission, the Issuer or any security holder of the Issuer, full information regarding the number of shares sold at each separate price.</w:t>
      </w:r>
    </w:p>
    <w:p>
      <w:pPr>
        <w:spacing w:after="0" w:line="41" w:lineRule="exact"/>
        <w:rPr>
          <w:sz w:val="20"/>
          <w:szCs w:val="20"/>
          <w:color w:val="auto"/>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First Virtual Holdings, LLC, of which the Reporting Person is Chairman.</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Siebel Asset Management, L.P., of which the Reporting Person is the general partner.</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Siebel Asset Management III, L.P., of which the Reporting Person is the general partner.</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Siebel 2011 Irrevocable Children's Trust, of which the Reporting Person is co-trustee.</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1/3rd of the RSUs vested on September 11, 2025 and 1/12th of the RSUs shall vest quarterly thereafter, so long as the Reporting Person continues to provide services through such vesting dates.</w:t>
      </w:r>
    </w:p>
    <w:p>
      <w:pPr>
        <w:spacing w:after="0" w:line="52" w:lineRule="exact"/>
        <w:rPr>
          <w:rFonts w:ascii="Times New Roman" w:cs="Times New Roman" w:eastAsia="Times New Roman" w:hAnsi="Times New Roman"/>
          <w:sz w:val="12"/>
          <w:szCs w:val="12"/>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Sasha Pesic, Attorney-in-</w:t>
            </w:r>
          </w:p>
        </w:tc>
        <w:tc>
          <w:tcPr>
            <w:tcW w:w="3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06/15/2026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80"/>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020"/>
      </w:cols>
      <w:pgMar w:left="500" w:top="127"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031530" TargetMode="External"/><Relationship Id="rId14" Type="http://schemas.openxmlformats.org/officeDocument/2006/relationships/hyperlink" Target="http://www.sec.gov/cgi-bin/browse-edgar?action=getcompany&amp;CIK=00015775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2026-06-15T19:08:00Z</dcterms:created>
  <dcterms:modified xsi:type="dcterms:W3CDTF">2026-06-15T19:08:00Z</dcterms:modified>
</cp:coreProperties>
</file>