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536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536815"/>
                    </a:xfrm>
                    <a:prstGeom prst="rect">
                      <a:avLst/>
                    </a:prstGeom>
                    <a:noFill/>
                  </pic:spPr>
                </pic:pic>
              </a:graphicData>
            </a:graphic>
          </wp:anchor>
        </w:drawing>
      </w:r>
    </w:p>
    <w:p>
      <w:pPr>
        <w:spacing w:after="0" w:line="1204" w:lineRule="exact"/>
        <w:rPr>
          <w:sz w:val="24"/>
          <w:szCs w:val="24"/>
          <w:color w:val="auto"/>
        </w:rPr>
      </w:pPr>
    </w:p>
    <w:p>
      <w:pPr>
        <w:sectPr>
          <w:pgSz w:w="11900" w:h="16846"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SIEBEL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C3.AI,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SEAPORT BLVD, SUITE 500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C3.ai,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CEO and Chairman of the Board</w:t>
      </w:r>
    </w:p>
    <w:p>
      <w:pPr>
        <w:spacing w:after="0" w:line="432" w:lineRule="exact"/>
        <w:rPr>
          <w:sz w:val="24"/>
          <w:szCs w:val="24"/>
          <w:color w:val="auto"/>
        </w:rPr>
      </w:pPr>
    </w:p>
    <w:p>
      <w:pPr>
        <w:sectPr>
          <w:pgSz w:w="11900" w:h="16846" w:orient="portrait"/>
          <w:cols w:equalWidth="0" w:num="3">
            <w:col w:w="3180" w:space="720"/>
            <w:col w:w="3115" w:space="720"/>
            <w:col w:w="3345"/>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0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94603</w:t>
            </w:r>
          </w:p>
        </w:tc>
        <w:tc>
          <w:tcPr>
            <w:tcW w:w="67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00"/>
              <w:spacing w:after="0" w:line="140"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0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51"/>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05/15/2026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369,624</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2.04</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1,091,986</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05/15/2026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369,624</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8.72</w:t>
            </w:r>
            <w:r>
              <w:rPr>
                <w:rFonts w:ascii="Times New Roman" w:cs="Times New Roman" w:eastAsia="Times New Roman" w:hAnsi="Times New Roman"/>
                <w:sz w:val="21"/>
                <w:szCs w:val="21"/>
                <w:color w:val="008000"/>
                <w:w w:val="93"/>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722,362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05/18/2026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112,014</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2.04</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834,376</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05/18/2026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112,014</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8.65</w:t>
            </w:r>
            <w:r>
              <w:rPr>
                <w:rFonts w:ascii="Times New Roman" w:cs="Times New Roman" w:eastAsia="Times New Roman" w:hAnsi="Times New Roman"/>
                <w:sz w:val="21"/>
                <w:szCs w:val="21"/>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722,362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720,103</w:t>
            </w:r>
          </w:p>
        </w:tc>
        <w:tc>
          <w:tcPr>
            <w:tcW w:w="340" w:type="dxa"/>
            <w:vAlign w:val="bottom"/>
          </w:tcPr>
          <w:p>
            <w:pPr>
              <w:spacing w:after="0"/>
              <w:rPr>
                <w:sz w:val="21"/>
                <w:szCs w:val="21"/>
                <w:color w:val="auto"/>
              </w:rPr>
            </w:pPr>
          </w:p>
        </w:tc>
        <w:tc>
          <w:tcPr>
            <w:tcW w:w="5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9,216</w:t>
            </w:r>
          </w:p>
        </w:tc>
        <w:tc>
          <w:tcPr>
            <w:tcW w:w="340" w:type="dxa"/>
            <w:vAlign w:val="bottom"/>
          </w:tcPr>
          <w:p>
            <w:pPr>
              <w:spacing w:after="0"/>
              <w:rPr>
                <w:sz w:val="21"/>
                <w:szCs w:val="21"/>
                <w:color w:val="auto"/>
              </w:rPr>
            </w:pPr>
          </w:p>
        </w:tc>
        <w:tc>
          <w:tcPr>
            <w:tcW w:w="5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170,294</w:t>
            </w:r>
          </w:p>
        </w:tc>
        <w:tc>
          <w:tcPr>
            <w:tcW w:w="340" w:type="dxa"/>
            <w:vAlign w:val="bottom"/>
          </w:tcPr>
          <w:p>
            <w:pPr>
              <w:spacing w:after="0"/>
              <w:rPr>
                <w:sz w:val="21"/>
                <w:szCs w:val="21"/>
                <w:color w:val="auto"/>
              </w:rPr>
            </w:pPr>
          </w:p>
        </w:tc>
        <w:tc>
          <w:tcPr>
            <w:tcW w:w="5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72,695</w:t>
            </w:r>
          </w:p>
        </w:tc>
        <w:tc>
          <w:tcPr>
            <w:tcW w:w="340" w:type="dxa"/>
            <w:vAlign w:val="bottom"/>
          </w:tcPr>
          <w:p>
            <w:pPr>
              <w:spacing w:after="0"/>
              <w:rPr>
                <w:sz w:val="21"/>
                <w:szCs w:val="21"/>
                <w:color w:val="auto"/>
              </w:rPr>
            </w:pPr>
          </w:p>
        </w:tc>
        <w:tc>
          <w:tcPr>
            <w:tcW w:w="5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1,237,115</w:t>
            </w:r>
          </w:p>
        </w:tc>
        <w:tc>
          <w:tcPr>
            <w:tcW w:w="340" w:type="dxa"/>
            <w:vAlign w:val="bottom"/>
          </w:tcPr>
          <w:p>
            <w:pPr>
              <w:spacing w:after="0"/>
              <w:rPr>
                <w:sz w:val="21"/>
                <w:szCs w:val="21"/>
                <w:color w:val="auto"/>
              </w:rPr>
            </w:pPr>
          </w:p>
        </w:tc>
        <w:tc>
          <w:tcPr>
            <w:tcW w:w="5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jc w:val="center"/>
              <w:ind w:right="13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center"/>
              <w:ind w:left="43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5"/>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5"/>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6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369,624</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2.04</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05/15/2026</w:t>
            </w: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restart"/>
          </w:tcPr>
          <w:p>
            <w:pPr>
              <w:ind w:left="440"/>
              <w:spacing w:after="0" w:line="140" w:lineRule="exact"/>
              <w:rPr>
                <w:sz w:val="20"/>
                <w:szCs w:val="20"/>
                <w:color w:val="auto"/>
              </w:rPr>
            </w:pPr>
            <w:r>
              <w:rPr>
                <w:rFonts w:ascii="Times New Roman" w:cs="Times New Roman" w:eastAsia="Times New Roman" w:hAnsi="Times New Roman"/>
                <w:sz w:val="13"/>
                <w:szCs w:val="13"/>
                <w:color w:val="0000FF"/>
              </w:rPr>
              <w:t>369,624</w:t>
            </w:r>
          </w:p>
        </w:tc>
        <w:tc>
          <w:tcPr>
            <w:tcW w:w="780" w:type="dxa"/>
            <w:vAlign w:val="bottom"/>
            <w:gridSpan w:val="2"/>
            <w:vMerge w:val="continue"/>
          </w:tcPr>
          <w:p>
            <w:pPr>
              <w:spacing w:after="0"/>
              <w:rPr>
                <w:sz w:val="6"/>
                <w:szCs w:val="6"/>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11/07/2027</w:t>
            </w:r>
          </w:p>
        </w:tc>
        <w:tc>
          <w:tcPr>
            <w:tcW w:w="6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913,094</w:t>
            </w:r>
          </w:p>
        </w:tc>
        <w:tc>
          <w:tcPr>
            <w:tcW w:w="52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6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112,014</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2.04</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05/18/2026</w:t>
            </w: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restart"/>
          </w:tcPr>
          <w:p>
            <w:pPr>
              <w:ind w:left="440"/>
              <w:spacing w:after="0" w:line="140" w:lineRule="exact"/>
              <w:rPr>
                <w:sz w:val="20"/>
                <w:szCs w:val="20"/>
                <w:color w:val="auto"/>
              </w:rPr>
            </w:pPr>
            <w:r>
              <w:rPr>
                <w:rFonts w:ascii="Times New Roman" w:cs="Times New Roman" w:eastAsia="Times New Roman" w:hAnsi="Times New Roman"/>
                <w:sz w:val="13"/>
                <w:szCs w:val="13"/>
                <w:color w:val="0000FF"/>
              </w:rPr>
              <w:t>112,014</w:t>
            </w:r>
          </w:p>
        </w:tc>
        <w:tc>
          <w:tcPr>
            <w:tcW w:w="780" w:type="dxa"/>
            <w:vAlign w:val="bottom"/>
            <w:gridSpan w:val="2"/>
            <w:vMerge w:val="continue"/>
          </w:tcPr>
          <w:p>
            <w:pPr>
              <w:spacing w:after="0"/>
              <w:rPr>
                <w:sz w:val="6"/>
                <w:szCs w:val="6"/>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11/07/2027</w:t>
            </w:r>
          </w:p>
        </w:tc>
        <w:tc>
          <w:tcPr>
            <w:tcW w:w="6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801,080</w:t>
            </w:r>
          </w:p>
        </w:tc>
        <w:tc>
          <w:tcPr>
            <w:tcW w:w="52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-2265680</wp:posOffset>
            </wp:positionV>
            <wp:extent cx="28575" cy="2270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2707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being reported was effected pursuant to a previously established Rule 10b5-1 trading plan dated September 20, 2024.</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weighted-average price. These shares were sold in multiple transactions at prices ranging from $8.62 to $8.93, inclusive. The Reporting Person will provide upon request to the staff of the Securities and Exchange Commission, the Issuer or any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weighted-average price. These shares were sold in multiple transactions at prices ranging from $8.34 to $8.81, inclusive. The Reporting Person will provide upon request to the staff of the Securities and Exchange Commission, the Issuer or any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Siebel Living Trust u/a/d 7/27/93, as amended, of which the Reporting Person is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First Virtual Holdings, LLC, of which the Reporting Person is Chairman.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Siebel Asset Management, L.P., of which the Reporting Person is the general partner.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Siebel Asset Management III, L.P., of which the Reporting Person is the general partner.</w:t>
      </w:r>
    </w:p>
    <w:p>
      <w:pPr>
        <w:sectPr>
          <w:pgSz w:w="11900" w:h="16846"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Siebel 2011 Irrevocable Children's Trust, of which the Reporting Person is co-trustee.</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Sasha Pesic, Attorney-in-</w:t>
            </w:r>
          </w:p>
        </w:tc>
        <w:tc>
          <w:tcPr>
            <w:tcW w:w="3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05/19/2026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31530" TargetMode="External"/><Relationship Id="rId14" Type="http://schemas.openxmlformats.org/officeDocument/2006/relationships/hyperlink" Target="http://www.sec.gov/cgi-bin/browse-edgar?action=getcompany&amp;CIK=00015775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2026-05-19T17:50:20Z</dcterms:created>
  <dcterms:modified xsi:type="dcterms:W3CDTF">2026-05-19T17:50:20Z</dcterms:modified>
</cp:coreProperties>
</file>