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945515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100" w:right="2040" w:hanging="4074"/>
        <w:spacing w:after="0" w:line="396" w:lineRule="auto"/>
        <w:tabs>
          <w:tab w:leader="none" w:pos="40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3420" w:right="1660" w:hanging="3394"/>
        <w:spacing w:after="0" w:line="422" w:lineRule="auto"/>
        <w:tabs>
          <w:tab w:leader="none" w:pos="41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001-39744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C3.ai,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60" w:type="dxa"/>
        <w:tblCellMar>
          <w:top w:w="0" w:type="dxa"/>
          <w:left w:w="0" w:type="dxa"/>
          <w:bottom w:w="0" w:type="dxa"/>
          <w:right w:w="0" w:type="dxa"/>
        </w:tblCellMar>
      </w:tblPr>
      <w:tr>
        <w:trPr>
          <w:trHeight w:val="252"/>
        </w:trPr>
        <w:tc>
          <w:tcPr>
            <w:tcW w:w="38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Borders>
              <w:top w:val="single" w:sz="8" w:color="auto"/>
            </w:tcBorders>
          </w:tcPr>
          <w:p>
            <w:pPr>
              <w:spacing w:after="0"/>
              <w:rPr>
                <w:sz w:val="21"/>
                <w:szCs w:val="21"/>
                <w:color w:val="auto"/>
              </w:rPr>
            </w:pP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26-3999357</w:t>
            </w:r>
          </w:p>
        </w:tc>
        <w:tc>
          <w:tcPr>
            <w:tcW w:w="0" w:type="dxa"/>
            <w:vAlign w:val="bottom"/>
          </w:tcPr>
          <w:p>
            <w:pPr>
              <w:spacing w:after="0"/>
              <w:rPr>
                <w:sz w:val="1"/>
                <w:szCs w:val="1"/>
                <w:color w:val="auto"/>
              </w:rPr>
            </w:pPr>
          </w:p>
        </w:tc>
      </w:tr>
      <w:tr>
        <w:trPr>
          <w:trHeight w:val="243"/>
        </w:trPr>
        <w:tc>
          <w:tcPr>
            <w:tcW w:w="38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480" w:type="dxa"/>
            <w:vAlign w:val="bottom"/>
          </w:tcPr>
          <w:p>
            <w:pPr>
              <w:spacing w:after="0"/>
              <w:rPr>
                <w:sz w:val="21"/>
                <w:szCs w:val="21"/>
                <w:color w:val="auto"/>
              </w:rPr>
            </w:pPr>
          </w:p>
        </w:tc>
        <w:tc>
          <w:tcPr>
            <w:tcW w:w="3200" w:type="dxa"/>
            <w:vAlign w:val="bottom"/>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26"/>
        </w:trPr>
        <w:tc>
          <w:tcPr>
            <w:tcW w:w="380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organization)</w:t>
            </w:r>
          </w:p>
        </w:tc>
        <w:tc>
          <w:tcPr>
            <w:tcW w:w="348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8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1400 Seaport Blvd</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Redwood City, CA</w:t>
            </w:r>
          </w:p>
        </w:tc>
        <w:tc>
          <w:tcPr>
            <w:tcW w:w="6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94063</w:t>
            </w:r>
          </w:p>
        </w:tc>
        <w:tc>
          <w:tcPr>
            <w:tcW w:w="0" w:type="dxa"/>
            <w:vAlign w:val="bottom"/>
          </w:tcPr>
          <w:p>
            <w:pPr>
              <w:spacing w:after="0"/>
              <w:rPr>
                <w:sz w:val="1"/>
                <w:szCs w:val="1"/>
                <w:color w:val="auto"/>
              </w:rPr>
            </w:pPr>
          </w:p>
        </w:tc>
      </w:tr>
      <w:tr>
        <w:trPr>
          <w:trHeight w:val="243"/>
        </w:trPr>
        <w:tc>
          <w:tcPr>
            <w:tcW w:w="38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80" w:type="dxa"/>
            <w:vAlign w:val="bottom"/>
          </w:tcPr>
          <w:p>
            <w:pPr>
              <w:spacing w:after="0"/>
              <w:rPr>
                <w:sz w:val="21"/>
                <w:szCs w:val="21"/>
                <w:color w:val="auto"/>
              </w:rPr>
            </w:pPr>
          </w:p>
        </w:tc>
        <w:tc>
          <w:tcPr>
            <w:tcW w:w="3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(Zip code)</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503-2200</w:t>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3"/>
          </w:tcPr>
          <w:p>
            <w:pPr>
              <w:spacing w:after="0"/>
              <w:rPr>
                <w:sz w:val="2"/>
                <w:szCs w:val="2"/>
                <w:color w:val="auto"/>
              </w:rPr>
            </w:pPr>
          </w:p>
        </w:tc>
      </w:tr>
      <w:tr>
        <w:trPr>
          <w:trHeight w:val="237"/>
        </w:trPr>
        <w:tc>
          <w:tcPr>
            <w:tcW w:w="4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w:t>
            </w:r>
          </w:p>
        </w:tc>
        <w:tc>
          <w:tcPr>
            <w:tcW w:w="41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513"/>
        </w:trPr>
        <w:tc>
          <w:tcPr>
            <w:tcW w:w="862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0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80" w:type="dxa"/>
            <w:vAlign w:val="bottom"/>
          </w:tcPr>
          <w:p>
            <w:pPr>
              <w:jc w:val="center"/>
              <w:ind w:right="119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05"/>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2080" w:type="dxa"/>
            <w:vAlign w:val="bottom"/>
          </w:tcPr>
          <w:p>
            <w:pPr>
              <w:jc w:val="center"/>
              <w:ind w:right="11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82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7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3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225"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October 31, 2024 (the last business day of the registrant’s fiscal second quarter), based on the closing price of $24.63 for shares of the registrant’s Class A common stock as reported by the New York Stock Exchange, was approximately $1.5 billion.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 2025, the registrant had outstanding 130,885,934 shares of Class A common stock and 3,499,992 shares of Class B common stock.</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registrant’s fiscal year ended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0E32E1"/>
              </w:rPr>
              <w:t>Page</w:t>
            </w:r>
          </w:p>
        </w:tc>
        <w:tc>
          <w:tcPr>
            <w:tcW w:w="0" w:type="dxa"/>
            <w:vAlign w:val="bottom"/>
          </w:tcPr>
          <w:p>
            <w:pPr>
              <w:spacing w:after="0"/>
              <w:rPr>
                <w:sz w:val="1"/>
                <w:szCs w:val="1"/>
                <w:color w:val="auto"/>
              </w:rPr>
            </w:pPr>
          </w:p>
        </w:tc>
      </w:tr>
      <w:tr>
        <w:trPr>
          <w:trHeight w:val="37"/>
        </w:trPr>
        <w:tc>
          <w:tcPr>
            <w:tcW w:w="41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E32E1"/>
                <w:w w:val="99"/>
              </w:rPr>
              <w:t>Special Note Regarding Forward-Looking Statements</w:t>
            </w:r>
          </w:p>
        </w:tc>
        <w:tc>
          <w:tcPr>
            <w:tcW w:w="6020" w:type="dxa"/>
            <w:vAlign w:val="bottom"/>
            <w:gridSpan w:val="18"/>
            <w:vMerge w:val="restart"/>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0E32E1"/>
            </w:tcBorders>
            <w:gridSpan w:val="18"/>
            <w:vMerge w:val="continue"/>
          </w:tcPr>
          <w:p>
            <w:pPr>
              <w:spacing w:after="0"/>
              <w:rPr>
                <w:sz w:val="15"/>
                <w:szCs w:val="15"/>
                <w:color w:val="auto"/>
              </w:rPr>
            </w:pPr>
          </w:p>
        </w:tc>
        <w:tc>
          <w:tcPr>
            <w:tcW w:w="6020" w:type="dxa"/>
            <w:vAlign w:val="bottom"/>
            <w:gridSpan w:val="18"/>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16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E32E1"/>
              </w:rPr>
              <w:t>Selected Risks Affecting Our Business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top w:val="single" w:sz="8" w:color="0E32E1"/>
            </w:tcBorders>
          </w:tcPr>
          <w:p>
            <w:pPr>
              <w:spacing w:after="0"/>
              <w:rPr>
                <w:sz w:val="21"/>
                <w:szCs w:val="21"/>
                <w:color w:val="auto"/>
              </w:rPr>
            </w:pPr>
          </w:p>
        </w:tc>
        <w:tc>
          <w:tcPr>
            <w:tcW w:w="50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340" w:type="dxa"/>
            <w:vAlign w:val="bottom"/>
            <w:tcBorders>
              <w:top w:val="single" w:sz="8" w:color="0E32E1"/>
            </w:tcBorders>
          </w:tcPr>
          <w:p>
            <w:pPr>
              <w:spacing w:after="0"/>
              <w:rPr>
                <w:sz w:val="21"/>
                <w:szCs w:val="21"/>
                <w:color w:val="auto"/>
              </w:rPr>
            </w:pPr>
          </w:p>
        </w:tc>
        <w:tc>
          <w:tcPr>
            <w:tcW w:w="64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60" w:type="dxa"/>
            <w:vAlign w:val="bottom"/>
            <w:tcBorders>
              <w:top w:val="single" w:sz="8" w:color="0E32E1"/>
            </w:tcBorders>
          </w:tcPr>
          <w:p>
            <w:pPr>
              <w:spacing w:after="0"/>
              <w:rPr>
                <w:sz w:val="21"/>
                <w:szCs w:val="21"/>
                <w:color w:val="auto"/>
              </w:rPr>
            </w:pPr>
          </w:p>
        </w:tc>
        <w:tc>
          <w:tcPr>
            <w:tcW w:w="120" w:type="dxa"/>
            <w:vAlign w:val="bottom"/>
            <w:tcBorders>
              <w:top w:val="single" w:sz="8" w:color="0E32E1"/>
            </w:tcBorders>
          </w:tcPr>
          <w:p>
            <w:pPr>
              <w:spacing w:after="0"/>
              <w:rPr>
                <w:sz w:val="21"/>
                <w:szCs w:val="21"/>
                <w:color w:val="auto"/>
              </w:rPr>
            </w:pPr>
          </w:p>
        </w:tc>
        <w:tc>
          <w:tcPr>
            <w:tcW w:w="100" w:type="dxa"/>
            <w:vAlign w:val="bottom"/>
            <w:tcBorders>
              <w:top w:val="single" w:sz="8" w:color="0E32E1"/>
            </w:tcBorders>
          </w:tcPr>
          <w:p>
            <w:pPr>
              <w:spacing w:after="0"/>
              <w:rPr>
                <w:sz w:val="21"/>
                <w:szCs w:val="21"/>
                <w:color w:val="auto"/>
              </w:rPr>
            </w:pPr>
          </w:p>
        </w:tc>
        <w:tc>
          <w:tcPr>
            <w:tcW w:w="300" w:type="dxa"/>
            <w:vAlign w:val="bottom"/>
            <w:tcBorders>
              <w:top w:val="single" w:sz="8" w:color="0E32E1"/>
            </w:tcBorders>
          </w:tcPr>
          <w:p>
            <w:pPr>
              <w:spacing w:after="0"/>
              <w:rPr>
                <w:sz w:val="21"/>
                <w:szCs w:val="21"/>
                <w:color w:val="auto"/>
              </w:rPr>
            </w:pPr>
          </w:p>
        </w:tc>
        <w:tc>
          <w:tcPr>
            <w:tcW w:w="24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4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3"/>
          </w:tcPr>
          <w:p>
            <w:pPr>
              <w:jc w:val="center"/>
              <w:ind w:right="4840"/>
              <w:spacing w:after="0"/>
              <w:rPr>
                <w:sz w:val="20"/>
                <w:szCs w:val="20"/>
                <w:color w:val="auto"/>
              </w:rPr>
            </w:pPr>
            <w:r>
              <w:rPr>
                <w:rFonts w:ascii="Times New Roman" w:cs="Times New Roman" w:eastAsia="Times New Roman" w:hAnsi="Times New Roman"/>
                <w:sz w:val="18"/>
                <w:szCs w:val="18"/>
                <w:b w:val="1"/>
                <w:bCs w:val="1"/>
                <w:color w:val="0E32E1"/>
                <w:w w:val="99"/>
              </w:rPr>
              <w:t>Part I.</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3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Business</w:t>
            </w:r>
          </w:p>
        </w:tc>
        <w:tc>
          <w:tcPr>
            <w:tcW w:w="500" w:type="dxa"/>
            <w:vAlign w:val="bottom"/>
            <w:tcBorders>
              <w:top w:val="single" w:sz="8" w:color="0E32E1"/>
            </w:tcBorders>
            <w:gridSpan w:val="2"/>
          </w:tcPr>
          <w:p>
            <w:pPr>
              <w:spacing w:after="0"/>
              <w:rPr>
                <w:sz w:val="21"/>
                <w:szCs w:val="21"/>
                <w:color w:val="auto"/>
              </w:rPr>
            </w:pPr>
          </w:p>
        </w:tc>
        <w:tc>
          <w:tcPr>
            <w:tcW w:w="4840" w:type="dxa"/>
            <w:vAlign w:val="bottom"/>
            <w:gridSpan w:val="11"/>
          </w:tcPr>
          <w:p>
            <w:pPr>
              <w:spacing w:after="0"/>
              <w:rPr>
                <w:sz w:val="21"/>
                <w:szCs w:val="21"/>
                <w:color w:val="auto"/>
              </w:rPr>
            </w:pP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rPr>
              <w:t>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6"/>
              </w:rPr>
              <w:t>Item 1A.</w:t>
            </w:r>
          </w:p>
        </w:tc>
        <w:tc>
          <w:tcPr>
            <w:tcW w:w="3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14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27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1B.</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E32E1"/>
                <w:w w:val="98"/>
              </w:rPr>
              <w:t>Unresolved Staff Comments</w:t>
            </w:r>
          </w:p>
        </w:tc>
        <w:tc>
          <w:tcPr>
            <w:tcW w:w="7000" w:type="dxa"/>
            <w:vAlign w:val="bottom"/>
            <w:gridSpan w:val="20"/>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1C.</w:t>
            </w:r>
          </w:p>
        </w:tc>
        <w:tc>
          <w:tcPr>
            <w:tcW w:w="420" w:type="dxa"/>
            <w:vAlign w:val="bottom"/>
            <w:gridSpan w:val="2"/>
          </w:tcPr>
          <w:p>
            <w:pPr>
              <w:spacing w:after="0"/>
              <w:rPr>
                <w:sz w:val="21"/>
                <w:szCs w:val="21"/>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E32E1"/>
              </w:rPr>
              <w:t>Cybersecurity</w:t>
            </w:r>
          </w:p>
        </w:tc>
        <w:tc>
          <w:tcPr>
            <w:tcW w:w="7000" w:type="dxa"/>
            <w:vAlign w:val="bottom"/>
            <w:gridSpan w:val="20"/>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66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2.</w:t>
            </w:r>
          </w:p>
        </w:tc>
        <w:tc>
          <w:tcPr>
            <w:tcW w:w="420" w:type="dxa"/>
            <w:vAlign w:val="bottom"/>
            <w:gridSpan w:val="2"/>
          </w:tcPr>
          <w:p>
            <w:pPr>
              <w:spacing w:after="0"/>
              <w:rPr>
                <w:sz w:val="21"/>
                <w:szCs w:val="21"/>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rPr>
              <w:t>Properties</w:t>
            </w:r>
          </w:p>
        </w:tc>
        <w:tc>
          <w:tcPr>
            <w:tcW w:w="804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67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3.</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4.</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E32E1"/>
                <w:w w:val="98"/>
              </w:rPr>
              <w:t>Part II</w:t>
            </w:r>
          </w:p>
        </w:tc>
        <w:tc>
          <w:tcPr>
            <w:tcW w:w="48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5.</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Market for Registrant’s Common Equity, Related Stockholder Matters and Issuer Purchases of Equity Securities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6.</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[Reserved]</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7.</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70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6"/>
              </w:rPr>
              <w:t>Item 7A.</w:t>
            </w:r>
          </w:p>
        </w:tc>
        <w:tc>
          <w:tcPr>
            <w:tcW w:w="340" w:type="dxa"/>
            <w:vAlign w:val="bottom"/>
          </w:tcPr>
          <w:p>
            <w:pPr>
              <w:spacing w:after="0"/>
              <w:rPr>
                <w:sz w:val="21"/>
                <w:szCs w:val="21"/>
                <w:color w:val="auto"/>
              </w:rPr>
            </w:pPr>
          </w:p>
        </w:tc>
        <w:tc>
          <w:tcPr>
            <w:tcW w:w="4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87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rPr>
              <w:t>Item 8.</w:t>
            </w:r>
          </w:p>
        </w:tc>
        <w:tc>
          <w:tcPr>
            <w:tcW w:w="340" w:type="dxa"/>
            <w:vAlign w:val="bottom"/>
          </w:tcPr>
          <w:p>
            <w:pPr>
              <w:spacing w:after="0"/>
              <w:rPr>
                <w:sz w:val="21"/>
                <w:szCs w:val="21"/>
                <w:color w:val="auto"/>
              </w:rPr>
            </w:pPr>
          </w:p>
        </w:tc>
        <w:tc>
          <w:tcPr>
            <w:tcW w:w="4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Financial Statements and Supplementary Data</w:t>
            </w:r>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88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9.</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Changes in and Disagreements with Accountants on Accounting and Financial Disclosure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0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40" w:type="dxa"/>
            <w:vAlign w:val="bottom"/>
            <w:gridSpan w:val="2"/>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20" w:type="dxa"/>
            <w:vAlign w:val="bottom"/>
            <w:gridSpan w:val="2"/>
            <w:shd w:val="clear" w:color="auto" w:fill="0E32E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6"/>
              </w:rPr>
              <w:t>Item 9A.</w:t>
            </w:r>
          </w:p>
        </w:tc>
        <w:tc>
          <w:tcPr>
            <w:tcW w:w="340" w:type="dxa"/>
            <w:vAlign w:val="bottom"/>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9B.</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7280" w:type="dxa"/>
            <w:vAlign w:val="bottom"/>
            <w:gridSpan w:val="23"/>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9C.</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Disclosure Regarding Foreign Jurisdictions that Prevent Inspections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130</w:t>
            </w:r>
          </w:p>
        </w:tc>
        <w:tc>
          <w:tcPr>
            <w:tcW w:w="0" w:type="dxa"/>
            <w:vAlign w:val="bottom"/>
          </w:tcPr>
          <w:p>
            <w:pPr>
              <w:spacing w:after="0"/>
              <w:rPr>
                <w:sz w:val="1"/>
                <w:szCs w:val="1"/>
                <w:color w:val="auto"/>
              </w:rPr>
            </w:pPr>
          </w:p>
        </w:tc>
      </w:tr>
      <w:tr>
        <w:trPr>
          <w:trHeight w:val="506"/>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82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340" w:type="dxa"/>
            <w:vAlign w:val="bottom"/>
            <w:tcBorders>
              <w:top w:val="single" w:sz="8" w:color="0E32E1"/>
            </w:tcBorders>
          </w:tcPr>
          <w:p>
            <w:pPr>
              <w:spacing w:after="0"/>
              <w:rPr>
                <w:sz w:val="24"/>
                <w:szCs w:val="24"/>
                <w:color w:val="auto"/>
              </w:rPr>
            </w:pPr>
          </w:p>
        </w:tc>
        <w:tc>
          <w:tcPr>
            <w:tcW w:w="600" w:type="dxa"/>
            <w:vAlign w:val="bottom"/>
            <w:tcBorders>
              <w:top w:val="single" w:sz="8" w:color="0E32E1"/>
              <w:bottom w:val="single" w:sz="8" w:color="0E32E1"/>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III</w:t>
            </w:r>
          </w:p>
        </w:tc>
        <w:tc>
          <w:tcPr>
            <w:tcW w:w="640" w:type="dxa"/>
            <w:vAlign w:val="bottom"/>
            <w:tcBorders>
              <w:top w:val="single" w:sz="8" w:color="0E32E1"/>
            </w:tcBorders>
            <w:gridSpan w:val="2"/>
          </w:tcPr>
          <w:p>
            <w:pPr>
              <w:spacing w:after="0"/>
              <w:rPr>
                <w:sz w:val="24"/>
                <w:szCs w:val="24"/>
                <w:color w:val="auto"/>
              </w:rPr>
            </w:pPr>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10.</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Directors, Executive Officers and Corporate Governance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11.</w:t>
            </w:r>
          </w:p>
        </w:tc>
        <w:tc>
          <w:tcPr>
            <w:tcW w:w="420" w:type="dxa"/>
            <w:vAlign w:val="bottom"/>
            <w:gridSpan w:val="2"/>
          </w:tcPr>
          <w:p>
            <w:pPr>
              <w:spacing w:after="0"/>
              <w:rPr>
                <w:sz w:val="21"/>
                <w:szCs w:val="21"/>
                <w:color w:val="auto"/>
              </w:rPr>
            </w:pPr>
          </w:p>
        </w:tc>
        <w:tc>
          <w:tcPr>
            <w:tcW w:w="408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Executive Compensation</w:t>
            </w:r>
          </w:p>
        </w:tc>
        <w:tc>
          <w:tcPr>
            <w:tcW w:w="4960" w:type="dxa"/>
            <w:vAlign w:val="bottom"/>
            <w:gridSpan w:val="1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12.</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Security Ownership of Certain Beneficial Owners and Management and Related Stockholder Matters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320" w:type="dxa"/>
            <w:vAlign w:val="bottom"/>
            <w:gridSpan w:val="5"/>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560" w:type="dxa"/>
            <w:vAlign w:val="bottom"/>
            <w:gridSpan w:val="5"/>
            <w:shd w:val="clear" w:color="auto" w:fill="0E32E1"/>
          </w:tcPr>
          <w:p>
            <w:pPr>
              <w:spacing w:after="0" w:line="20" w:lineRule="exact"/>
              <w:rPr>
                <w:sz w:val="1"/>
                <w:szCs w:val="1"/>
                <w:color w:val="auto"/>
              </w:rPr>
            </w:pPr>
          </w:p>
        </w:tc>
        <w:tc>
          <w:tcPr>
            <w:tcW w:w="1200" w:type="dxa"/>
            <w:vAlign w:val="bottom"/>
            <w:gridSpan w:val="4"/>
            <w:shd w:val="clear" w:color="auto" w:fill="0E32E1"/>
          </w:tcPr>
          <w:p>
            <w:pPr>
              <w:spacing w:after="0" w:line="20" w:lineRule="exact"/>
              <w:rPr>
                <w:sz w:val="1"/>
                <w:szCs w:val="1"/>
                <w:color w:val="auto"/>
              </w:rPr>
            </w:pPr>
          </w:p>
        </w:tc>
        <w:tc>
          <w:tcPr>
            <w:tcW w:w="1840" w:type="dxa"/>
            <w:vAlign w:val="bottom"/>
            <w:gridSpan w:val="3"/>
            <w:shd w:val="clear" w:color="auto" w:fill="0E32E1"/>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13.</w:t>
            </w:r>
          </w:p>
        </w:tc>
        <w:tc>
          <w:tcPr>
            <w:tcW w:w="420" w:type="dxa"/>
            <w:vAlign w:val="bottom"/>
            <w:gridSpan w:val="2"/>
          </w:tcPr>
          <w:p>
            <w:pPr>
              <w:spacing w:after="0"/>
              <w:rPr>
                <w:sz w:val="21"/>
                <w:szCs w:val="21"/>
                <w:color w:val="auto"/>
              </w:rPr>
            </w:pPr>
          </w:p>
        </w:tc>
        <w:tc>
          <w:tcPr>
            <w:tcW w:w="7280" w:type="dxa"/>
            <w:vAlign w:val="bottom"/>
            <w:gridSpan w:val="29"/>
          </w:tcPr>
          <w:p>
            <w:pPr>
              <w:spacing w:after="0"/>
              <w:rPr>
                <w:sz w:val="20"/>
                <w:szCs w:val="20"/>
                <w:color w:val="auto"/>
              </w:rPr>
            </w:pPr>
            <w:r>
              <w:rPr>
                <w:rFonts w:ascii="Times New Roman" w:cs="Times New Roman" w:eastAsia="Times New Roman" w:hAnsi="Times New Roman"/>
                <w:sz w:val="18"/>
                <w:szCs w:val="18"/>
                <w:color w:val="0E32E1"/>
              </w:rPr>
              <w:t>Certain Relationships and Related Transactions, and Director Independence</w:t>
            </w:r>
          </w:p>
        </w:tc>
        <w:tc>
          <w:tcPr>
            <w:tcW w:w="1760" w:type="dxa"/>
            <w:vAlign w:val="bottom"/>
            <w:gridSpan w:val="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320" w:type="dxa"/>
            <w:vAlign w:val="bottom"/>
            <w:gridSpan w:val="5"/>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560" w:type="dxa"/>
            <w:vAlign w:val="bottom"/>
            <w:gridSpan w:val="5"/>
            <w:shd w:val="clear" w:color="auto" w:fill="0E32E1"/>
          </w:tcPr>
          <w:p>
            <w:pPr>
              <w:spacing w:after="0" w:line="20" w:lineRule="exact"/>
              <w:rPr>
                <w:sz w:val="1"/>
                <w:szCs w:val="1"/>
                <w:color w:val="auto"/>
              </w:rPr>
            </w:pPr>
          </w:p>
        </w:tc>
        <w:tc>
          <w:tcPr>
            <w:tcW w:w="1200" w:type="dxa"/>
            <w:vAlign w:val="bottom"/>
            <w:gridSpan w:val="4"/>
            <w:shd w:val="clear" w:color="auto" w:fill="0E32E1"/>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14.</w:t>
            </w:r>
          </w:p>
        </w:tc>
        <w:tc>
          <w:tcPr>
            <w:tcW w:w="420" w:type="dxa"/>
            <w:vAlign w:val="bottom"/>
            <w:gridSpan w:val="2"/>
          </w:tcPr>
          <w:p>
            <w:pPr>
              <w:spacing w:after="0"/>
              <w:rPr>
                <w:sz w:val="21"/>
                <w:szCs w:val="21"/>
                <w:color w:val="auto"/>
              </w:rPr>
            </w:pPr>
          </w:p>
        </w:tc>
        <w:tc>
          <w:tcPr>
            <w:tcW w:w="5440" w:type="dxa"/>
            <w:vAlign w:val="bottom"/>
            <w:gridSpan w:val="26"/>
          </w:tcPr>
          <w:p>
            <w:pPr>
              <w:spacing w:after="0"/>
              <w:rPr>
                <w:sz w:val="20"/>
                <w:szCs w:val="20"/>
                <w:color w:val="auto"/>
              </w:rPr>
            </w:pPr>
            <w:r>
              <w:rPr>
                <w:rFonts w:ascii="Times New Roman" w:cs="Times New Roman" w:eastAsia="Times New Roman" w:hAnsi="Times New Roman"/>
                <w:sz w:val="18"/>
                <w:szCs w:val="18"/>
                <w:color w:val="0E32E1"/>
              </w:rPr>
              <w:t>Principal Accounting Fees and Services</w:t>
            </w:r>
          </w:p>
        </w:tc>
        <w:tc>
          <w:tcPr>
            <w:tcW w:w="3600" w:type="dxa"/>
            <w:vAlign w:val="bottom"/>
            <w:gridSpan w:val="5"/>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820" w:type="dxa"/>
            <w:vAlign w:val="bottom"/>
            <w:tcBorders>
              <w:top w:val="single" w:sz="8" w:color="0E32E1"/>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4"/>
          </w:tcPr>
          <w:p>
            <w:pPr>
              <w:jc w:val="center"/>
              <w:ind w:right="4800"/>
              <w:spacing w:after="0"/>
              <w:rPr>
                <w:sz w:val="20"/>
                <w:szCs w:val="20"/>
                <w:color w:val="auto"/>
              </w:rPr>
            </w:pPr>
            <w:r>
              <w:rPr>
                <w:rFonts w:ascii="Times New Roman" w:cs="Times New Roman" w:eastAsia="Times New Roman" w:hAnsi="Times New Roman"/>
                <w:sz w:val="18"/>
                <w:szCs w:val="18"/>
                <w:b w:val="1"/>
                <w:bCs w:val="1"/>
                <w:color w:val="0E32E1"/>
                <w:w w:val="95"/>
              </w:rPr>
              <w:t>Part IV</w:t>
            </w: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15.</w:t>
            </w:r>
          </w:p>
        </w:tc>
        <w:tc>
          <w:tcPr>
            <w:tcW w:w="420" w:type="dxa"/>
            <w:vAlign w:val="bottom"/>
            <w:gridSpan w:val="2"/>
          </w:tcPr>
          <w:p>
            <w:pPr>
              <w:spacing w:after="0"/>
              <w:rPr>
                <w:sz w:val="21"/>
                <w:szCs w:val="21"/>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w w:val="99"/>
              </w:rPr>
              <w:t>Exhibits and Financial Statement Schedules</w:t>
            </w:r>
          </w:p>
        </w:tc>
        <w:tc>
          <w:tcPr>
            <w:tcW w:w="520" w:type="dxa"/>
            <w:vAlign w:val="bottom"/>
            <w:gridSpan w:val="3"/>
          </w:tcPr>
          <w:p>
            <w:pPr>
              <w:spacing w:after="0"/>
              <w:rPr>
                <w:sz w:val="21"/>
                <w:szCs w:val="21"/>
                <w:color w:val="auto"/>
              </w:rPr>
            </w:pPr>
          </w:p>
        </w:tc>
        <w:tc>
          <w:tcPr>
            <w:tcW w:w="560" w:type="dxa"/>
            <w:vAlign w:val="bottom"/>
            <w:tcBorders>
              <w:top w:val="single" w:sz="8" w:color="0E32E1"/>
            </w:tcBorders>
            <w:gridSpan w:val="5"/>
          </w:tcPr>
          <w:p>
            <w:pPr>
              <w:spacing w:after="0"/>
              <w:rPr>
                <w:sz w:val="21"/>
                <w:szCs w:val="21"/>
                <w:color w:val="auto"/>
              </w:rPr>
            </w:pPr>
          </w:p>
        </w:tc>
        <w:tc>
          <w:tcPr>
            <w:tcW w:w="4800" w:type="dxa"/>
            <w:vAlign w:val="bottom"/>
            <w:gridSpan w:val="9"/>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620" w:type="dxa"/>
            <w:vAlign w:val="bottom"/>
            <w:gridSpan w:val="7"/>
            <w:shd w:val="clear" w:color="auto" w:fill="0E32E1"/>
          </w:tcPr>
          <w:p>
            <w:pPr>
              <w:spacing w:after="0" w:line="20" w:lineRule="exact"/>
              <w:rPr>
                <w:sz w:val="1"/>
                <w:szCs w:val="1"/>
                <w:color w:val="auto"/>
              </w:rPr>
            </w:pPr>
          </w:p>
        </w:tc>
        <w:tc>
          <w:tcPr>
            <w:tcW w:w="5880" w:type="dxa"/>
            <w:vAlign w:val="bottom"/>
            <w:gridSpan w:val="17"/>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16.</w:t>
            </w:r>
          </w:p>
        </w:tc>
        <w:tc>
          <w:tcPr>
            <w:tcW w:w="420" w:type="dxa"/>
            <w:vAlign w:val="bottom"/>
            <w:gridSpan w:val="2"/>
          </w:tcPr>
          <w:p>
            <w:pPr>
              <w:spacing w:after="0"/>
              <w:rPr>
                <w:sz w:val="21"/>
                <w:szCs w:val="21"/>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Form 10-K Summary</w:t>
            </w:r>
          </w:p>
        </w:tc>
        <w:tc>
          <w:tcPr>
            <w:tcW w:w="5880" w:type="dxa"/>
            <w:vAlign w:val="bottom"/>
            <w:gridSpan w:val="17"/>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0E32E1"/>
            </w:tcBorders>
            <w:shd w:val="clear" w:color="auto" w:fill="0E32E1"/>
          </w:tcPr>
          <w:p>
            <w:pPr>
              <w:spacing w:after="0" w:line="20" w:lineRule="exact"/>
              <w:rPr>
                <w:sz w:val="1"/>
                <w:szCs w:val="1"/>
                <w:color w:val="auto"/>
              </w:rPr>
            </w:pPr>
          </w:p>
        </w:tc>
        <w:tc>
          <w:tcPr>
            <w:tcW w:w="80" w:type="dxa"/>
            <w:vAlign w:val="bottom"/>
            <w:tcBorders>
              <w:bottom w:val="single" w:sz="8" w:color="0E32E1"/>
            </w:tcBorders>
            <w:shd w:val="clear" w:color="auto" w:fill="0E32E1"/>
          </w:tcPr>
          <w:p>
            <w:pPr>
              <w:spacing w:after="0" w:line="20" w:lineRule="exact"/>
              <w:rPr>
                <w:sz w:val="1"/>
                <w:szCs w:val="1"/>
                <w:color w:val="auto"/>
              </w:rPr>
            </w:pPr>
          </w:p>
        </w:tc>
        <w:tc>
          <w:tcPr>
            <w:tcW w:w="60" w:type="dxa"/>
            <w:vAlign w:val="bottom"/>
            <w:tcBorders>
              <w:bottom w:val="single" w:sz="8" w:color="0E32E1"/>
            </w:tcBorders>
            <w:shd w:val="clear" w:color="auto" w:fill="0E32E1"/>
          </w:tcPr>
          <w:p>
            <w:pPr>
              <w:spacing w:after="0" w:line="20" w:lineRule="exact"/>
              <w:rPr>
                <w:sz w:val="1"/>
                <w:szCs w:val="1"/>
                <w:color w:val="auto"/>
              </w:rPr>
            </w:pPr>
          </w:p>
        </w:tc>
        <w:tc>
          <w:tcPr>
            <w:tcW w:w="120" w:type="dxa"/>
            <w:vAlign w:val="bottom"/>
            <w:tcBorders>
              <w:bottom w:val="single" w:sz="8" w:color="0E32E1"/>
            </w:tcBorders>
            <w:shd w:val="clear" w:color="auto" w:fill="0E32E1"/>
          </w:tcPr>
          <w:p>
            <w:pPr>
              <w:spacing w:after="0" w:line="20" w:lineRule="exact"/>
              <w:rPr>
                <w:sz w:val="1"/>
                <w:szCs w:val="1"/>
                <w:color w:val="auto"/>
              </w:rPr>
            </w:pPr>
          </w:p>
        </w:tc>
        <w:tc>
          <w:tcPr>
            <w:tcW w:w="100" w:type="dxa"/>
            <w:vAlign w:val="bottom"/>
            <w:tcBorders>
              <w:bottom w:val="single" w:sz="8" w:color="0E32E1"/>
            </w:tcBorders>
            <w:shd w:val="clear" w:color="auto" w:fill="0E32E1"/>
          </w:tcPr>
          <w:p>
            <w:pPr>
              <w:spacing w:after="0" w:line="20" w:lineRule="exact"/>
              <w:rPr>
                <w:sz w:val="1"/>
                <w:szCs w:val="1"/>
                <w:color w:val="auto"/>
              </w:rPr>
            </w:pPr>
          </w:p>
        </w:tc>
        <w:tc>
          <w:tcPr>
            <w:tcW w:w="300" w:type="dxa"/>
            <w:vAlign w:val="bottom"/>
            <w:tcBorders>
              <w:bottom w:val="single" w:sz="8" w:color="0E32E1"/>
            </w:tcBorders>
            <w:shd w:val="clear" w:color="auto" w:fill="0E32E1"/>
          </w:tcPr>
          <w:p>
            <w:pPr>
              <w:spacing w:after="0" w:line="20" w:lineRule="exact"/>
              <w:rPr>
                <w:sz w:val="1"/>
                <w:szCs w:val="1"/>
                <w:color w:val="auto"/>
              </w:rPr>
            </w:pPr>
          </w:p>
        </w:tc>
        <w:tc>
          <w:tcPr>
            <w:tcW w:w="240" w:type="dxa"/>
            <w:vAlign w:val="bottom"/>
            <w:tcBorders>
              <w:left w:val="single" w:sz="8" w:color="0E32E1"/>
              <w:bottom w:val="single" w:sz="8" w:color="0E32E1"/>
            </w:tcBorders>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E32E1"/>
              </w:rPr>
              <w:t>Signatures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plans and objectives of management for future operations, and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35" w:lineRule="exact"/>
        <w:rPr>
          <w:sz w:val="20"/>
          <w:szCs w:val="20"/>
          <w:color w:val="auto"/>
        </w:rPr>
      </w:pPr>
    </w:p>
    <w:p>
      <w:pPr>
        <w:ind w:left="1300" w:hanging="320"/>
        <w:spacing w:after="0" w:line="282" w:lineRule="auto"/>
        <w:tabs>
          <w:tab w:leader="none" w:pos="12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 including statements relating to the portion of our remaining performance obligations that we expect to be recognized as revenue in future periods;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C3 AI Software, which includes our C3 Agentic AI Platform, C3 AI Applications and C3 Generative AI;</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for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addressable market opportunity for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our product releases;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pricing model;</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customer engagement;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uncertainties;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in Part I, Item 1A of this Annual Report on Form 10-K and those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the section titled “Risk Factors” in Part I, Item 1A of this Annual Report on Form 10-K. Below is a summary of some of the risks and uncertainties as of the date of the filing of this Annual Report on Form 10-K, any one of which could materially adversely affect our business, financial condition, operating results, and prospects. You should read this summary together with the more detailed description of each risk factor contained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75" w:lineRule="exact"/>
        <w:rPr>
          <w:sz w:val="20"/>
          <w:szCs w:val="20"/>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anticipate our operating expenses will continue to increase in the future, and we may not be able to achieve or maintain profitability in the future.</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and on our existing customers purchasing additional subscriptions from us and renewing their existing subscriptions.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particularly with respect to large subscriptions, and our sales efforts require considerable time and expense.</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our C3 AI Software fails to grow as we expect, or if businesses fail to adopt our C3 AI Software, our business, operating results, and financial condition could be adversely affected.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extend our C3 AI Software, or develop new features and functionality, our ability to remain competitive could be impaired.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CEO, or other members of our senior management team, we may not be able to execute our business strategy.</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uncertainties have had, and could continue to have, an adverse impact on our business, our operations, and the markets and communities in which we, our partners, and users operate.</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spacing w:after="0" w:line="12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raised by the use of artificial intelligence, or AI, including machine learning, or ML, in our C3 Agentic AI Platform may result in reputational harm or liability or otherwise adversely affect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adversely affect our financial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5" w:lineRule="exact"/>
        <w:rPr>
          <w:sz w:val="20"/>
          <w:szCs w:val="20"/>
          <w:color w:val="auto"/>
        </w:rPr>
      </w:pPr>
    </w:p>
    <w:p>
      <w:pPr>
        <w:ind w:left="1300" w:right="2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expand our operations outside the United States, where we may be subject to increased business and economic risks that could harm our business.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impair our ability to compete in international markets or subject us to liability if we are not in compliance with applicable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7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exposure to greater than anticipated tax liabilities, which could harm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be in the future, party to intellectual property rights claims and other litigation matters, which, if resolved adversely, could harm our business.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provisions in various agreements potentially expose us to substantial liability for intellectual property infringement and other losses.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our intellectual property rights and proprietary information could diminish our brand and other intangible assets.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open source software could negatively affect our ability to offer and sell subscriptions to our C3 AI Software and subject us to possible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holders of our Class B common stock, limiting your ability to influence corporate matters.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5" w:lineRule="exact"/>
        <w:rPr>
          <w:sz w:val="20"/>
          <w:szCs w:val="20"/>
          <w:color w:val="auto"/>
        </w:rPr>
      </w:pPr>
    </w:p>
    <w:p>
      <w:pPr>
        <w:ind w:left="1300" w:right="2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disrupted by catastrophic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is the Enterprise AI application software company. C3 AI delivers a family of fully integrated products including the C3 Agentic AI Platform, an end-to-end platform for developing, deploying, and operating Enterprise AI applications; C3 AI Applications, a portfolio of industry-specific Enterprise AI applications that enable the digital transformation of organizations globally; and C3 Generative AI — library of agentic AI applications to retrieve data, analyze information, surface insights, and orchestrate workflows to drive business value.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Agentic AI Platform and C3 AI Applications — built with our patented model-driven architecture — enable organizations to simplify and accelerate Enterprise AI application development, deployment, and administration. Our C3 AI software platform also enables developers to rapidly build applications without having to write complex, lengthy, structured programming code to define, control, and integrate the many requisite data and microservices components to work together; we significantly reduce the effort and complexity of the Enterprise AI software engineering problem.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Powered by C3 AI’s patented agent orchestration technology, C3 Generative AI enables autonomous agents to reflect, collaborate, and execute complex workflows — retrieving data, analyzing information, and delivering precise, actionable insights for high-value enterprise use cases across industries. C3 Generative AI delivers high-accuracy, domain-specific insights, and advanced reasoning across disparate enterprise and external data sources. C3 Generative AI is built natively into the C3 Agentic AI Platform and available with every C3 AI Application.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Generative AI is also available as a standalone capability deployable against customer datasets and software applications enabling customers to leverage large language models (LLMs) and domain-specific agents to retrieve data, analyze information, surface insights, and orchestrate workflows to drive business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AI Software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solution that enables our customers to rapidly develop, deploy, and operate large-scale Enterprise AI applications. Customers can deploy C3 AI software on major public cloud infrastructures, private cloud or hybrid environments, or directly on their servers and processors. We provide our customers and partners with an antidote to AI vendor lock-in.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three primary families of software solutions, which we collectively refer to as our “C3 AI software”:</w:t>
      </w:r>
    </w:p>
    <w:p>
      <w:pPr>
        <w:spacing w:after="0" w:line="210" w:lineRule="exact"/>
        <w:rPr>
          <w:sz w:val="20"/>
          <w:szCs w:val="20"/>
          <w:color w:val="auto"/>
        </w:rPr>
      </w:pPr>
    </w:p>
    <w:p>
      <w:pPr>
        <w:jc w:val="both"/>
        <w:ind w:left="660" w:hanging="328"/>
        <w:spacing w:after="0" w:line="245"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The C3 Agentic AI Platform</w:t>
      </w:r>
      <w:r>
        <w:rPr>
          <w:rFonts w:ascii="Times New Roman" w:cs="Times New Roman" w:eastAsia="Times New Roman" w:hAnsi="Times New Roman"/>
          <w:sz w:val="18"/>
          <w:szCs w:val="18"/>
          <w:color w:val="auto"/>
        </w:rPr>
        <w:t>, our core technology, is a comprehensive, end-to-end application development and runtime environment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allow our customers to rapidly design, develop, and deploy Enterprise AI applications. The C3 Agentic AI Platform enables the creation of enterprise-grade AI agents that can autonomously perceive data, reason over complex systems, and take action to achieve defined business goals. These agents operate within secure, governed workflows and integrate seamlessly across the enterprise, delivering trusted, high-impact outcomes at scale.</w:t>
      </w:r>
    </w:p>
    <w:p>
      <w:pPr>
        <w:spacing w:after="0" w:line="138"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built using the C3 Agentic AI Platform, is a portfolio of pre-built, extensible, industry-specific and application-specific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AI applications that can be rapidly installed and deployed.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Generative AI</w:t>
      </w:r>
      <w:r>
        <w:rPr>
          <w:rFonts w:ascii="Times New Roman" w:cs="Times New Roman" w:eastAsia="Times New Roman" w:hAnsi="Times New Roman"/>
          <w:sz w:val="18"/>
          <w:szCs w:val="18"/>
          <w:color w:val="auto"/>
        </w:rPr>
        <w:t>, combines the utility of LLMs, agentic AI, generative AI, reinforcement learning, natural language processing, and the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Agentic AI Platform to reflect, collaborate, and execute complex workflows.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Agentic AI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C3 Agentic AI Platform offers the only end-to-end platform-as-a-service that allows customers to rapidly design, develop, provision, and operate Enterprise AI applications at scale. Our customers can use the C3 Agentic AI Platform to build and operate their own custom Enterprise AI applications and to customize, operate, and manage C3 AI Applications.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C3 Agentic AI Platform uses a patented model-driven architecture to accelerate delivery and reduce the complexities of developing Enterprise AI applications. The C3 AI model-driven architecture provides an “abstraction layer,” that allows developers to build Enterprise AI applications by using conceptual models of all the elements an application requires, instead of writing lengthy code. This provides significant benefits, including:</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Scale AI Across the Business. </w:t>
      </w:r>
      <w:r>
        <w:rPr>
          <w:rFonts w:ascii="Times New Roman" w:cs="Times New Roman" w:eastAsia="Times New Roman" w:hAnsi="Times New Roman"/>
          <w:sz w:val="18"/>
          <w:szCs w:val="18"/>
          <w:color w:val="auto"/>
        </w:rPr>
        <w:t>Customers can use AI applications and models that optimize processes for every product, asset, customer, or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regions and businesses;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Deliver Results Faster. </w:t>
      </w:r>
      <w:r>
        <w:rPr>
          <w:rFonts w:ascii="Times New Roman" w:cs="Times New Roman" w:eastAsia="Times New Roman" w:hAnsi="Times New Roman"/>
          <w:sz w:val="18"/>
          <w:szCs w:val="18"/>
          <w:color w:val="auto"/>
        </w:rPr>
        <w:t>Customers can deploy AI applications and see results in one to two quarters and rapidly roll out additional applications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Generate Meaningful Value. </w:t>
      </w:r>
      <w:r>
        <w:rPr>
          <w:rFonts w:ascii="Times New Roman" w:cs="Times New Roman" w:eastAsia="Times New Roman" w:hAnsi="Times New Roman"/>
          <w:sz w:val="18"/>
          <w:szCs w:val="18"/>
          <w:color w:val="auto"/>
        </w:rPr>
        <w:t>Customers can unlock sustained value, up to hundreds of millions to billions of dollars per year, from reduced costs,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higher margins; and</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 AI with Confidence. </w:t>
      </w:r>
      <w:r>
        <w:rPr>
          <w:rFonts w:ascii="Times New Roman" w:cs="Times New Roman" w:eastAsia="Times New Roman" w:hAnsi="Times New Roman"/>
          <w:sz w:val="18"/>
          <w:szCs w:val="18"/>
          <w:color w:val="auto"/>
        </w:rPr>
        <w:t>Customers can ensure systematic, enterprise-wide governance of AI with our unified platform that offers data lineage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governance.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C3 Agentic AI Platform enables us and our customers to develop Enterprise AI applications by using conceptual models of all the elements required by the application — including data objects (e.g., customer, order, contract), computing resources (e.g., database, storage, messaging), data processing services (e.g., stream processing, batch processing), AI and ML services (e.g., model training, model pipeline management) — instead of having to write complex, lengthy code. This approach vastly reduces technical complexity for developers and the amount of code they need to write. The C3 Agentic AI Platform provides comprehensive capabilities to rapidly develop, deploy, and operate Enterprise AI applications at scale, including:</w:t>
      </w:r>
    </w:p>
    <w:p>
      <w:pPr>
        <w:spacing w:after="0" w:line="127" w:lineRule="exact"/>
        <w:rPr>
          <w:sz w:val="20"/>
          <w:szCs w:val="20"/>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 and Management Services</w:t>
      </w:r>
      <w:r>
        <w:rPr>
          <w:rFonts w:ascii="Times New Roman" w:cs="Times New Roman" w:eastAsia="Times New Roman" w:hAnsi="Times New Roman"/>
          <w:sz w:val="18"/>
          <w:szCs w:val="18"/>
          <w:color w:val="auto"/>
        </w:rPr>
        <w:t>. Services to readily ingest and aggregate massive volumes of diverse data from numerous internal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sources and unify the data in a common and extensible data image.</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AI Application Development and Operationalization Services. </w:t>
      </w:r>
      <w:r>
        <w:rPr>
          <w:rFonts w:ascii="Times New Roman" w:cs="Times New Roman" w:eastAsia="Times New Roman" w:hAnsi="Times New Roman"/>
          <w:sz w:val="18"/>
          <w:szCs w:val="18"/>
          <w:color w:val="auto"/>
        </w:rPr>
        <w:t>Software services to explore data, build and train AI models, and operationalize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applications at enterprise scale.</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and Security Services. </w:t>
      </w:r>
      <w:r>
        <w:rPr>
          <w:rFonts w:ascii="Times New Roman" w:cs="Times New Roman" w:eastAsia="Times New Roman" w:hAnsi="Times New Roman"/>
          <w:sz w:val="18"/>
          <w:szCs w:val="18"/>
          <w:color w:val="auto"/>
        </w:rPr>
        <w:t>Cohesive core platform services (e.g., access control, data encryption, cybersecurity, time-series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normalization, data privacy).</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Studio. </w:t>
      </w:r>
      <w:r>
        <w:rPr>
          <w:rFonts w:ascii="Times New Roman" w:cs="Times New Roman" w:eastAsia="Times New Roman" w:hAnsi="Times New Roman"/>
          <w:sz w:val="18"/>
          <w:szCs w:val="18"/>
          <w:color w:val="auto"/>
        </w:rPr>
        <w:t>A low-code/no-code visual toolkit for developing, deploying, and operating Enterprise AI applications.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AI Applications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AI Applications is an expanding portfolio of turnkey and ready-to-use suite of Enterprise AI applications that address a range of high-value use cases. With C3 AI Applications, organizations can typically deploy enterprise-scale production AI applications in one to six months. Each of these applications is extensible and customizable to meet customer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Asset Performance Suite</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C3 AI Asset Performance Suite drives enterprise asset performance, reduces downtime, and improves process efficiency. C3 AI customers use the C3 AI Asset Performance Suite to identify and predict asset performance risks, intervene before downtime occurs, and maximize asset performance.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AI Asset Performance Suite offers a flexible and scalable AI approach with better precision than alternatives. C3 AI’s value proposition within reliability emphasizes its (1) complementary approach to existing asset management and data historian systems, (2) detailed asset hierarchy modeling, including asset templates and failure mode libraries, (3) flexible AI pipelines that leverage best-in-class ML frameworks with AI explainability, and (4) comprehensive user workflows to action AI recommendations, with bidirectional integrations to work management and operations systems.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discrete applications comprise the C3 AI Asset Performance Suite:</w:t>
      </w:r>
    </w:p>
    <w:p>
      <w:pPr>
        <w:spacing w:after="0" w:line="16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Reliability </w:t>
      </w:r>
      <w:r>
        <w:rPr>
          <w:rFonts w:ascii="Times New Roman" w:cs="Times New Roman" w:eastAsia="Times New Roman" w:hAnsi="Times New Roman"/>
          <w:sz w:val="18"/>
          <w:szCs w:val="18"/>
          <w:color w:val="auto"/>
        </w:rPr>
        <w:t>increases operations, process, and equipment uptime by anticipating equipment risks and failures.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Process Optimization </w:t>
      </w:r>
      <w:r>
        <w:rPr>
          <w:rFonts w:ascii="Times New Roman" w:cs="Times New Roman" w:eastAsia="Times New Roman" w:hAnsi="Times New Roman"/>
          <w:sz w:val="18"/>
          <w:szCs w:val="18"/>
          <w:color w:val="auto"/>
        </w:rPr>
        <w:t>improves production rate and product quality with AI-optimized process control parameters in complex batch, semi-batch, or process manufacturing.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Energy Management </w:t>
      </w:r>
      <w:r>
        <w:rPr>
          <w:rFonts w:ascii="Times New Roman" w:cs="Times New Roman" w:eastAsia="Times New Roman" w:hAnsi="Times New Roman"/>
          <w:sz w:val="18"/>
          <w:szCs w:val="18"/>
          <w:color w:val="auto"/>
        </w:rPr>
        <w:t>helps operations teams achieve targets for energy cost, GHG emissions, water consumption, and waste reduction.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models energy efficiency and emissions at every level of industrial processes from the individual equipment up to the facility as well as SKU-level product carbon footprints.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C3 AI Supply Chain Suite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C3 AI Supply Chain Suite significantly improves supply chain resiliency and efficiency with proactive risk mitigation and advanced optimization. C3 AI’s value proposition in supply chain emphasizes its (1) strength in data unification for enterprise and external data to enable near-real-time global visibility of all goods, orders, and transportation, (2) detailed part-level tracking across the supply chain, (3) advanced AI to preemptively detect and mitigate risks, optimize processes, and avoid disruptions, and (4) fully complementary approach with enterprise resource planning, or ERP, systems (e.g., SAP ERP) and supply chain planning tools (e.g., SAP IBP, Logility).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rely on the C3 AI Supply Chain Suite to rapidly improve business outcomes while providing flexibility in how they manage their entire supply chain software ecosystem. One large global manufacturing C3 AI customer uses C3 AI’s production scheduling software to support facilities using mainframe systems, continuing to use the same C3 AI Software while the underlying systems are upgraded to SAP ERP, highlighting the versatility and future-proofing of the model-driven architecture.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discrete applications comprise the C3 AI Supply Chain Suite:</w:t>
      </w:r>
    </w:p>
    <w:p>
      <w:pPr>
        <w:spacing w:after="0" w:line="16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Supply Network Risk </w:t>
      </w:r>
      <w:r>
        <w:rPr>
          <w:rFonts w:ascii="Times New Roman" w:cs="Times New Roman" w:eastAsia="Times New Roman" w:hAnsi="Times New Roman"/>
          <w:sz w:val="18"/>
          <w:szCs w:val="18"/>
          <w:color w:val="auto"/>
        </w:rPr>
        <w:t>identifies emerging inbound and outbound risks across the network.</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Inventory Optimization </w:t>
      </w:r>
      <w:r>
        <w:rPr>
          <w:rFonts w:ascii="Times New Roman" w:cs="Times New Roman" w:eastAsia="Times New Roman" w:hAnsi="Times New Roman"/>
          <w:sz w:val="18"/>
          <w:szCs w:val="18"/>
          <w:color w:val="auto"/>
        </w:rPr>
        <w:t>analyzes variability across demand, supply, and production and optimizes inventory levels of all goods to eliminate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inventory.</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Demand Forecasting </w:t>
      </w:r>
      <w:r>
        <w:rPr>
          <w:rFonts w:ascii="Times New Roman" w:cs="Times New Roman" w:eastAsia="Times New Roman" w:hAnsi="Times New Roman"/>
          <w:sz w:val="18"/>
          <w:szCs w:val="18"/>
          <w:color w:val="auto"/>
        </w:rPr>
        <w:t>provides AI-based demand segmentation and granular, precision demand forecasts by capturing all high-value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signals from enterprise and external data sources.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C3 AI Production Schedule Optimization </w:t>
      </w:r>
      <w:r>
        <w:rPr>
          <w:rFonts w:ascii="Times New Roman" w:cs="Times New Roman" w:eastAsia="Times New Roman" w:hAnsi="Times New Roman"/>
          <w:sz w:val="17"/>
          <w:szCs w:val="17"/>
          <w:color w:val="auto"/>
        </w:rPr>
        <w:t>improves production efficiency using a holistic view of demand, supply, manufacturing, and distribution.</w:t>
      </w:r>
    </w:p>
    <w:p>
      <w:pPr>
        <w:spacing w:after="0" w:line="182" w:lineRule="exact"/>
        <w:rPr>
          <w:rFonts w:ascii="Times New Roman" w:cs="Times New Roman" w:eastAsia="Times New Roman" w:hAnsi="Times New Roman"/>
          <w:sz w:val="17"/>
          <w:szCs w:val="17"/>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Sourcing Optimization </w:t>
      </w:r>
      <w:r>
        <w:rPr>
          <w:rFonts w:ascii="Times New Roman" w:cs="Times New Roman" w:eastAsia="Times New Roman" w:hAnsi="Times New Roman"/>
          <w:sz w:val="18"/>
          <w:szCs w:val="18"/>
          <w:color w:val="auto"/>
        </w:rPr>
        <w:t>reduces sourcing costs by detecting pricing anomalies and proactively monitoring all sourcing activity,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feedback and other information provided from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Defense &amp; Intelligence Suite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AI Defense &amp; Intelligence Suite helps maximize mission capabilities. C3 AI customers span the U.S. Department of Defense, or the DoD, (including branches such as the U.S. Air Force), the Missile Defense Agency, and the DoD’s Chief Digital and Artificial Intelligence Office. C3 AI offers a core suite of products adaptable for each agency’s needs.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differentiates on scalability of AI/ML and user workflows to solve critical missions. C3 AI’s defense &amp; intelligence customers solve the following core needs with C3 AI: (1) rapid, multi-source data ingestion (e.g., structured, image, video, text), (2) efficient and scalable application of AI, ML, and deep learning techniques to provide novel insights, and (3) user-driven workflows that support investigative analyses, collaboration, and what-if scenario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core applications comprise the C3 AI Defense &amp; Intelligence Suite:</w:t>
      </w:r>
    </w:p>
    <w:p>
      <w:pPr>
        <w:spacing w:after="0" w:line="169" w:lineRule="exact"/>
        <w:rPr>
          <w:sz w:val="20"/>
          <w:szCs w:val="20"/>
          <w:color w:val="auto"/>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AI Readiness</w:t>
      </w:r>
      <w:r>
        <w:rPr>
          <w:rFonts w:ascii="Times New Roman" w:cs="Times New Roman" w:eastAsia="Times New Roman" w:hAnsi="Times New Roman"/>
          <w:sz w:val="18"/>
          <w:szCs w:val="18"/>
          <w:color w:val="auto"/>
        </w:rPr>
        <w:t>, today configured across over 15 aircraft platforms, applies AI and advanced ML to help reduce unscheduled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preposition spare parts, and increase mission capability.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Intelligence Analysis </w:t>
      </w:r>
      <w:r>
        <w:rPr>
          <w:rFonts w:ascii="Times New Roman" w:cs="Times New Roman" w:eastAsia="Times New Roman" w:hAnsi="Times New Roman"/>
          <w:sz w:val="18"/>
          <w:szCs w:val="18"/>
          <w:color w:val="auto"/>
        </w:rPr>
        <w:t>accelerates investigative timelines with encrypted, obfuscated, federated search on people and relationships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 real time, configurable machine learning pipelines for entities and sentiments.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Decision Advantage </w:t>
      </w:r>
      <w:r>
        <w:rPr>
          <w:rFonts w:ascii="Times New Roman" w:cs="Times New Roman" w:eastAsia="Times New Roman" w:hAnsi="Times New Roman"/>
          <w:sz w:val="18"/>
          <w:szCs w:val="18"/>
          <w:color w:val="auto"/>
        </w:rPr>
        <w:t>improves domain awareness and force management by synthesizing multiple intelligence sources in near real-time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enabling commanders and other decision makers with AI insights.</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C3 AI Contested Logistics </w:t>
      </w:r>
      <w:r>
        <w:rPr>
          <w:rFonts w:ascii="Times New Roman" w:cs="Times New Roman" w:eastAsia="Times New Roman" w:hAnsi="Times New Roman"/>
          <w:sz w:val="18"/>
          <w:szCs w:val="18"/>
          <w:color w:val="auto"/>
        </w:rPr>
        <w:t>ensures supply network resilience and availability in contested environments with extensive planning tools, near real-time monitoring and mission support, and AI assisted risk mitigation and contingency planning.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State and Local Government Suite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C3 AI State and Local Government Suite brings the power of Enterprise AI to state and local governments and law enforcement agencies, helping maximize tax revenues by providing highly precise property appraisals and enhancing public safety with AI-powered intelligence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state, county and municipal law enforcement agencies: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Law Enforcement </w:t>
      </w:r>
      <w:r>
        <w:rPr>
          <w:rFonts w:ascii="Times New Roman" w:cs="Times New Roman" w:eastAsia="Times New Roman" w:hAnsi="Times New Roman"/>
          <w:sz w:val="18"/>
          <w:szCs w:val="18"/>
          <w:color w:val="auto"/>
        </w:rPr>
        <w:t>provides a single view for all relevant systems (e.g., jail records, license plate readers, record management,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a natural language search interface to query for keywords across those sources, and an investigative visual graph network to explore connections, lowering the cost and time of criminal investigation.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county property assessors and appraisers:</w:t>
      </w:r>
    </w:p>
    <w:p>
      <w:pPr>
        <w:spacing w:after="0" w:line="169" w:lineRule="exact"/>
        <w:rPr>
          <w:sz w:val="20"/>
          <w:szCs w:val="20"/>
          <w:color w:val="auto"/>
        </w:rPr>
      </w:pPr>
    </w:p>
    <w:p>
      <w:pPr>
        <w:ind w:left="66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Residential Property Appraisal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C3 AI Commercial Property Appraisal </w:t>
      </w:r>
      <w:r>
        <w:rPr>
          <w:rFonts w:ascii="Times New Roman" w:cs="Times New Roman" w:eastAsia="Times New Roman" w:hAnsi="Times New Roman"/>
          <w:sz w:val="18"/>
          <w:szCs w:val="18"/>
          <w:color w:val="auto"/>
        </w:rPr>
        <w:t>provide data unification across numerous disparate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highly defensible property valuations, reducing the cost and time of real property appraisal.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federal, state, and local governments:</w:t>
      </w:r>
    </w:p>
    <w:p>
      <w:pPr>
        <w:spacing w:after="0" w:line="169" w:lineRule="exact"/>
        <w:rPr>
          <w:sz w:val="20"/>
          <w:szCs w:val="20"/>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for Government Programs </w:t>
      </w:r>
      <w:r>
        <w:rPr>
          <w:rFonts w:ascii="Times New Roman" w:cs="Times New Roman" w:eastAsia="Times New Roman" w:hAnsi="Times New Roman"/>
          <w:sz w:val="18"/>
          <w:szCs w:val="18"/>
          <w:color w:val="auto"/>
        </w:rPr>
        <w:t>enables federal, state, and local government programs to help constituents retrieve immediate,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accurate answers to any question across unique fields such as healthcare, transportation, benefits, public safety, legislature, and more.</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for Constituent Services </w:t>
      </w:r>
      <w:r>
        <w:rPr>
          <w:rFonts w:ascii="Times New Roman" w:cs="Times New Roman" w:eastAsia="Times New Roman" w:hAnsi="Times New Roman"/>
          <w:sz w:val="18"/>
          <w:szCs w:val="18"/>
          <w:color w:val="auto"/>
        </w:rPr>
        <w:t>accelerates response times from government offices to constituent inquiries by generating immediate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accurate responses. The application understands incoming inquiries and reviews the entire corpus of relevant data including benefit programs, government regulations, legislation, and federal grant websites to generate relevant and accurate responses in the tone and voice of each congressperson.</w:t>
      </w:r>
    </w:p>
    <w:p>
      <w:pPr>
        <w:spacing w:after="0" w:line="1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C3 AI Sustainability Suite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AI Sustainability Suite helps decrease greenhouse gas, or GHG, emissions, meet stakeholder and regulatory-specific environmental, social and governance, or ESG, expectations, and reduce energy costs, offering an alternative to existing reporting solutions and dramatically improving upon OEM-provided software (e.g., Siemens, Schneider) by using advanced AI and ML to reduce energy costs and GHG emissions.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Sustainability and energy management professionals struggle with three core challenges: (1) time-consuming, manual, and error-prone process to cobble together siloed data for ESG reporting, (2) an ever-evolving array of international reporting standards (e.g., CDP, GRI, SASB), and (3) forecasting ESG performance and managing goals (and individual projects) that are often outside of the ESG team’s capabilities. C3 AI Sustainability Suite solves these challenges and provides workflows and AI recommendations that enable teams and business units to collaborate on data unification across source systems, auto report generation aligned with major frameworks, and ESG forecasting and performance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applications comprise the C3 AI Sustainability Suite:</w:t>
      </w:r>
    </w:p>
    <w:p>
      <w:pPr>
        <w:spacing w:after="0" w:line="169" w:lineRule="exact"/>
        <w:rPr>
          <w:sz w:val="20"/>
          <w:szCs w:val="20"/>
          <w:color w:val="auto"/>
        </w:rPr>
      </w:pPr>
    </w:p>
    <w:p>
      <w:pPr>
        <w:jc w:val="center"/>
        <w:ind w:left="5540" w:right="980" w:hanging="5208"/>
        <w:spacing w:after="0" w:line="973"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ESG </w:t>
      </w:r>
      <w:r>
        <w:rPr>
          <w:rFonts w:ascii="Times New Roman" w:cs="Times New Roman" w:eastAsia="Times New Roman" w:hAnsi="Times New Roman"/>
          <w:sz w:val="18"/>
          <w:szCs w:val="18"/>
          <w:color w:val="auto"/>
        </w:rPr>
        <w:t>lets companies measure, monitor, report, and improve their ESG performance, including scope 1, 2, and 3 emissions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Energy Management </w:t>
      </w:r>
      <w:r>
        <w:rPr>
          <w:rFonts w:ascii="Times New Roman" w:cs="Times New Roman" w:eastAsia="Times New Roman" w:hAnsi="Times New Roman"/>
          <w:sz w:val="18"/>
          <w:szCs w:val="18"/>
          <w:color w:val="auto"/>
        </w:rPr>
        <w:t>helps operations teams achieve targets for energy cost, GHG emissions, water consumption, and waste reduction.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models energy efficiency and emissions at every level of industrial processes from the individual equipment up to the facility as well as SKU-level product carbon footprints.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C3 AI CRM Suite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C3 AI CRM adds to existing customer relationship management, or CRM, implementations with AI and delivers revenue-driving insights. C3 AI CRM does not replace existing CRM systems but significantly improves their utility. C3 AI CRM does not compete with core CRM systems (e.g., Salesforce); rather, it provides complementary AI-driven insights across revenue operations and intelligence and sales engagement. The application solves complex problems across bookings forecasting and opportunity scoring using differentiated capabilities to (1) integrate a comprehensive set of external data feeds (market data, news, firmographic information, etc.), (2) provide industry-specific data models, (3) apply best-in-class algorithms on each opportunity and stage, and (4) supports generative AI for enterprise search.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Financial Services Suite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AI Financial Services Suite helps minimize compliance risks, improve balance attrition, increase customer satisfaction, reduce customer churn, identify fraud, and drive employee productivity with workflow-enabled AI applications. With flexible deployment options across public/private cloud or on-premise, its secure architecture, and open ML and AI framework, the C3 AI Financial Services Suite is uniquely positioned to drive significant business value for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discrete applications comprise the C3 AI Financial Services Suite:</w:t>
      </w:r>
    </w:p>
    <w:p>
      <w:pPr>
        <w:spacing w:after="0" w:line="169" w:lineRule="exact"/>
        <w:rPr>
          <w:sz w:val="20"/>
          <w:szCs w:val="20"/>
          <w:color w:val="auto"/>
        </w:rPr>
      </w:pPr>
    </w:p>
    <w:p>
      <w:pPr>
        <w:ind w:left="660" w:hanging="328"/>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Anti-Money Laundering </w:t>
      </w:r>
      <w:r>
        <w:rPr>
          <w:rFonts w:ascii="Times New Roman" w:cs="Times New Roman" w:eastAsia="Times New Roman" w:hAnsi="Times New Roman"/>
          <w:sz w:val="18"/>
          <w:szCs w:val="18"/>
          <w:color w:val="auto"/>
        </w:rPr>
        <w:t>helps detect suspicious financial activity, identify fraudulent transactions, and flag bad actors with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detection accuracy while reducing the false alerts for AML investigators.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Smart Lending </w:t>
      </w:r>
      <w:r>
        <w:rPr>
          <w:rFonts w:ascii="Times New Roman" w:cs="Times New Roman" w:eastAsia="Times New Roman" w:hAnsi="Times New Roman"/>
          <w:sz w:val="18"/>
          <w:szCs w:val="18"/>
          <w:color w:val="auto"/>
        </w:rPr>
        <w:t>drives productivity and customer satisfaction within the credit application and approval process, providing credit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contextualized insights that reduce processing timelines and increase approval precision.</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Cash Management </w:t>
      </w:r>
      <w:r>
        <w:rPr>
          <w:rFonts w:ascii="Times New Roman" w:cs="Times New Roman" w:eastAsia="Times New Roman" w:hAnsi="Times New Roman"/>
          <w:sz w:val="18"/>
          <w:szCs w:val="18"/>
          <w:color w:val="auto"/>
        </w:rPr>
        <w:t>proactively monitors client treasury activity and preemptively predicts potential deposit churn to prevent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helping increase customer retention and grow deposit balances.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Health Suite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C3 AI Health Suite helps to accelerate healthcare innovation, streamline drug development, boost manufacturing reliability and supply chain efficiency, enhance patient and provider experiences, simplify payment and reimbursement processes, and support data-driven commercial engagement.</w:t>
      </w:r>
    </w:p>
    <w:p>
      <w:pPr>
        <w:spacing w:after="0" w:line="106"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Life Sciences Applications </w:t>
      </w:r>
      <w:r>
        <w:rPr>
          <w:rFonts w:ascii="Times New Roman" w:cs="Times New Roman" w:eastAsia="Times New Roman" w:hAnsi="Times New Roman"/>
          <w:sz w:val="18"/>
          <w:szCs w:val="18"/>
          <w:color w:val="auto"/>
        </w:rPr>
        <w:t>use AI at scale to provide actionable insights for critical challenges facing the industry. These applications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by leveraging diverse data sets and applying a range of tuned ML models. These applications include: Research Analysis, Clinical Trial Management, Drug Development, Trial Protocol Design, Clinical Trial Management, Demand Forecasting, Marketing Claim and Collateral, Portfolio Optimization, Inventory Optimization, Regulatory Submissions, Patient Relationship Engagement, among others.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for Healthcare </w:t>
      </w:r>
      <w:r>
        <w:rPr>
          <w:rFonts w:ascii="Times New Roman" w:cs="Times New Roman" w:eastAsia="Times New Roman" w:hAnsi="Times New Roman"/>
          <w:sz w:val="18"/>
          <w:szCs w:val="18"/>
          <w:color w:val="auto"/>
        </w:rPr>
        <w:t>leverages AI to improve health delivery efficiency by aggregating, validating, and communicating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broadly. These applications include: Clinical Trial Patient Matching, Early Chronic Disease Detection, Hospital Clinical Documentation, Clinical Workforce and Operating Room Optimization, Hospital Equipment Reliability, Patient Services Facilitation, Revenue Cycle Management Optimization, Payment Integrity,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Generative AI</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Generative AI models have attracted significant attention in the last year due to capability improvements published by OpenAI, Google, Anthropic, Meta, Mistral, and others. These transformer-based models are proving valuable at parsing, understanding, and generating natural language, images, videos, and other forms of content. C3 AI is in a unique position to apply and augment these technologies to solve enterprise problems at scale.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Agentic AI Platform unifies omni-modal data — text, images telemetry, structured tables, etc. and offers all of the platform services necessary and sufficient for enterprise-class generative AI applications, including the services and pipelines to run, train, and host, and manage transformer AI models (or invoke externally managed models), and associated retriever models and other agents, tools, and pipelines.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Generative AI helps users orchestrate AI agents to retrieve data, analyze information, surface insights, and initiate workflows for demanding, high value enterprise use cases that require accurate and reliable performance. C3 AI provides over 60 Generative AI applications across industries, business, and enterprise systems.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is a unified knowledge source that enables enterprise users to rapidly locate, retrieve, and act on enterprise data and insights through an intuitive search and chat interface. By combining state-of-the-art foundational large language models (LLMs), deep learning retrieval models, and the C3 Agentic AI Platform, C3 Generative AI provides deep domain support for information retrieval and reasoning across disparate datasets to improve decision making.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is built to support demanding enterprise requirements. By separating the LLM from enterprise data and leveraging retriever models together with enterprise-class AI agents and tools, C3 Generative AI provides deterministic responses with full traceability to the exact source, supports granular enterprise access control requirements, minimizes the risk of hallucination, reduces the risk of LLM-caused information leakage, and supports multiple LLM/foundation models.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C3 Generative AI is available with all C3 AI Applications to transform the human-computer interaction model between an end user and the underlying data and insights.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also can use C3 Generative AI standalone, applied to their existing enterprise data sources, lakes, data warehouses, applications, and relevant external datasets. C3 Generative AI can be extended using the capabilities of the C3 Agentic AI Platform to meet complex enterprise requirements, allowing for the use of the natural language to perform tasks like invoking external APIs, running smaller AI/ML models, and initiating complex workflows.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C3 Generative AI is unique in the market, offering:</w:t>
      </w:r>
    </w:p>
    <w:p>
      <w:pPr>
        <w:spacing w:after="0" w:line="171" w:lineRule="exact"/>
        <w:rPr>
          <w:sz w:val="20"/>
          <w:szCs w:val="20"/>
          <w:color w:val="auto"/>
        </w:rPr>
      </w:pPr>
    </w:p>
    <w:p>
      <w:pPr>
        <w:ind w:left="660" w:hanging="328"/>
        <w:spacing w:after="0" w:line="282"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Omni-Modal Parsing, extracts high-quality content and metadata from wide array of unstructured formats — including presentations, spreadsheets, rich text, audio, and video — transforming them into a structured knowledge graph.</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Planning Agent with Multi-Agent Collaboration allows the C3 AI’s planning agent to perform multi-step reasoning across all data types, coordinate with other agents to solve complex tasks and workflows.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Agent and Tool Authoring streamlines developer experience, enables users to rapidly create or enhance agents by integrating new tools in minutes, without the need for system upgrades.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On-the-Fly Custom Visualizations generates context specific visualizations from natural language queries.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omni-modal data integration through a visual administrative interface, allowing queries across multiple sources such as Snowflake, Oracle, Databricks, and others, and documents in Amazon S3, Google Cloud, and others.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fine-tuned foundation models for more capable, accurate, and faster structured data queries.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support for questions and answers in over 130 languages.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configuration of LLMs and retrievers with no code, including automatic updates to related retrieval configurations, baseline prompts, and orchestration parameters.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support for querying images and data tables embedded in documents.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accuracy with automated topic modeling and extraction of metadata from data contained in documents.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all core product features in air-gapped environments.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orchestration for complex queries involving multiple LLMs and retrieval tools.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C3 Generative AI co-pilot LLM to accelerate the productivity of developers and data scientists on the C3 Agentic AI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extensibility to meet the unique requirement of the enterprise.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Lighthouse Customers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our market-entry strategy has been to establish high-value customer engagements with large global early adopters, or lighthouse customers, in Europe, Asia, and the United States across a range of industries. These lighthouse customers served as proof points for other potential customers in their particular industries. We have established intimate strategic relationships with our customers, including a number of large multinational corporations and government entities. We commonly enter into enterprise-wide agreements with entities that include multiple operating units or divisions. The core of this strategy has been to rapidly deliver high-value outcomes at large scale, across multiple industries, including financial services, manufacturing, defense, oil and gas, utilities, healthcare, and life sciences. We then use these use cases and outcomes to initiate discussions at numerous leading companies in each sector.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Consumption Pricing Model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we introduced a consumption-based pricing model to adapt to more challenging macro-economic conditions, and better meet the needs of customers. This has become common for enterprise software companies and is aligned with the models of some of our biggest partners, such as Google Cloud, Microsoft Azure, Amazon Web Services, or AWS, and Baker Hughes. With the consumption-based pricing model, customers either pay a monthly fee and consumption charges using vCPU and vGPU hours as the metric to calculate payment or enter into a time-certain multi-period commitment that may include consumption charges.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High-Value Outcomes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enabling the digital transformation of many of the world’s leading organizations and, in the process, helping them to attain short time-to-value and exceptionally high economic returns. At some companies, based on feedback and other information provided from our customers, we estimate our solutions have helped return billions of dollars in economic benefit.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Time to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to our market success and our primary competitive differentiator is our ability to leverage the C3 Agentic AI Platform and C3 AI Applications to bring high-value Enterprise AI applications into production use rapidly. We have deployed Enterprise AI applications into production use in as little as four weeks.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Sales Cycle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typical sales cycle begins with one or more product and technical presentations about C3 AI, leading to a mapping of our capabilities to customer use cases. After mapping our capabilities to customer use cases, we typically sign a paid initial production deployment agreement (formerly referred to as “Pilots”) for the C3 Agentic AI Platform, a C3 AI Application, and C3 AI Center of Excellence (COE) including support services that lasts up to six months. During that period, we work with the customer to deploy a production-level C3 AI Application. After completing a successful initial production deployment, our customers will commonly continue to license the C3 AI Application and the C3 Agentic AI Platform for a consumption-based fee or enter into a time-certain multi-period commitment that may include consumption charges. Over time, our customers typically expand usage by adding users, expanding their use of the initial application to another use cases, purchasing additional C3 AI Applications for a subscription fee and by developing their own AI applications on the C3 Agentic AI Platform, which increases consumption-based fees as usage scales. Additionally, C3 AI can continue to support our customers as needed with our software and COE support services.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Ecosystem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AI’s Enterprise AI expertise and technology combined with our partners’ deep domain expertise enhances our solutions to joint customers. In fiscal year 2025, we made significant progress establishing and extending productive partnerships. Our partner ecosystem is increasingly effective at opening new doors with new customers and expanding product offerings with existing customers. In fiscal year 2025, we closed 192 agreements with and through our partner network, which includes Microsoft Azure, AWS, Google Cloud, McKinsey &amp; Company, Baker Hughes, Booz Allen, and others.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C3 AI and Microsoft </w:t>
      </w:r>
      <w:r>
        <w:rPr>
          <w:rFonts w:ascii="Times New Roman" w:cs="Times New Roman" w:eastAsia="Times New Roman" w:hAnsi="Times New Roman"/>
          <w:sz w:val="18"/>
          <w:szCs w:val="18"/>
          <w:color w:val="auto"/>
        </w:rPr>
        <w:t>first partnered in 2018 to co-develop products and services for enterprise customers running on the Azure Infrastructure.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have collaborated to conduct co-marketing and co-selling strategies that rapidly scale distribution globally for their joint customers. For example, in the third quarter of fiscal year 2023, the companies collaborated to work with a global U.S. Energy company and a European technology company serving the construction and mining sectors and delivered a highly successful initial production deployment engagement to a large U.S. Defense Agency.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C3 AI and Microsoft Azure signed a new, multi-year global alliance agreement to accelerate growth in Enterprise AI. The renewed partnership deepens collaboration and joint investments across product innovation and integration, marketing and sales, and customer success initiatives, with a shared goal to accelerate the adoption of Enterprise AI on Azure across critical industries such as manufacturing, healthcare, energy, and defense.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and Microsoft have aligned their global sales teams and field organizations to streamline enterprise engagements and quickly expand adoption, with the ability to transact C3 AI orders under Microsoft’s terms. This alignment enables joint account planning, co-selling, and coordinated industry outreach. C3 AI products are now integrated into Microsoft’s commercial marketplace incentive programs, allowing Azure sellers to receive quota retirement and compensation when transacting C3 AI solutions. All C3 AI Applications are available in the Azure Marketplace.</w:t>
      </w:r>
    </w:p>
    <w:p>
      <w:pPr>
        <w:spacing w:after="0" w:line="1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C3 AI and AWS </w:t>
      </w:r>
      <w:r>
        <w:rPr>
          <w:rFonts w:ascii="Times New Roman" w:cs="Times New Roman" w:eastAsia="Times New Roman" w:hAnsi="Times New Roman"/>
          <w:sz w:val="18"/>
          <w:szCs w:val="18"/>
          <w:color w:val="auto"/>
        </w:rPr>
        <w:t>first partnered in 2016, and during the third quarter of fiscal year 2023, we expanded and renewed our go-to-market partnership.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fiscal year 2023, AWS funded C3 AI to enhance C3 Law Enforcement optimized for AWS, integrating Amazon OpenSearch and AWS ML services to enhance the speed and quality of analysis for state and local agencies using the application on 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C3 AI expanded its strategic collaboration agreement with AWS to deliver artificial intelligence solutions designed to solve customers’ critical business challenges across a variety of industries. In January 2025, C3 AI and AWS entered into a new multi-year strategic collaboration agreement with AWS to accelerate solution delivery and enhance go-to-market efforts.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C3 AI and Google Cloud </w:t>
      </w:r>
      <w:r>
        <w:rPr>
          <w:rFonts w:ascii="Times New Roman" w:cs="Times New Roman" w:eastAsia="Times New Roman" w:hAnsi="Times New Roman"/>
          <w:sz w:val="18"/>
          <w:szCs w:val="18"/>
          <w:color w:val="auto"/>
        </w:rPr>
        <w:t>initially partnered with C3 AI in 2021, and we expanded the partnership agreement in September 2022. The three-year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expands global joint selling activities and provides tighter integrations between C3 AI Applications and Google Cloud services. Under the terms of the partnership, the two companies are scaling their joint go-to-market strategy and expanding their joint customer initial production deployment programs with Fortune 2000 companies. Through this partnership, the team has identified a significant number of opportunities in the commercial and public sectors. All C3 AI Applications have been optimized to run in the Google Cloud Platform environment and are available in the Google Cloud Marketplace.</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C3 AI and McKinsey &amp; Company </w:t>
      </w:r>
      <w:r>
        <w:rPr>
          <w:rFonts w:ascii="Times New Roman" w:cs="Times New Roman" w:eastAsia="Times New Roman" w:hAnsi="Times New Roman"/>
          <w:sz w:val="18"/>
          <w:szCs w:val="18"/>
          <w:color w:val="auto"/>
        </w:rPr>
        <w:t>entered into a strategic collaboration agreement in January 2025 to accelerate Enterprise AI transformations at 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alliance combines the deep technical expertise of McKinsey’s AI practice, QuantumBlack, and its track record of deploying and scaling AI solutions across industries with C3 AI’s cutting-edge Enterprise AI software applications to help clients unlock the power of Enterprise AI and agentic AI to realize significant operational improvements and unlock new growth opportunities.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C3 AI and Booz Allen </w:t>
      </w:r>
      <w:r>
        <w:rPr>
          <w:rFonts w:ascii="Times New Roman" w:cs="Times New Roman" w:eastAsia="Times New Roman" w:hAnsi="Times New Roman"/>
          <w:sz w:val="18"/>
          <w:szCs w:val="18"/>
          <w:color w:val="auto"/>
        </w:rPr>
        <w:t>established a strategic partnership in fiscal year 2023 focused on providing strategic solutions into the government, defense,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sectors. C3 AI and Booz Allen are jointly going to market with the C3 Agentic AI Platform and suite of pre-built C3 AI Applications. Together the companies have trained employees on the C3 Agentic AI Platform and have closed multiple deals with the DoD’s Chief Digital and Artificial Intelligence Office and other organizations.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C3 AI and Baker Hughes</w:t>
      </w:r>
      <w:r>
        <w:rPr>
          <w:rFonts w:ascii="Times New Roman" w:cs="Times New Roman" w:eastAsia="Times New Roman" w:hAnsi="Times New Roman"/>
          <w:sz w:val="18"/>
          <w:szCs w:val="18"/>
          <w:color w:val="auto"/>
        </w:rPr>
        <w:t>, a leading oilfield industrial services, equipment, and digital services company, entered into a strategic collaboration in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to operate as the exclusive channel partner and reseller of C3 AI Software in the oil and gas industry and a non-exclusive reseller in other industries. As part of the original collaboration agreement, Baker Hughes made annual revenue commitments of $320 million over three years. The agreement was amended in June 2020 to extend the term of the agreement by two years and increase the revenue commitments to $450 million. The agreement was amended in October 2021 to extend the term of the agreement by one year and increase the total revenue commitments to $495 million. In January 2023, the companies substantially expanded their strategic partnership. The terms of this expansion resulted in an incremental C3 AI booking of $32.5 million, and the frequency of payments due from Baker Hughes was accelerated over the remaining term of the agreement. C3 AI agreed to provide additional products and services to Baker Hughes. The expanded agreement also provides Baker Hughes with a number of options to extend the term of the collaboration agreement beyond the initial five years.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companies renewed and expanded their strategic partnership through a multi-year agreement, reinforcing their joint commitment to delivering enterprise-scale AI solutions across the energy sector. This collaboration focuses on deepening co-selling efforts, co-investment in AI solutions, and scaling deployments of joint solutions that are proven to improve production efficiency, reduce downtime, and increase operational visibility across assets in the world’s largest oil and gas companies.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partnership with Baker Hughes, joint selling, and the credibility it has brought us in the market, C3 AI has closed several deals in the oil and gas and chemical industry, including LyondellBasell, Shell, ExxonMobil, Petronas, ENI, Aramco, LNG, ADNOC, PTTGC, Yokogawa, Braskem, and others.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C3 AI and Fractal </w:t>
      </w:r>
      <w:r>
        <w:rPr>
          <w:rFonts w:ascii="Times New Roman" w:cs="Times New Roman" w:eastAsia="Times New Roman" w:hAnsi="Times New Roman"/>
          <w:sz w:val="18"/>
          <w:szCs w:val="18"/>
          <w:color w:val="auto"/>
        </w:rPr>
        <w:t>first partnered in 2019, through the now-acquired Neal Analytics, and during the second quarter of fiscal year 2023, we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our services and go-to-market partnership. The companies have collaborated to support customer service engagements, co-marketing campaigns, and co-selling activities. Fractal has committed to building a C3 AI practice deployment of C3 AI–trained engineers and data scientists. The companies have already collaborated on several successful customer engagements including implementing advanced metering infrastructure (AMI) at a Fortune 500 Utilities provider. In April 2025, C3 AI and Fractal expanded their agreement, continuing work with customers to implement, extend, and scale C3 AI solutions.</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C3 AI and Paradyme </w:t>
      </w:r>
      <w:r>
        <w:rPr>
          <w:rFonts w:ascii="Times New Roman" w:cs="Times New Roman" w:eastAsia="Times New Roman" w:hAnsi="Times New Roman"/>
          <w:sz w:val="18"/>
          <w:szCs w:val="18"/>
          <w:color w:val="auto"/>
        </w:rPr>
        <w:t>first partnered in 2021, expanding the partnership during the third quarter of fiscal year 2024, and again in early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have collaborated to accelerate the delivery of AI applications for the U.S. Intelligence Community. The new agreements continue to expand the number of dedicated Paradyme staff to accelerate joint selling and delivery efforts.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C3 AI and Capgemini </w:t>
      </w:r>
      <w:r>
        <w:rPr>
          <w:rFonts w:ascii="Times New Roman" w:cs="Times New Roman" w:eastAsia="Times New Roman" w:hAnsi="Times New Roman"/>
          <w:sz w:val="18"/>
          <w:szCs w:val="18"/>
          <w:color w:val="auto"/>
        </w:rPr>
        <w:t>extended their partnership in November 2024 to advance Enterprise AI for business transformation. Capgemini will establish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global C3 AI practice to deliver scalable, rapid Enterprise AI solutions for joint clients across industries.</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C3 AI and PwC </w:t>
      </w:r>
      <w:r>
        <w:rPr>
          <w:rFonts w:ascii="Times New Roman" w:cs="Times New Roman" w:eastAsia="Times New Roman" w:hAnsi="Times New Roman"/>
          <w:sz w:val="18"/>
          <w:szCs w:val="18"/>
          <w:color w:val="auto"/>
        </w:rPr>
        <w:t>entered into a strategic alliance in March 2025 to deploy AI-powered business transformation at enterprise-scale across industries.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alliance brings together PwC’s consulting and implementation capabilities with C3 AI’s prebuilt AI applications to help organizations in sectors like manufacturing, energy, and financial services rapidly deploy AI solutions.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C3 AI and Cognizant </w:t>
      </w:r>
      <w:r>
        <w:rPr>
          <w:rFonts w:ascii="Times New Roman" w:cs="Times New Roman" w:eastAsia="Times New Roman" w:hAnsi="Times New Roman"/>
          <w:sz w:val="18"/>
          <w:szCs w:val="18"/>
          <w:color w:val="auto"/>
        </w:rPr>
        <w:t>entered into a strategic alliance in April 2025 to deploy and scale Enterprise AI across industries, with an initial focus on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Model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organization is organized both geographically and in vertical market sales units that cooperate to sell to and service customers. We have a highly leveraged go-to-market model comprised of a global field sales force combined with significant alliance partnerships. Each of our strategic partners — including Microsoft, AWS, Google Cloud, McKinsey &amp; Company, and Baker Hughes — has a large installed customer base with strong, established relationships, and a large global sales force that vastly extends our market coverage. We form specific sales targets and goals with each partner, enabling us to quickly and efficiently engage in customer accounts.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Early on, we focused on the oil and gas, federal, aerospace and defense, energy and utilities, manufacturing, and financial services sectors, as those industries were early adopters in Enterprise AI. We have since expanded into state and local governments, agriculture, food processing and consumer packaged goods, professional services, telecommunications, and hospitals and healthcare and are seeing increased industry diversity in our sales pipeline and initial production deployment engagements. Our goal is to rapidly move down-market in the coming years to serve the small and medium business segments of each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software subscription and professional services revenue. The substantial majority of our revenue is generated from subscriptions to our software.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subscription revenue is primarily comprised of software licenses, software-as-a-service offerings, stand-ready COE support services, initial production deployments of our C3 AI Applications or Generative AI, and runtime and hosting fees. Licensing of our software grants our customers the right to use our software, either on their own cloud instance or their internal hardware infrastructure, over the contractual term. We offer a premium stand-ready service through our COE. Sales of our software-as-a-service offerings include a right to use our software over the contractual term. Customers pay a usage-based runtime fee for our C3 AI Software for specified levels of capacity. Our subscriptions also include our maintenance and support services, which include critical and continuous updates to the software that are integral to maintaining the intended utility of the software over the contractual term. We also provide software licenses that do not require maintenance and support services, for which revenue is recognized when the control of the software is transferred to the customer.</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subscription revenue, we include revenue from contracts with customers that are based on our consumption-based pricing model. This model typically begins with a paid “Initial Production Deployment” phase of generally up-to six months that may include developer access to the C3 Agentic AI Platform, one or more C3 AI Applications or C3 Generative AI and COE support services with typically unlimited runtime. Following the initial production deployment period, customers either pay a monthly fee and consumption charges using vCPU and vGPU hours as the metric to calculate payment or enter into a time-certain multi-period commitment that may include consumption charges. We also charge the customer any hosting fees incurred by us for hosting in our own cloud instance.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professional services primarily include prioritized engineering services, paid implementation services, consulting and training. We maintain a professional services organization that offers resources, methodologies, and experience to help customers develop and deploy enterprise-scale AI applications. Our services are complemented by those of our partners. Our professional services strategy is to quickly train our customers to develop, customize, and deploy applications independently of us, rapidly making them self-sufficient.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Prioritized engineering services are undertaken at the request of customers to accelerate the development of software features in C3 AI Software products.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C3 AI consulting and implementation services help ensure successful customer outcomes throughout the application development and deployment phases, including setup and configuration, ML model development and tuning, and integration of multiple complex source systems.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where a large or continuing professional services presence may be desired or necessary, we generally rely upon our partner ecosystem to provide those services. This enables us to maintain high gross margins and allows us the flexibility to rapidly deploy trained professional services personnel at large scale any place on the planet.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multichannel marketing function is focused on market education, thought leadership, account-based marketing, and demand generation. We engage the market through digital, print, and social media, virtual and physical events, including C3 Transform, our annual international user, executive, and AI thought leadership conference, and other livestreamed events featuring C3 AI customers, C3 AI partners, and C3 AI experts in AI, ML, and data science. Our Chief Executive Officer, Tom Siebel — a recognized technology thought leader and author of the 2019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best seller, </w:t>
      </w: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Transformation: Survive and Thrive in an Era of Mass Extinction </w:t>
      </w:r>
      <w:r>
        <w:rPr>
          <w:rFonts w:ascii="Times New Roman" w:cs="Times New Roman" w:eastAsia="Times New Roman" w:hAnsi="Times New Roman"/>
          <w:sz w:val="18"/>
          <w:szCs w:val="18"/>
          <w:color w:val="auto"/>
        </w:rPr>
        <w:t>— is a frequent industry keynote speaker and is often interviewed by leading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The Wall Street Journal, The Financial Times, The Economist, Fortune, Forbes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CNBC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BloombergTV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Yahoo! Finance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 Human Capital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strongest asset is unquestionably the human capital that we have been able to attract, retain, and motivate. We have won the Glassdoor Best Place to Work award, were named a Battery Ventures/Glassdoor Highest-Rated Cloud Companies to Work For. We attract exceptionally talented, highly educated, experienced, motivated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built a culture of high performance based on four core values:</w:t>
      </w:r>
    </w:p>
    <w:p>
      <w:pPr>
        <w:spacing w:after="0" w:line="169" w:lineRule="exact"/>
        <w:rPr>
          <w:sz w:val="20"/>
          <w:szCs w:val="20"/>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and Innovation Propelling Growth. </w:t>
      </w:r>
      <w:r>
        <w:rPr>
          <w:rFonts w:ascii="Times New Roman" w:cs="Times New Roman" w:eastAsia="Times New Roman" w:hAnsi="Times New Roman"/>
          <w:sz w:val="18"/>
          <w:szCs w:val="18"/>
          <w:color w:val="auto"/>
        </w:rPr>
        <w:t>We self-select for people who love to work hard, think with rigor, speak with purpose, and act to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things.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Curiosity to Solve the Impossible. </w:t>
      </w:r>
      <w:r>
        <w:rPr>
          <w:rFonts w:ascii="Times New Roman" w:cs="Times New Roman" w:eastAsia="Times New Roman" w:hAnsi="Times New Roman"/>
          <w:sz w:val="18"/>
          <w:szCs w:val="18"/>
          <w:color w:val="auto"/>
        </w:rPr>
        <w:t>We are self-learners, always seeking knowledge to accelerate innovation.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Integrity Governing All Endeavors. </w:t>
      </w:r>
      <w:r>
        <w:rPr>
          <w:rFonts w:ascii="Times New Roman" w:cs="Times New Roman" w:eastAsia="Times New Roman" w:hAnsi="Times New Roman"/>
          <w:sz w:val="18"/>
          <w:szCs w:val="18"/>
          <w:color w:val="auto"/>
        </w:rPr>
        <w:t>We comport ourselves with unwavering ethical integrity, respect, and courtesy.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Collective Intelligence. </w:t>
      </w:r>
      <w:r>
        <w:rPr>
          <w:rFonts w:ascii="Times New Roman" w:cs="Times New Roman" w:eastAsia="Times New Roman" w:hAnsi="Times New Roman"/>
          <w:sz w:val="18"/>
          <w:szCs w:val="18"/>
          <w:color w:val="auto"/>
        </w:rPr>
        <w:t>We believe the unity of our team is substantially greater than the sum of its parts.</w:t>
      </w:r>
    </w:p>
    <w:p>
      <w:pPr>
        <w:spacing w:after="0" w:line="173" w:lineRule="exact"/>
        <w:rPr>
          <w:sz w:val="20"/>
          <w:szCs w:val="20"/>
          <w:color w:val="auto"/>
        </w:rPr>
      </w:pPr>
    </w:p>
    <w:p>
      <w:pPr>
        <w:ind w:right="1780"/>
        <w:spacing w:after="0" w:line="438" w:lineRule="auto"/>
        <w:rPr>
          <w:sz w:val="20"/>
          <w:szCs w:val="20"/>
          <w:color w:val="auto"/>
        </w:rPr>
      </w:pPr>
      <w:r>
        <w:rPr>
          <w:rFonts w:ascii="Times New Roman" w:cs="Times New Roman" w:eastAsia="Times New Roman" w:hAnsi="Times New Roman"/>
          <w:sz w:val="18"/>
          <w:szCs w:val="18"/>
          <w:color w:val="auto"/>
        </w:rPr>
        <w:t xml:space="preserve">As of April 30, 2025, we had 1,181 full-time employees, with 933 based in the United States and 248 in our international locations. </w:t>
      </w:r>
      <w:r>
        <w:rPr>
          <w:rFonts w:ascii="Times New Roman" w:cs="Times New Roman" w:eastAsia="Times New Roman" w:hAnsi="Times New Roman"/>
          <w:sz w:val="18"/>
          <w:szCs w:val="18"/>
          <w:b w:val="1"/>
          <w:bCs w:val="1"/>
          <w:color w:val="auto"/>
        </w:rPr>
        <w:t>Our Culture of High Performance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dedicated to achieving our mission to accelerate digital transformation of organizations globally by enabling the deployment of Enterprise AI at scale. Our people are domain experts in their respective fields. We are individuals with exceptional education and professional backgrounds. We are uncompromising in the quality of our work product. We build relationships with our customers grounded upon the highest levels of business ethics and professionalism, with a laser focus on customer success. We execute with precision.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Enterprise AI Industry Leadership</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believe we are broadly recognized as a leader in Enterprise AI with many other industry recognitions, including Fortune 50 AI Innovators (2023), CNBC Disruptor 50 (2020, 2019, 2018), BloombergNEF Pioneer (2020), Forbes Cloud 100 (2020, 2019, 2018, 2017), The Financial Times’ The Americas’ Fastest Growing Companies (2025, 2024, 2023, 2022, 2021), Deloitte Technology Fast 500 (2019), and EY Entrepreneur of the Year (2018, 2017) and have been named to the Constellation ShortList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Cloud-Based Data Science &amp; Machine Learning Platforms (2025), the Constellation ShortList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Cloud-Based Data Science &amp; Machine Learning Platforms (2024), Constellation ShortList™ for Artificial Intelligence &amp; Machine Learning Cloud Platforms (2024, 2023, 2022, 2020), Constellation ShortList™ for Artificial Intelligence &amp; Machine Learning best-of-Breed Platforms (2024), a Leader in the Forrester Wave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AI/ML Platforms (Q3 2024 and Q3 2022), and Forrester Wave: Industrial IoT Software Platforms (2019, 2018), and IDC MarketScape: Solutions for Industrial Platforms and Applications in Energy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customers have been recognized for their leadership in innovation across multiple industries: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Georgia-Pacific was named the overall winner in the IDC’s Future Enterprise Best in Future of Operations North America Awards (2023) for its enterprise AI program to improve reliability for its manufacturing operations. Using C3 AI Reliability, the paper product producer and manufacturer can predict a failure, hours, days, or even weeks before it happens, avoiding unplanned downtime and significant impacts to revenue and customer order delivery.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was named the winner in the category of Operational Risk Management in the Verdantix 2023 EHS Innovation Excellence Awards Americas for harnessing AI and machine learning to resolve complex problems, resulting in improved safety, asset reliability, production and cost management.</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Hughes was named a winner in the Constellation Research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Annual SuperNova Awards (2023) in the category of ESG &amp; Sustainability for its work using AI to develop a more efficient, strategic ESG stakeholder materiality assessment process. Using C3 AI ESG, the company was able to design an intelligent ESG assessment process and used the resulting AI analyses to advise the development of a sustainability strategy geared towards catalyzing opportunity and buffering risk by focusing on the areas that matter. These insights help the team transition time spent from manually monitoring reams of data sources to driving strategic initiatives that improve ESG performance.</w:t>
      </w:r>
    </w:p>
    <w:p>
      <w:pPr>
        <w:spacing w:after="0" w:line="14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 Mateo County Sheriff’s Office was named a winner in the IDC Government Insights’ sixth annual Smart Cities North America Awards (2023) in the category of data-driven policing for implementing C3 Law Enforcement for analytics-powered public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 Edison’s work with C3 AI was recognized in the IDC Future Enterprise Best in Future of Intelligence North America Awards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Air Force’s use of the C3 AI Readiness solution as a platform of choice was recognized in the Constellation SuperNova Awards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Competitive Advantage: C3 AI Model-Driven Architecture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core technology is a cohesive family of integrated software services developed over a decade, engineered with a proprietary model-driven architecture, that provides all the software services and microservices necessary and sufficient to rapidly develop and deploy Enterprise AI applications.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applications developed with the C3 Agentic AI Platform can leverage any open-source software solutions and all of the cloud services of AWS, Microsoft Azure, Google Cloud, and can operate on any of these cloud platforms, on-premises, or in a hybrid cloud.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the structured programming approach that most organizations typically attempt, our model-driven architecture with declarative programming accelerates development by a factor of 26, while reducing the amount of code that must be written by up to 99%.</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big data and application demands of enterprise-scale AI applications require numerous underlying interdependent elements. These include enterprise data, extraprise data, sensor data, data persistence services, data streaming services, messaging services, analytics services, ML services, security services, data visualization, application development services, application monitoring services, and scores to hundreds more. With a traditional structured programming approach, developers spend significant time and effort to write extensive code to define, manage, connect, and control each element. This often results in overwhelming complexity and highly brittle applications that can break any time an underlying element is changed or updated — we believe this is a primary reason why the vast majority of AI efforts have not been deployed into production at enterprise scale.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contrast, our model-driven architecture provides an abstraction layer, that allows our partners and our customers, as well as our internal C3 AI developers, to build or customize Enterprise AI applications by using conceptual models of all the elements an application requires. C3 AI provides a library of tens of thousands of prebuilt conceptual models that can be easily modified and extended, and developers can efficiently create their own models as well. These prebuilt, extensible models encompass a vast range of business objects (e.g., customer, order, contract), physical systems and subsystems (e.g., engine, boiler, chiller, compressor), computing resources and services (e.g., database, stream processing) — virtually anything an application requires can be represented as a model in our model-driven architecture. To ensure ongoing operability of our thousands of prebuilt and extensible models on different underlying infrastructure (e.g., AWS, Google Cloud, Microsoft Azure), our automated testing continuously executes approximately 60,000 tests and security scans with each change or update we make to our software or infrastructure.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Leveraging this model-driven architecture, application developers and data scientists can focus on delivering immediate value, without the need to manage the complex interdependencies of the underlying elements. These conceptual models can be reused by many applications, thereby accelerating development of new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model-driven architecture and declarative programming approach provides significant competitive advantage both by enabling our customers and partners to successfully develop and deploy Enterprise AI applications faster, and by providing the foundation for C3 AI to rapidly extend our portfolio of cross-industry and industry-specific applications.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Competitive IP Advantage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enjoy a rich patent portfolio that is a substantial competitive advantage, both offensive and defensive, in the Enterprise AI market - most notably, U.S. patents (No. 10,817,530, No. 10,824,634 and No. 11,954,112) which were granted for systems and methods for data processing and enterprise AI applications. C3 AI was also awarded a foundational U.S. patent (US 12,111,859) for generative AI agents. Key patented technologies include AI Orchestrator, Autonomy, Multimodal Model Integration, Natural Language Summarization, and Traceability and Security.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portfolio covers the key capabilities of our model-driven architecture that are the foundation of our highly differentiated technology. This includes methods, systems, and devices for data aggregation and unification, times-series data processing, data abstraction, ML implementation, generative AI and much more.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2025, our technology is protected by a broad patent portfolio, with 35 issued patents in the United States, 30 issued counterpart patents in a number of international jurisdictions, over 60 patent applications pending in the United States, and 104 patent applications pending internationally. Our issued patents expire beginning in 2033 through 2043. We continually review our development efforts to assess the existence and patentability of new intellectual property.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Intellectual property is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However, we believe that factors such as the technological and creative skills of our personnel, creation of new services, features and functionality, and frequent enhancements to our platform are more essential to establishing and maintaining our technology leadership position. See the section titled “Risk Factors - Risks Related to Our Intellectual Property” in Part I, Item 1A in this Annual Report on Form 10-K for a discussion of the risks associated with our intellectual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C3 AI Model-Driven Architecture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last four decades, the information technology industry has grown from about $120 billion globally in 1980 to almost $8.0 trillion today. During this time, the IT industry has transitioned from mainframe computing to handheld computing. The software industry has transitioned from custom applications based on mainframe standards to applications developed on a relational database foundation, to enterprise application software, to SaaS and mobile apps, and now to the AI-enabled enterprise.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challenges that must be addressed to enable today’s Enterprise AI applications are nontrivial, as are the array of capabilities and services necessary for building and operating these applications at scale. To develop an effective Enterprise AI application, it is necessary to ingest and aggregate data from a variety of enterprise information systems, sensors, markets, and products to provide a complete view of the enterprise. In addition, the data need to be processed at the rate they arrive, in a highly secure and resilient system that addresses persistence, event processing, ML, and visualization. This requires a massive, horizontally scalable elastic distributed processing capability offered only by modern cloud platforms and supercomputer systems. The resultant data persistence requirements are staggering.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understand this challenge, consider just a few of the requirements needed to support Enterprise AI applications: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w:t>
      </w:r>
      <w:r>
        <w:rPr>
          <w:rFonts w:ascii="Times New Roman" w:cs="Times New Roman" w:eastAsia="Times New Roman" w:hAnsi="Times New Roman"/>
          <w:sz w:val="18"/>
          <w:szCs w:val="18"/>
          <w:color w:val="auto"/>
        </w:rPr>
        <w:t>. A prerequisite to AI at industrial scale is the availability of a unified, federated image of all the data contained in the multitude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 internal data, including enterprise information systems (e.g., ERP, CRM, SCADA, HR, MRP) and sensor IoT networks; and (2) external data, including weather, terrain, satellite imagery, social media, trade data, biometrics, pricing, and market data.</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Persistence</w:t>
      </w:r>
      <w:r>
        <w:rPr>
          <w:rFonts w:ascii="Times New Roman" w:cs="Times New Roman" w:eastAsia="Times New Roman" w:hAnsi="Times New Roman"/>
          <w:sz w:val="18"/>
          <w:szCs w:val="18"/>
          <w:color w:val="auto"/>
        </w:rPr>
        <w:t>. The data aggregated and processed includes every type of structured and unstructured data imaginable,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images, text, video, telemetry, voice, and network topologies. As there is no one size fits all database optimized for all these data types, there is a need for a multiple database technologies.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 Services</w:t>
      </w:r>
      <w:r>
        <w:rPr>
          <w:rFonts w:ascii="Times New Roman" w:cs="Times New Roman" w:eastAsia="Times New Roman" w:hAnsi="Times New Roman"/>
          <w:sz w:val="18"/>
          <w:szCs w:val="18"/>
          <w:color w:val="auto"/>
        </w:rPr>
        <w:t>. A myriad of sophisticated platform services are necessary for any Enterprise AI or IoT application. Examples include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data encryption in motion, encryption at rest, ETL, queuing, pipeline management, autoscaling, multitenancy, authentication, authorization, cybersecurity, time-series services, normalization, data privacy, GDPR privacy compliance, NERC-CIP compliance, and SOC2 compliance.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Analytics Processing</w:t>
      </w:r>
      <w:r>
        <w:rPr>
          <w:rFonts w:ascii="Times New Roman" w:cs="Times New Roman" w:eastAsia="Times New Roman" w:hAnsi="Times New Roman"/>
          <w:sz w:val="18"/>
          <w:szCs w:val="18"/>
          <w:color w:val="auto"/>
        </w:rPr>
        <w:t>. The volumes and velocity of data acquisition in such systems are blinding and the types of data and analytics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divergent, requiring a range of analytics processing services. These include continuous analytics processing, MapReduce, batch processing, stream processing, and recursive processing.</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Machine Learning Services</w:t>
      </w:r>
      <w:r>
        <w:rPr>
          <w:rFonts w:ascii="Times New Roman" w:cs="Times New Roman" w:eastAsia="Times New Roman" w:hAnsi="Times New Roman"/>
          <w:sz w:val="18"/>
          <w:szCs w:val="18"/>
          <w:color w:val="auto"/>
        </w:rPr>
        <w:t>. The whole point of these systems is to enable data scientists to develop and deploy ML models. There is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necessary to enable that, including Jupyter Notebooks, R Studio, Azure ML, Amazon Sagemaker, and Google Vertex AI. Increasingly important is an extensible curation of ML libraries such as PyTorch, TensorFlow, Keras, Hugging Face transformers, and XGBoost. An effective AI and IoT platform needs to support them all.</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Visualization Tools</w:t>
      </w:r>
      <w:r>
        <w:rPr>
          <w:rFonts w:ascii="Times New Roman" w:cs="Times New Roman" w:eastAsia="Times New Roman" w:hAnsi="Times New Roman"/>
          <w:sz w:val="18"/>
          <w:szCs w:val="18"/>
          <w:color w:val="auto"/>
        </w:rPr>
        <w:t>. Any viable AI architecture needs to enable a rich and varied set of data visualization tools including Microsoft Power 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Google Data Studio, Looker, Tableau, and others.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Developer Tools and UI Frameworks</w:t>
      </w:r>
      <w:r>
        <w:rPr>
          <w:rFonts w:ascii="Times New Roman" w:cs="Times New Roman" w:eastAsia="Times New Roman" w:hAnsi="Times New Roman"/>
          <w:sz w:val="18"/>
          <w:szCs w:val="18"/>
          <w:color w:val="auto"/>
        </w:rPr>
        <w:t>. An organization’s IT development and data science teams each have adopted and become comfortable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set of application development frameworks and user interface development tools. An AI and IoT platform must support all of these tools — including Visual Studio, Jupyter Lab, JetBrains IDEs, React, Angular, and VueJS — or it will be rejected as unusable by the IT development teams.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Open, Extensible, Future-Proof. </w:t>
      </w:r>
      <w:r>
        <w:rPr>
          <w:rFonts w:ascii="Times New Roman" w:cs="Times New Roman" w:eastAsia="Times New Roman" w:hAnsi="Times New Roman"/>
          <w:sz w:val="18"/>
          <w:szCs w:val="18"/>
          <w:color w:val="auto"/>
        </w:rPr>
        <w:t>The current pace of software and algorithm innovation is accelerating. An AI and IoT platform architecture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capability to replace any components with next-generation improvements; in the era of generative AI, that means the constant stream of newly released and ever-more-powerful LLMs. Moreover, the platform must enable the incorporation of any new open source or proprietary software innovations without adversely affecting the functionality or performance of an organization’s existing applications. This is a level-zero requirement.</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Agentic AI Platform — built with model-driven architecture — has been refined, tested, and proven in some of the most demanding industries and production environments from electric utilities and manufacturing to oil and gas and defense, comprising petabyte-scale datasets from thousands of vastly disparate source systems, massive volumes of high-frequency time series data from millions of devices, and hundreds of thousands of ML models.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Awash in “AI Platforms”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Today the market is awash in AI solutions that provide component parts to design, develop, provision, and operate Enterprise AI applications, including Cassandra, Cloudera, DataStax, AWS IoT, and Hadoop. AWS, Microsoft Azure, and Google Cloud each offer an elastic cloud computing platform and an increasingly innovative library of microservices that can be used for data aggregation, ETL, queuing, data streaming, MapReduce, continuous analytics processing, ML services, and data visualization. An array of open source software offerings cater to data management, machine learning services, and analytics. While these products are useful, we believe that none offers the scope of utility necessary and sufficient to rapidly design, develop and deploy Enterprise AI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It Yourself” Enterprise AI?</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innovation cycles follow a typical pattern. Early in the cycle, companies often take a do-it-yourself approach and try building the new technology themselves. Just as happened with the introduction of ERP and CRM software in prior innovation cycles, the initial reaction of many IT organizations is to try to internally develop a general-purpose Enterprise AI and IoT platform, using open source software with a combination of microservices from cloud providers like AWS and Google Cloud.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starts by taking some subset of myriad proprietary and open source solutions and organizing them into a platform architecture. The next step is to assemble hundreds to thousands of programmers, frequently distributed around the world, using structured programming and application programming interfaces, or APIs, to attempt to stitch these various programs, data sources, sensors, ML models, development tools, and user interface paradigms together into a unified, functional, seamless whole that will enable the organization to excel at designing, developing, provisioning, and deploying numerous enterprise scale AI and IoT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complexity of such a system is much greater than developing a CRM or ERP system. There are a number of problems with this approach:</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Complexity</w:t>
      </w:r>
      <w:r>
        <w:rPr>
          <w:rFonts w:ascii="Times New Roman" w:cs="Times New Roman" w:eastAsia="Times New Roman" w:hAnsi="Times New Roman"/>
          <w:sz w:val="18"/>
          <w:szCs w:val="18"/>
          <w:color w:val="auto"/>
        </w:rPr>
        <w:t>. Using structured programming, the number of software API connections that one needs to establish, harden, test, and verify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system can, in our estimation, approach the order of 1013. The developers of the system need to individually and collectively grasp that level of complexity to get it to work. We believe the number of programmers capable of dealing with that level of complexity is quite small.</w:t>
      </w:r>
    </w:p>
    <w:p>
      <w:pPr>
        <w:spacing w:after="0" w:line="12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Aside from the platform developers, the application developers and data scientists also need to understand the complexity of the architecture and all the underlying data and process dependencies in order to develop any application.</w:t>
      </w:r>
    </w:p>
    <w:p>
      <w:pPr>
        <w:spacing w:after="0" w:line="10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Brittleness</w:t>
      </w:r>
      <w:r>
        <w:rPr>
          <w:rFonts w:ascii="Times New Roman" w:cs="Times New Roman" w:eastAsia="Times New Roman" w:hAnsi="Times New Roman"/>
          <w:sz w:val="18"/>
          <w:szCs w:val="18"/>
          <w:color w:val="auto"/>
        </w:rPr>
        <w:t>. Spaghetti-code applications of this nature are highly dependent upon each and every component working properly. If one developer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bug into any one of the open source components, all applications developed with that platform may cease to function.</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Future Proof. </w:t>
      </w:r>
      <w:r>
        <w:rPr>
          <w:rFonts w:ascii="Times New Roman" w:cs="Times New Roman" w:eastAsia="Times New Roman" w:hAnsi="Times New Roman"/>
          <w:sz w:val="18"/>
          <w:szCs w:val="18"/>
          <w:color w:val="auto"/>
        </w:rPr>
        <w:t>As new libraries, faster databases, and new ML techniques become available, those new utilities need to be available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Consequently, every application that was built on the platform will likely need to be reprogrammed in order to function correctly. This may take months to years.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w:t>
      </w:r>
      <w:r>
        <w:rPr>
          <w:rFonts w:ascii="Times New Roman" w:cs="Times New Roman" w:eastAsia="Times New Roman" w:hAnsi="Times New Roman"/>
          <w:sz w:val="18"/>
          <w:szCs w:val="18"/>
          <w:color w:val="auto"/>
        </w:rPr>
        <w:t>. An integrated, federated common object data model is absolutely necessary for this application domain. Using this type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programming, API-driven architecture may require hundreds of person-years to develop an integrated data model for any large corporation. This is the primary reason why tens to hundreds of millions of dollars are spent, and several years later, no applications are deployed. The Fortune 500 is littered with such disaster stories.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C3 Agentic AI Platform: Model-Driven Architecture</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notion of a model-driven architecture was developed at the beginning of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in response to the growing complexity of enterprise application development requirements. Although structured programming remains the state of the art for many applications today, it breaks down with the complexity and scale required for modern Enterprise AI and IoT applications, resulting in a Gordian knot. Model-driven architecture provides the knife to cut the Gordian knot of structured programming for highly complex problems. The C3 Agentic AI Platform is designed and built with a model-driven architecture.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Central to a model-driven architecture is the concept of a “model” that serves as an abstraction layer to simplify the programming problem. Using models, the programmer or application developer does not have to be concerned with all the data types, data interconnections, and processes that act on the data associated with any given entity, e.g., customer, tractor, doctor, or fuel type. He or she simply needs to address the model for any given entity, e.g., customer, and all the underlying data, data interrelationships, pointers, APIs, associations, connections, and processes associated with or used to manipulate those data are abstracted in the model itself.</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Using the C3 Agentic AI Platform and its model-driven architecture, virtually anything can be represented as a model - even, for example, applications, including databases, natural language processing engines, and image recognition systems. Models also support a concept called inheritance. An AI application built with the C3 Agentic AI Platform might include a model called relational database, that in turn serves as a placeholder that might incorporate any relational database system like Oracle, Postgres, Aurora, Spanner, or SQL Server. A key-value store model might contain Cassandra, HBase, Cosmos DB, or DynamoDB.</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Agentic AI Platform and its application components deliver rich, workflow-enabled AI solutions built on a robust application platform featuring advanced data fusion, governance, and scalable AI/ML operations. Unlike legacy stacks that bolt on AI capabilities, the C3 Agentic AI Platform has been purpose-built and refined over 15 years to rapidly develop and deploy enterprise-grade AI applications. We leverage the full AI technology stack— including silicon, cloud infrastructure services, and foundation models—to ensure performance and flexibility.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Reduces Complexity, Simplifies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its model-driven architecture, the C3 Agentic AI Platform provides an abstraction layer and semantics to represent the application. This frees the programmer from having to worry about data mapping, API syntax, and the mechanics of myriad computational processes including ETL, queuing, pipeline management, and encryption.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optimal design for an object model to address Enterprise AI and IoT applications uses abstract models as placeholders to which a programmer can link an appropriate application. The relational database model might link to Postgres. A report writer model might link to MicroStrategy. A data visualization model might link to Tableau. And so on. A powerful feature of a model-driven architecture is that as new open source or proprietary solutions become available, the object model library can simply be extended to incorporate that new feature.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important capability of the C3 Agentic AI Platform enabled by its model-driven architecture is that the applications developed on the platform are future-proofed: due to the modular nature of the model-driven architecture, new, upgraded, or enhanced services can be easily integrated with the C3 Agentic AI Platform. This enables organizations to immediately and easily take advantage of new and improved product offerings as they become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Independence: Multi-Cloud and Polyglot Cloud Deployment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Enterprises today often have a multi-cloud strategy. While corporate leaders are eagerly embracing the cloud, they are also very concerned about cloud vendor lock-in. They want to be able to continually negotiate. They want to deploy different applications in clouds from different vendors, and they want to be free to move applications from one cloud vendor to another.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Multi-cloud deployment is therefore an additional requirement of a modern model-driven software platform that is fully supported by the C3 Agentic AI Platform. Applications developed with the C3 Agentic AI Platform can run without modification on any cloud and on bare metal behind the firewall in a hybrid cloud environment.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requirement for the new AI technology stack — that the C3 Agentic AI Platform delivers — is polyglot cloud deployment capability: the ability to mix various services from multiple cloud providers and to easily swap and replace those services. The cloud vendors provide the market a great service by enabling instant access to virtually unlimited horizontally scalable computing capacity and effectively infinite storage capacity at exceptionally low cost. As the cloud vendors aggressively compete with one another on price, the cost of cloud computing and storage is consistently decreasing.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Agentic AI Platform: A Tested, Proven, and Patented AI Suite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model-driven approach to developing Enterprise AI applications using the C3 Agentic AI Platform has been tested and proven in dozens of large-scale, real-world deployments at some of the world’s largest organizations.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provides a powerful platform enabling these and other leading organizations to develop and operate Enterprise AI applications at scale, with a fraction of the effort and resources required by other approaches. Applications built with the C3 Agentic AI Platform are flexible, easily upgraded, and can be ported across different cloud platforms with little or no modification, providing a solution that future-proofs customers’ investment in Enterprise AI and IoT application development.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C3 AI was the first to file and receive a core patent for Agentic AI and its orchestration in enterprise applications. Our platform supports high-accuracy, omni-model agentic capabilities for retrieval, reasoning, and decision-making. A key innovation is our Dynamic Planning Agent, which enables multi-step data retrieval, reasoning, visualization, and the execution of actions across diverse data types. This agentic orchestration is powered by C3 AI’s metadata-based Object Models, which provide semantic understanding of enterprise data. Once data are integrated into C3 AI Objects, customers can utilize pre-built agents and tools to interact with the data, reason over it, and take informed action, or they can integrate their own agents and tools within our framework.</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platform is LLM-agnostic and seamlessly supports both commercial and open-source large language models (LLMs), offering customers the flexibility to choose models that best meet their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IT organizations that attempt to develop internal solutions for their enterprises;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open-source software providers with data management, ML, and analytics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competition is largely do-it-yourself, custom-developed, company-specific AI platforms and applications developed by internal IT organizations. Such efforts usually involve the integration of internally developed tools, open source solutions, and point solutions offered by independent software vendors, and/or components offered in the AWS, Microsoft Azure, or Google Cloud platforms. Frequently these efforts will be managed as professional service projects by organizations like Accenture or Lockheed Martin. These tend to be very costly and time-consuming software engineering projects, often fail, and, if at all successful, usually require many years to realize economic return. Most of our customers have tried and failed at one or more such bespoke development efforts, sometimes at great expense, before turning to C3 AI for their AI solution.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unaware of any end-to-end Enterprise AI development platforms that are directly competitive with the C3 Agentic AI Platform. The commercial product offerings that were formerly positioned as functionally equivalent to C3 AI were GE Predix and IBM Watson, both multibillion-dollar software engineering efforts backed by massive promotional campaigns; we no longer encounter them in competitive situations.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investing in the expansion of our direct enterprise sales and service organization both geographically and across vertical markets to expand the use of C3 AI solutions within existing customers and establish new customer relationships.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consumption-based pricing model helps us better meet the needs of our customers by making it easier and less costly to adopt our products and services. With the consumption-based pricing model, customers start with initial production deployments which are subscription for developers access to the C3 Agentic AI Platform and/or C3 AI Application or C3 Generative AI and COE support services of up to six-months. After completing a successful initial production deployment, our customers may continue to license the C3 AI Application and the C3 Agentic AI Platform for a consumption-based fee or enter into a time-certain multi-period commitment that may include consumption charges.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Agentic AI Platform for in-house AI application development.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focusing on certain markets and verticals that provide us substantial growth opportunities and demand for our products, such as the federal, defense and aerospace industry and the state and local industry.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release of the C3 Generative AI solutions in March 2023 is receiving considerable interest, and is a key part of our growth strategy. We closed 13 agreements for C3 Generative AI in the fourth quarter of fiscal year 2024 with large enterprises, and are working through a substantial pipeline of C3 Generative AI opportunities. The C3 AI generative application is available on both AWS Marketplace and the Google Cloud Marketplace.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invest heavily in research and development to maintain technology leadership. Our product roadmap includes a wide range of new functions and products to be released in the coming years that we expect to contribute to revenue growth with both new and existing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Evolution of C3 AI</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Like many of the world’s leading technology companies, C3 AI has changed and expanded its branding and product portfolios to achieve market leadership.</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of 2009, we founded C3, Inc with the purpose of developing and marketing a software platform and family of software products that would enable companies to exploit the power of elastic cloud computing, big data, IoT, and predictive analytics.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When we founded C3 AI, we believed the market for elastic cloud computing, IoT, big data, and predictive analytics software was destined to be large. That proved true. However, in 2009 the market was nascent, and the specific applications and markets were unknown. Based on Forrester’s report on the Public Cloud Market Outlook, in 2008, the global public cloud market was less than $20 billion; in 2023, it was expected to approach $500 billion. In 2008, there were less than 1 billion IoT devices worldwide;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2023, that number was expected to exceed 55 billion based on the IDC report published in 2023. In 2008, AI software - as we think about it today - did not exist. This year the AI software market is expected to exceed $450 billion based on the IDC report. We believe that by any standard that constitutes explosive growth.</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When we consider mega-market developments like the internet, the smartphone, and AI, it is impossible to anticipate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xml:space="preserve"> exactly how these markets will develop. With the advent of the Mosaic internet browser in 1993, who could have anticipated Amazon and Google? With the founding of Apple Computer Company in 1976, who could have anticipated the iPhone? The Apple Store? Apple TV? iTunes? These mega-markets develop in unanticipated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9" w:lineRule="exact"/>
        <w:rPr>
          <w:sz w:val="20"/>
          <w:szCs w:val="20"/>
          <w:color w:val="auto"/>
        </w:rPr>
      </w:pPr>
    </w:p>
    <w:p>
      <w:pPr>
        <w:ind w:left="5540" w:right="5060" w:hanging="5532"/>
        <w:spacing w:after="0" w:line="495" w:lineRule="auto"/>
        <w:tabs>
          <w:tab w:leader="none" w:pos="117"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https://www.statista.com/statistics/764026/number-of-iot-devices-in-use-worldwide/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Enterprise AI is a mega-market event. As this market has developed, C3 AI has done a fine job of continually expanding its market offerings and continually expanding its market position to address the ever-expanding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2009 - 2012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founded C3 in January of 2009 and developed some of the core components of what is now the C3 AI Platform within the first year. There was much discussion and interest in the 2008 – 2011 timeframe about what we now consider sustainability initiatives, including clean tech, energy management, LEED certification, and cap and trade vs. carbon offsets; and as a result, we decided to focus our first use case on energy management. That proved to be a good decision.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2010 we released our first product, C3 Energy Management.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2010 – 2012, we closed several large agreements with a large global industrial company, one of the world’s largest chemical companies, two large utilities, and one of the world’s largest high-tech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Energy: 2013-2015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C3 engaged McKinsey &amp; Co. to conduct a study and make recommendations for maximizing growth including optimal company positioning and an associated pricing and product strategy. In the first two decades of the 21st century, utility companies were in the process of spending $2 trillion globally to upgrade their grid infrastructures with IoT devices, enabling the advent of the smart grid. Utilities were early adopters of IoT.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McKinsey analysis recommended that there was a significant opportunity for C3 to expand its business by applying its energy management and energy efficiency solutions to utilities at grid scale in addition to selling to enterprises.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Adopting the McKinsey recommendations, C3 expanded its market position, rebranded as C3 Energy, and in addition to its prior solutions, C3 Energy offered a family of predictive analytics solutions - which were reliant on emerging AI techniques including machine learning, supervised learning, and unsupervised learning. Built to address the utility value chains of power generation, transmission, distribution, and consumption, these solutions optimize the operation of large and complex power grid infrastructures. The C3 Energy utility software products expanded to include C3 AMI Operations, C3 Revenue Protection, C3 Predictive Analytics, C3 Revenue Production, and C3 Reliability.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customers also licensed our core C3 Platform that they could use to develop their own predictive analytics application and/or to develop derivative works of the C3 Energy applications.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was during this period that the company formed its data science division to develop and apply AI techniques to our applications including machine learning, predictive analytics, supervised learning, and unsupervised learning.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this period, the company began to offer its products to the oil and gas industry including its AI Predictive Maintenance application for oil pumps, offshore oil rigs, LNG production facilities, etc. The company continued to offer its products for energy management and energy efficiency to utility companies based on per customer pricing and to enterprises based on expected value pricing.</w:t>
      </w:r>
    </w:p>
    <w:p>
      <w:pPr>
        <w:spacing w:after="0" w:line="1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expansion into energy markets proved successful as the company booked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approximately $83 million in contracts and recognized $63.9 million in revenue during this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IoT: 2016 – 2018</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2016, we were seeing significant expansion in the cloud computing market and the proliferation of IoT sensors was expanding dramatically across many industries. We were increasingly approached by manufacturing companies, financial services companies, oil and gas companies, and the U.S. Department of Defense to deploy the same types of AI applications that we had successfully deployed in enterprises and utilities including AI Predictive Maintenance, AI Fraud Detection, AI Inventory Optimization, and C3 Energy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7"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that time, the common expression for these types of applications was “IoT,” and we appropriately rebranded the company as C3 IoT to communicate to the market that we were again expanding our market offerings from primarily one vertical market (energy) to a broadening range of markets.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this increased demand, the company tailored its core applications to meet the needs of those industries. As such, in addition to the C3 Platform, we offered market-specific versions of all our applications including AI Predictive Maintenance, AI Inventory Optimization, and AI Energy Management for the utility, oil and gas, defense, and financial services industries. In addition, the company introduced the concept of 4-to-16-week product trials as part of the sales process.</w:t>
      </w:r>
    </w:p>
    <w:p>
      <w:pPr>
        <w:spacing w:after="0" w:line="1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market and product line expansion again proved successful as the company booked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approximately $203 million in contracts and recognized $120.4 million in revenue from 2016 – 2018.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2019 – Present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market for cloud computing, big data, IoT, and predictive analytics continued to expand, the market perception of IoT - as expressed in the literature, technical conferences, the academy, and in customer expectations - changed. While IoT had previously been considered at the confluence of sensor devices and AI applications, it was clear that IoT was becoming a concept increasingly centered on the devices - the IoT sensors themselves - with the AI applications considered a separate category. As this developed, the C3 IoT brand became confusing to the market, as many customers had the impression that the company was primarily in the business of manufacturing IoT sensors and devices.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eliminate this market confusion, we rebranded the company C3 AI, clearly communicating that we were in the computer software business.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products and services that the company offered since its inception, C3 AI again expanded its product offerings that now include over 165 AI production applications for the utility, oil &amp; gas, state and local governments, financial services, manufacturing, health, and communications industries, and U.S. defense and intelligence sectors. Across industries, we introduced a number of AI application products that serve all vertical markets including C3 AI Ex Machina to address the needs of the growing citizen data science market, C3 AI CRM, C3 AI Data Vision, C3 AI ESG, and C3 Generative AI.</w:t>
      </w:r>
    </w:p>
    <w:p>
      <w:pPr>
        <w:spacing w:after="0" w:line="1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Again, this market expansion proved successful, enabling C3 AI to book</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over $1.8 billion in additional contracts and recognize $1.7 billion in revenue from 2019 – 2025.</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C3 AI was well ahead of its time in predicting the scale of the opportunity in enterprise AI applications. We began when the market was nascent, and as the market has developed and expanded, we have expanded our branding and our market offerings to meet market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Relations: C3.ai Digital Transformation Institute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Established in February 2020, the C3.ai Digital Transformation Institute, or C3.ai DTI, is a research consortium dedicated to accelerating the benefits of AI for business, government, and society. The goal of C3.ai DTI is to develop the field of Digital Transformation Science by leveraging laboratory and research facilities at UC Berkeley, UIUC, and consortium institutions. C3.ai DTI forms dynamic teams of the world's best researchers to interact with faculty and students to advance AI techniques for industrial, commercial, and public sector applications.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consumer and data protection, and taxes, could have a material impact on our business in subsequent periods. For more information on the potential impacts of government regulations affecting our business, see the section titled “Risk Factors” contained in Part I, Item 1A of this Annual Report on Form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located at www.c3.ai, and our investor relations website is located at ir.c3.ai. We file electronically with the SEC our annual reports on Form 10-K, quarterly reports on Form 10-Q, current reports on Form 8-K, and amendments to those reports filed or furnished pursuant to Section 13(a) or 15(d) of the Exchange Act. We make available on our investor relations website, free of charge, copies of these reports and other information as soon as reasonably practicable after we electronically file such material with, or furnish it to, the SEC. These filings with the SEC are also available on the SEC’s website located at www.sec.gov.</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announce material information to the public through a variety of means, including filings with the SEC, press releases, public conference calls, our website (c3.ai), the investor relations section of our website (ir.c3.ai), X (formerly Twitter) (@C3_AI), and LinkedIn (@C3-AI-Enterprise-AI) accounts.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Further, corporate governance information, including our corporate governance guidelines, code of business conduct and ethics, and committee charters, is also available on our investor relations website.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content of or accessible through our websites or our social media channels are not incorporated by reference into this Annual Report on Form 10-K or in any other report or document we file with the SEC, and any references to our websites or social media channels are inactive textual references only.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the section titled “Item 7. Management’s Discussion and Analysis of Financial Condition and Results of Operations” and our consolidated financial statements and related notes.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C3 AI Software (which includes our C3 Agentic AI Platform, C3 AI Applications and C3 Generative AI), reputation, brand, financial condition, results of operations, and prospects. In such event, the market price of our Class A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anticipate our operating expenses will continue to increase in the future, and we may not be able to achieve or maintain profitability in the future.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net losses in each period since our founding in 2009. We generated net losses of approximately $288.7 million, $279.7 million, and $268.8 million for the fiscal years ended April 30, 2025, 2024, and 2023 respectively. As a result, we had an accumulated deficit of $1.4 billion as of April 30, 2025. We expect to continue to incur net losses for the foreseeable future. These losses and accumulated deficit reflect the substantial investments we made to acquire new customers, commercialize our C3 AI Software, and continue to develop our C3 AI Software. While we have experienced revenue growth in recent periods, we do not know whether or when we will generate sufficient revenue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C3 AI Software and business, including:</w:t>
      </w:r>
    </w:p>
    <w:p>
      <w:pPr>
        <w:spacing w:after="0" w:line="351" w:lineRule="exact"/>
        <w:rPr>
          <w:sz w:val="20"/>
          <w:szCs w:val="20"/>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research and development team and in the development of new features and enhancements of our C3 AI Software, including the hiring of additional development staff, and fees paid to third parties for related enhancements;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sales, marketing, and services, including expanding our sales force and our customer service team, increasing our customer base, increasing market awareness of our C3 AI Software, and development of new technologies;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operations and infrastructure;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employees.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also face increased compliance costs associated with growth, the expansion of our customer base, and being a public company. Our efforts to grow our business may be costlier than we expect, our revenue growth may be slower than we expect, and we may not be able to increase our revenue enough to offset our increased operating expenses. We may incur significant losses in the future for a number of reasons, such as the other risks described herein, unforeseen expenses, difficulties, complications or delays, and other unknown events. If we are unable to achieve and sustain profitability, the value of our business and Class A common stock may significantly decrease.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in future periods, our revenue growth may be adversely impacted due to a number of factors, including a reduction in demand for our C3 AI Software, reduction in consumption of our C3 AI Software, increased competition, contraction of our overall market, our inability to accurately forecast demand for our C3 AI Software,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will be harmed.</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C3 AI Software. In addition, our average total subscription contract value is decreasing, and we expect it to continue to decrease as we expand our customer base beyond a small number of large customers to a larger number of smaller customers.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generally have no obligation to renew, upgrade, or expand their subscriptions with us after the terms of their existing subscriptions expire. In addition, our customers may opt to decrease their usage of our C3 AI Software.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C3 AI Software, or if our customers otherwise seek to renegotiate terms of their existing agreements on terms less favorable to us, our business and results of operations would be adversely affected and our revenue and remaining performance obligations could decline. This adverse impact would be even more pronounced for customers that represent a material portion of our revenue or business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on our existing customers purchasing additional subscriptions from us and renewing their existing subscriptions.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C3 AI Software. Although demand for data management, ML, analytics, and AI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to attract and effectively train new sales and marketing personnel, to develop or expand relationships with partners and resellers, to successfully innovate and deploy new applications and other solutions, to provide a quality customer experience and customer support, or to ensure the effectiveness of our marketing programs. If we are not able to attract new customers, it will have an adverse effect on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future success depends on our ability to sell additional subscriptions for our C3 AI Software to our existing customers, and our customers renewing their subscriptions when the contract term expires. Our customers generally have no contractual obligation to renew, upgrade, or expand their subscriptions after the terms of their existing subscriptions expire. Similarly, after completing an initial production deployment, customers do not have an obligation to continue to license our products, and we may not be able to convert initial production deployment customers into customers purchasing ongoing subscriptions or continue with a monthly consumption-based fee. In addition, our customers may opt to decrease their usage of our C3 AI Software. Given our limited experience with customer renewals of our AI products and services, we may not be able to accurately predict customer renewal rates. Our customers’ renewal and expansion commitments may decline or fluctuate as a result of a number of factors, including, but not limited to, their satisfaction with our C3 AI Software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In order for us to maintain or improve our results of operations, it is important that our customers renew or expand their subscriptions with us. If our customers do not purchase additional subscriptions, increase their usage of our software, or renew their subscriptions with us, our business, financial condition, and results of operations may be harmed.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historical experience with supporting or selling to smaller, non-enterprise customers. We intend to grow our customer base and further contribute to our overall growth by introducing product offerings with a lower entry price point. However, by broadening our customer base to include smaller or mid-size customers, we will be faced with risks that may not be present or that are present to a lesser extent with respect to sales to large organizations. Because of our limited experience in supporting or selling to smaller, non-enterprise customers, we may be unsuccessful in our efforts to get future smaller customers to renew or expand their subscriptions to our offerings. If such customers do not renew their agreements or renew on less favorable terms or for less usage, our revenue may grow more slowly than expected or decline, and our business, financial condition, and results of operations may be harmed.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Achieving renewal or expansion of usage and subscriptions may require us to engage increasingly in sophisticated and costly sales and support efforts that may not result in additional sales. In addition, the rate at which our customers expand the deployment of our C3 AI Software depends on a number of factors. If our efforts to expand our relationships with our customers are not successful, our business, financial condition, and results of operations may be harmed.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for the foreseeable future to derive substantially all of our revenue from subscriptions to our C3 AI Software and Center of Excellence support services. As such, the market acceptance of Enterprise AI solutions in general, and our C3 AI Software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Demand for our C3 AI Software in particular is affected by a number of other factors, some of which are beyond our control. These factors include continued market acceptance of our C3 AI Software, the pace at which existing customers realize benefits from the use of our C3 AI Software and decide to expand deployment of our C3 AI Software across their business, the timing of development and release of new products by our competitors, technological change, reliability and security, the pace at which enterprises undergo digital transformation, and developments in data privacy regulations. We expect that the needs of our customers will continue to rapidly change and increase in complexity. We will need to improve the functionality and performance of our C3 AI Software continually to meet those rapidly changing, complex demands. If we are unable to continue to meet customer demands or to achieve more widespread market acceptance of Enterprise AI solutions in general or our C3 AI Software in particular, our business operations, financial results, and growth prospects will be materially and adversely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C3 AI Software or develop and introduce new and unproven applications, including technologies with which we have little or no prior development or operating experience. These new applications and updates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C3 AI Software,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required to compensate or reimburse third parties in connection with certain sales of our current C3 AI Software as part of our partner relationships. New applications, features and functionality that we introduce in the future or new partner relationships may increase the amount of compensation or reimbursement we pay to third parties. Any future requirement or increase in the rate that we compensate or reimburse third parties would lower our profit margins and harm our business.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our products is intensely competitive and characterized by rapid changes in technology, customer requirements, and industry standards, and frequent new platform and application introductions and improvements. We anticipate continued competitive challenges from current competitors who address different aspects of our offerings.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30" w:lineRule="exact"/>
        <w:rPr>
          <w:sz w:val="20"/>
          <w:szCs w:val="20"/>
          <w:color w:val="auto"/>
        </w:rPr>
      </w:pPr>
    </w:p>
    <w:p>
      <w:pPr>
        <w:ind w:left="660" w:hanging="328"/>
        <w:spacing w:after="0" w:line="207" w:lineRule="exact"/>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IT organizations that develop internal solutions and provide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 for their enterprises;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source software providers with data management, ML, and analytics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existing competitors have, and some of our potential competitors could have, substantial competitive advantages such as:</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longer operating histories, and larger customer bases;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 and the capacity to leverage their sales efforts and marketing expenditures across a broader portfolio of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otherwise more established relationships with technology, channel, and distribution partners and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wider geographic presence or greater access to larger customer bases;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focus in specific geographies or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research and development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 to provide support, make acquisitions, hire talent, and develop and introduce new products.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C3 AI Software,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C3 AI Software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spacing w:after="0" w:line="94"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Moreover, new innovative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companies, and larger companies that are making significant investments in research and development, may introduce products that have greater performance or functionality, are easier to implement or use, or incorporate technological advances that we have not yet developed or implemented, or may invent similar or superior technologies that compete with ours. Our current and potential competitors may also establish cooperative relationships among themselves or with third parties that may further enhance their resources.</w:t>
      </w:r>
    </w:p>
    <w:p>
      <w:pPr>
        <w:spacing w:after="0" w:line="146"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 software firms and consequently customers’ willingness to purchase from such firms.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particularly with respect to large subscriptions, and our sales efforts require considerable time and expense.</w:t>
      </w:r>
    </w:p>
    <w:p>
      <w:pPr>
        <w:spacing w:after="0" w:line="6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results of operations may fluctuate, in part, because of the complexity of customer problems that our C3 AI Software address, the resource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nature of our sales efforts, the length and variability of the sales cycle for our C3 AI Software, and the difficulty in making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adjustments to our operating expenses. The timing of our sales is difficult to predict. The length of our sales cycle can vary substantially from customer to customer and can extend over a number of years for some customers. Our sales efforts involve educating our customers about the use, technical capabilities, and benefits of our C3 AI Software. Customers often undertake a prolonged evaluation process, which frequently involves not only our C3 AI Software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C3 AI Software.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C3 AI Software widely enough across their organization to justify our substantial upfront investment. As a result, it is difficult to predict exactly when, or even if, we will make a sale to a potential customer or if we can increase sales to our existing customers.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sales have historically and may in the future represent a large proportion of our overall sales during any given period, which impacts our ability to plan and manage cash flows and margins. These large individual sales have, in some cases, occurred in quarters or years subsequent to those we anticipated, or have not occurred at all. If our sales cycle lengthens or our substantial upfront investments do not result in sufficient revenue to justify our investments, our operating results could be adversely affected. In addition, within each quarter or year, it is difficult to project when a deal will close. Therefore, it is difficult to determine whether we are achieving our quarterly or annual expectations until near the end of the applicable quarter or year. Most of our expenses are relatively fixed or require time to adjust. Therefore, if expectations for our business are not accurate, we may not be able to adjust our cost structure on a timely basis, and our margins and cash flows may differ from expectations.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revenue metrics such as net dollar-based retention rate or annual recurring revenue may not be accurate indicators of our future financial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subscription-based software companies often report on metrics such as net dollar-based revenue retention rate, annual recurring revenue or other revenue metrics, and investors and analysts sometimes look to these metrics as indicators of business activity in a period for businesses such as ours. However, due to our dependence on a small number of high-value customer contracts, these metrics are not accurate indicators of future revenue for any given period of time because the gain or loss of even a single high-value customer contract could cause significant volatility in these metrics. If investors and analysts view our business through these metrics, the trading price of our Class A common stock may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operating results.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Our competitors may also introduce new products that compete with ours or reduce their prices, or we may be unable to attract new customers or retain existing customers based on our historical subscription and pricing models. As a result, we may be required to reduce our prices, offer shorter contract durations or offer alternative pricing models, any of which could adversely affect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subscriptions for our C3 AI Software. In the past, we have been able to increase our prices for our C3 AI Software, but we may choose not to introduce or be unsuccessful in implementing future price increases or changes in our pricing models. In the second quarter of fiscal year 2023, we announced a change to our go-to-market strategy. This change includes a way for new customers to utilize our products at a smaller initial contract size and pay for services based on their monthly consumption of vCPU hours, rather than payment pursuant to a purely subscription-based payment option. Unlike customers utilizing our subscription-based option, in which revenue is recognized ratably over the term of the subscription, for customers utilizing our new consumption-based payment option, we will recognize revenue on consumption. Because such customers will have flexibility in the timing of their consumption, we do not have the same visibility into the timing of revenue recognition for such customers that we have with our subscription-based customers. There is a risk that customers using the consumption-based option will consume our platform more slowly than we expect, and our actual results may differ from our forecasts. This risk may increase as more customers move to the consumption-based model. Further, investors and securities analysts may not understand how our consumption-based option differs from our subscription-based option, or the intersection of our consumption-based option and our subscription-based option. If our results of operations fall below the expectations of investors and securities analysts who follow our stock, the price of our Class A common stock could decline substantially, and we could face costly lawsuits, including securities class actions.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our limited experience with our current pricing models, we may not be able to accurately predict customer renewal or retention rates. As a result, we may be required or choose to reduce our prices or change our pricing model, which could harm our business, results of operations,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 strategic collaboration with Baker Hughes whereby Baker Hughes operates as the exclusive channel partner and reseller of our C3 AI Software in the oil and gas industry and a non-exclusive reseller in other industries. This arrangement was most recently revised in January 2023 and again in April 30, 2025. Baker Hughes is no longer C3 AI’s exclusive reseller. We also have strategic relationships with AWS, FIS, Google Cloud, Microsoft, and Raytheon.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C3 AI Software. We cannot be certain that we will be able to negotiate commercially attractive terms with any strategic partner, if at all. In addition, all channel partners must be trained to distribute our C3 AI Software.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growth and results of operations. We cannot be certain that these partners will prioritize or provide adequate resources to selling our C3 AI Software.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C3 AI Software,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C3 AI Software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C3 AI Software or increased revenue to 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C3 AI Software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C3 AI Software, a reduction of revenue, or fines or civil or criminal liability if the audit uncovers improper or illegal activities.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our C3 AI Software fails to grow as we expect, or if businesses fail to adopt our C3 AI Software, our business, operating results, and financial condition could be adversely affected.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C3 AI Software, the entry of competitive platforms, or the future growth rate and size of the cloud-based software and software-as-a-service business software markets. A substantial majority of our revenue has come from sales of our subscription-based software products, which we expect to continue for the foreseeable future. Although demand for data management, ML, and analytics platforms and applications has grown in recent years, the market for these platforms and applications continues to evolve. We cannot be sure that this market will continue to grow or, even if it does grow, that businesses will adopt our C3 AI Software.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C3 AI Software, as well as customers’ willingness to adopt a different approach to data analysis. We have spent, and intend to keep spending, considerable resources to educate potential customers about digital transformation, AI, and ML in general and our C3 AI Software in particular. However, we cannot be sure that these expenditures will help our C3 AI Software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C3 AI Software, our business, operating results, and financial condition could be adversely affected.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extend our C3 AI Software, or develop new features and functionality, our ability to remain competitive could be impaired.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C3 AI Software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ML,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C3 AI Software or any new applications depends on several factors, including timely completion, competitive pricing, adequate quality testing, integration with existing technologies, and overall market acceptance.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grow our customer base and generate revenue from customers will depend heavily on our ability to enhance and improve our C3 AI Software, to develop additional functionality and use cases, introduce new features and applications and interoperate across an increasing range of devices, operating systems, and third-party applications. Our customers may require features and capabilities that our current C3 AI Software does not have or may face use cases that our current C3 AI Software does not address. We invest significantly in research and development, and our goal is to focus our spending on measures that improve quality and ease of adoption and create organic customer demand for our C3 AI Software. When we develop a new enhancement or improvement to our C3 AI Software, we typically incur expenses and expend resources upfront to develop, market and promote the new enhancement and improvement. Therefore, when we develop and introduce new enhancements and improvements to our C3 AI Software, they must achieve high levels of market acceptance in order to justify the amount of our investment in developing and bringing them to market. There is no assurance that our enhancements to our C3 AI Software or our new application experiences, functionality, use cases, features, or capabilities will be compelling to our customers or gain market acceptance. If our research and development investments do not accurately anticipate customer demand, or if we fail to develop our C3 AI Software in a manner that satisfies customer preferences in a secure, timely and cost-effective manner, we may fail to retain our existing customers or increase demand for our C3 AI Software.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even if we introduce new capabilities in our C3 AI Software, we may experience a decline in revenue from sales of our existing C3 AI Software that is not offset by revenue from the new C3 AI Software capabilities and applications. For example, customers may delay ordering subscriptions of new C3 AI Software capabilities or applications to permit them to make a more thorough evaluation of the C3 AI Software or until industry and marketplace reviews become widely available. Some customers may hesitate to migrate to new C3 AI Software due to concerns regarding the complexity of migration and suite or application infancy issues on performance. In addition, we may lose existing customers who choose a competitor’s AI platforms and applications rather than migrate to our new C3 AI Software capabilities and applications. This could result in a temporary or permanent revenue shortfall and adversely affect our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of our C3 AI Software to operate effectively with future infrastructure platforms and technologies could reduce the demand for our C3 AI Software. If we are unable to respond to these changes in a timely and cost-effective manner, our C3 AI Software may become less marketable, less competitive, or obsolete, and our business may be adversely affected.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introduction of new AI platforms and applications by competitors or the development of entirely new technologies to replace existing offerings could make our C3 AI Software obsolete or adversely affect our business, results of operations, and financial condition. We may experience difficulties with software development, design, or marketing that could delay or prevent our development, introduction, or implementation of new C3 AI Software experiences, features, or capabilities. We have in the past experienced delays in our internally planned release dates of new features and capabilities, and there can be no assurance that new C3 AI Software features or capabilities will be released according to schedule. Any delays could result in adverse publicity, loss of revenue or market acceptance, or claims by customers brought against us, all of which could harm our business. Moreover, new productivity features for our C3 AI Software may require substantial investment, and we have no assurance that such investments will be successful. If customers do not widely adopt our new C3 AI Software features and capabilities, we may not be able to realize a return on our investment. If we are unable to develop, license, or acquire new features and capabilities to our C3 AI Software on a timely and cost-effective basis, or if such enhancements do not achieve market acceptance, our business could be harmed.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CEO or other members of our senior management team, we may not be able to execute our business strategy.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and CEO, Thomas M. Siebel, is critical to our overall management, sales strategy, culture, strategic direction, engineering, and operations. In addition, Mr. Siebel is a recognized leader in information technology and is critical to the continued development of our C3 AI Software. On February 18, 2025, Mr. Siebel informed the Company that he had contracted an autoimmune disease and was experiencing significant vision impairment. In that communication, Mr. Siebel also stated that this health setback was not impacting his ability to manage the business in a hands-on manner, and that Jim H. Snabe, a member of our Board of Directors, had assumed the interim role of Special Advisor to the CEO to assist where and as needed. In addition, all of our executive officers are at-will employees, and we do not maintain any key person life insurance policies. The loss of any member of our senior management team could make it more difficult to execute our business strategy and, therefore, harm our business.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C3 AI Software.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expand our customer base and achieve broader market acceptance of our C3 AI Software depends to a significant extent on our ability to continue to expand our marketing and sales operations and the ultimate effectiveness of those operations. We plan to continue expanding our sales force and strategic partners, both domestically and internationally.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Our C3 AI Software is complicated and, as such, our sales force and operations require significant time and investment for proper recruitment, onboarding, and training in order for our sales operations to be productive. In addition, as we enter into new markets, expand the capabilities of our C3 AI Software and offer new C3 AI Software, we may need to identify and recruit additional sales and marketing efforts specific to such strategic expansion. Our efforts to do so may be increasingly resource intensive, time consuming, and ultimately unsuccessful. We also dedicate significant resources to sales and marketing programs, including internet and other online advertising. As more customers take advantage of our consumption-based pricing options, once a new customer begins using our C3 AI Software, our sales team will need to continue to focus on expanding consumption with that customer. All of these efforts require us to invest significant financial and other resources. In addition, the cost to acquire customers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business would be adversely affected if our marketing and sales efforts are not successful and generate increases in revenue that are smaller than anticipated. If our marketing and sales efforts are not effective, our sales and revenue may grow more slowly than expected or materially decline, and our business may be significantly harmed.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and financial condition may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developing, maintaining, and enhancing awareness and integrity of our brand and reputation in a cost-effective manner are important to achieving widespread acceptance of our C3 AI Software and are important elements in attracting new customers and maintaining existing customers. We believe that the importance of our brand and reputation will increase as competition in our market further intensifies. Successful promotion of our brand depends on the effectiveness of our marketing efforts, our ability to provide a reliable and useful C3 AI Software at competitive prices, the perceived value of our C3 AI Software, our ability to maintain our customers’ trust, our ability to continue to develop additional functionality and use cases and our ability to differentiate our C3 AI Software and capabilities from competitive offerings. Brand promotion activities may not yield increased revenue, and even if they do, the increased revenue may not offset the expenses we incur in building and maintaining our brand and reputation. We also rely on our customer base in a variety of ways, including to give us feedback on our C3 AI Software. If we fail to promote and maintain our brand successfully or to maintain loyalty among our customers, or if we incur substantial expenses in an unsuccessful attempt to promote and maintain our brand,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C3 AI Software and increased risk of losing market share to our competitors. Any efforts to restore the value of our brand and rebuild our reputation may be costly and may not be 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founding in 2009, we have experienced rapid growth. The growth and expansion of our business places a continuous and significant strain on our management, operational, and financial resources. Further growth of our operations to support our customer base, our expanding third-party relationships, our information technology systems, and our internal controls and procedures may not be adequate to support our operations. Managing our growth will also require significant expenditures and allocation of valuable management resources, including the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C3 AI Software interoperates with a variety of software applications that are developed by others, including our partners, we may become less competitive and our business may be harmed.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C3 AI Software must integrate with a variety of hardware and software platforms, and we need to continuously modify and enhance our C3 AI Software to adapt to changes in hardware and software technologies. In particular, we have developed our C3 AI Software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platform and application developers;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C3 AI Software.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C3 AI Software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C3 AI Software with their products or services, or exert strong business influence on our ability to, and terms on which we, operate our C3 AI Software. Should any of our competitors modify their products or standards in a manner that degrades the functionality of our C3 AI Software or gives preferential treatment to our competitors or competitive products, whether to enhance their competitive position or for any other reason, the interoperability of our C3 AI Software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C3 AI Software could be harmed by real or perceived material defects or errors in our C3 AI Software.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technology underlying our C3 AI Software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C3 AI Software and new applications will not contain defects or errors. Any real or perceived errors, failures, vulnerabilities, or bugs in our C3 AI Software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company culture could harm our business and prevent us from executing our business strategy.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ML,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 We completed our initial public offering in December 2020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company culture.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many of our employees may be able to receive significant proceeds from sales of our equity in the public markets, which may reduce their motivation to continue to work for us. Moreover, the proceeds from our recent initial public offering could create disparities in wealth among our employees, which may harm our culture and relations among employees and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attract new personnel or to retain our current personnel, our business would be harmed.</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results and key metrics are likely to fluctuate significantly and may not fully reflect the underlying performance of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annual and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year or quarter should not be relied upon as an indication of future performance. Our results of operations and key metrics may fluctuate as a result of a variety of factors, many of which are outside of our control, and as a result, may not fully reflect the underlying performance of our business. Fluctuation in our annual or quarterly results may negatively impact the value of our securities. Factors that may cause fluctuations in our annual or quarterly results of operations and key metrics include, without limitation, the risk factors listed elsewhere in this section and the factors listed below:</w:t>
      </w:r>
    </w:p>
    <w:p>
      <w:pPr>
        <w:spacing w:after="0" w:line="135" w:lineRule="exact"/>
        <w:rPr>
          <w:sz w:val="20"/>
          <w:szCs w:val="20"/>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 from new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number of partners and distribution of our C3 AI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C3 AI Software;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 as well as increase sales to a larger number of smaller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 and seasonal purchasing or consumption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platforms, applications, features, and functionality by us or our competitors;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of security or privacy by us or our suppliers and business partners, and the costs associated with remediating any such failures or breaches;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applicable changes in accounting standards or management assumptions, estimates or judgments on complex accounting matters;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and geopolitical instability;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metrics and certain other operational data in this report are subject to assumptions and limitations and may not provide an accurate indication of our future or expected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metrics and other operational data may involve judgment and therefore may not reflect our actual performance, and investors should consider these metrics in light of the assumptions used in calculating such metrics and limitations as a result thereof. Our methodologies for tracking these metrics may change over time, which could result in unexpected changes to our metrics, including the metrics we report. In addition, investors should not place undue reliance on these metrics as an indicator of our future or expected results. Moreover, these metrics may differ from similarly titled metrics presented by other companies and may not be comparable to such other metrics. We regularly review and may adjust our processes for calculating our metrics to improve their accuracy. If our metrics are not accurate representations of our business;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recognize revenue from subscriptions to our C3 AI Software over the terms of such subscriptions. Consequently, increases or decreases in new sales may not be immediately reflected in our results of operations and may be difficult to discern.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recognize revenue from subscriptions to our C3 AI Software over the terms of these subscriptions. As a result, a portion of the revenue we report in each year and each quarter is derived from the recognition of deferred revenue relating to subscriptions entered into during prior periods. Consequently, a decline in new or renewed subscriptions in any single year or quarter may only have a small impact on the revenue that we recognize for that period. However, such a decline will negatively affect our revenue in future periods.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subscription sales in any period, as revenue from new customers or from existing customers that increase their use of our C3 AI Software must be recognized over the applicable subscription term. These risks are further exacerbated by our dependence on high-value customer contracts.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maintenance and support services for our customers may harm our relationships with our customers and, consequently,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Once our C3 AI Software is deployed, our customers depend on our maintenance and support teams to resolve technical and operational issues and provide critical updates relating to our C3 AI Software. Our ability to provide effective customer maintenance and support is largely dependent on our ability to attract, train, and retain qualified personnel with experience in supporting customers with software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We also may be unable to modify the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If we are unable to provide efficient customer maintenance and support globally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uncertainties have had, and could continue to have, an adverse impact on our business, our operations, and the markets and communities in which we, our partners, and users operate.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and supply chain disruptions, inflation, interest rate fluctuations, bank failures, monetary supply shifts, and the imposition of tariffs or other impacts on trade relations, as well as recession risks, which may continue for an extended period and which could result in our customer prospects and our existing customers experiencing slowdowns in their businesses, which in turn may result in reduced demand for our C3 AI Software, lengthening of sales cycles, loss of customers, and difficulties in collections. Our vendors and suppliers may experience, or may continue to experience, disruptions in their supply chains, which may result in service interruptions or additional operating expenses, and may increase the price at which our vendors and suppliers are willing to sell their products to us.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macroeconomic uncertainties continue to adversely affect our business, financial condition, and results of operations, many of the other risks described in this “Risk Factors” section could be exacerbated, including but not limited to, those related to our ability to increase sales to existing and new customers, develop and deploy new offerings and applications and maintain effective marketing and sales capabilities.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protected health information, and financial data. Our data processing activities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health information. In the past few years, numerous U.S. states - including California, Virginia, Colorado, Connecticut, and Utah -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imposes obligations on covered businesses, including, but not limited to, providing specific disclosures in privacy notices and honoring requests of such individuals to exercise certain privacy rights related to their personal data. The CCPA provides for statutory fines for noncompliance and allows private litigants affected by certain data breaches to recover significant statutory damages. Similar laws are being considered in several other states and at the federal level and local levels, and we expect more states to pass similar laws in the future, reflecting a trend toward more stringent privacy legislation in the United States. These new laws could further complicate compliance efforts and increase legal risk and compliance costs for us, the third parties with whom we work, and our customers.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 Canada, the Personal Information Protection and Electronic Documents Act, or PIPEDA, and various related provincial laws, as well as Canada’s Anti-Spam Legislation, or CASL, may apply to our operations. We also target customers in Asia and have operations in Japan and Singapore and may be subject to new and emerging data privacy regimes in Asia, including Japan’s Act on the Protection of Personal Information and Singapore’s Personal Data Protection Act. In the European Economic Area, or EEA, we are subject to the European General Data Protection Regulation, or GDPR, and in the United Kingdom, or UK, we are subject to the UK data protection regime, or UK GDPR (EU GDPR and UK GDPR, collectively GDPR). Companies that must comply with the GDPR face increased compliance obligations and risk, including more robust regulatory enforcement of data protection requirements, with violations potentially resulting in an order prohibiting the processing of personal data and/or fines of up to the greater of €20 million or 4% of the annual global revenues of the noncompliant company in the European Union, and up to the greater of GBP 17.5 million or 4% of the annual global revenues in the UK; or private litigation related to processing of personal data brought by classes of data subjects or consumer protection organizations authorized at law to represent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6397625</wp:posOffset>
            </wp:positionH>
            <wp:positionV relativeFrom="paragraph">
              <wp:posOffset>-491490</wp:posOffset>
            </wp:positionV>
            <wp:extent cx="28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European and other data protection laws, including the GDPR also restrict the ability of companies to transfer personal data to the United States and other countries. Although there are currently various mechanisms that may be used to transfer personal data from the EEA and the UK to the United States in compliance with law, such as the EEA’s standard contractual clauses, the UK’s International Data Transfer Agreement/Addendum, and the Transatlantic Privacy Framework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It is unclear how data transfers from countries such as the EEA and UK to the United States will be regulated in the long term, which measures must be put in place for onward transfers, and whether or not the Transatlantic Data Privacy Framework will provide a long-term solution to managing flows of personal data from the EEA and the UK to the United States.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such, we, or our vendors, may be unable to implement measures sufficient to lawfully transfer personal data in a manner necessary to provide our services in certain regions without incurring significant cost, or at all. If we cannot implement a valid compliance mechanism for cross-border data transfers, we may face significant adverse consequences, including the interruption or degradation of our operations,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outside of the EEA and UK to other jurisdictions, particularly the United States, are subject to increased scrutiny from regulators, individual litigants and activist groups. Some European regulators have significantly restricted some companies’ data processing activities, including ordering certain companies to suspend or permanently cease the transfer of certain personal data out of Europe for allegedly violating the GDPR’s cross-border data transfer limitations, which has materially impacted companies’ operations revenues. For example,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personal data to the United States.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data protection laws in the EEA and the UK, such as those implementing the ePrivacy Directive, restrict the use of cookies and similar technologies on which our website and product rely. Regulators are increasingly focused on compliance with requirements in the online tracking ecosystem, and current national laws implementing the ePrivacy Directive are likely to be replaced in the EU by a regulation known as the ePrivacy Regulation, which will significantly increase fines for non-compliance.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data. 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Depending on how this Act and any similar laws are implemented and interpreted, we may have to adapt our business practices, contractual arrangements, and C3 AI Software to comply with such obligations.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data privacy and security laws, we are also subject to the terms of external and internal privacy and security policies, codes, representations, certifications, industry standards adopted by industry groups, publications and frameworks, contractual obligations to third parties, and other statements related to privacy, information security, and data processing. If these policies, materials or statements are found to be deficient, lacking in transparency, deceptive, unfair, or misrepresentative of our practices, we may be subject to investigation, enforcement actions by regulators or other adverse consequences. We are subject to contractual obligations to indemnify and hold harmless third parties from the costs or consequences of non-compliance with data protection laws or other obligations.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use of artificial intelligence, or AI, and machine learning, or ML, technologies, collectively, AI/ML technologies, may also subject us to certain privacy and data security laws, as well as increasing regulation and scrutiny. There is increasing U.S. and foreign activity in the regulation of AI and other similar uses of technology. In Europe, the EU AI Act entered into force on August 1, 2024 and will become fully applicable on August 2, 2026, with some provisions already applying from February 2025. We do not engage in developing or providing AI systems or general-purpose AI models that would qualify as “prohibited AI practices”. However, if we or our customers are classified as developing or using "high-risk" AI systems, or general-purpose AI models, including general-purpose AI models with systemic risk, the EU AI Act could impose more restrictions and obligations. This could increase the costs and burdens to us and our customers, delay or halt deployment of new products and services, and may reduce the number of new customers, negatively impacting our business and financial results. Under the EU AI Act, non-compliant companies may be subject to administrative fines of up to 35 million Euros or 7% of a company’s total worldwide annual turnover for the preceding financial year, whichever is the higher. Moreover, in the United Kingdom, the government has confirmed its position that existing regulators are to implement certain specific principles (safety, security and robustness; transparency and explainability; fairness; accountability and governance; contestability and redress), within those regulators’ existing remits, to guide and inform the responsible development and use of AI / ML within their relevant sectors / competences. We expect other jurisdictions will adopt similar laws. In the United States, several states and localities have enacted measures related to the use of AI and ML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 We also use AI and ML technologies in our products and services. Our use of this technology could result in additional compliance costs, regulatory investigations and actions, and consumer lawsuits. Depending on how these AI laws and regulations are interpreted, we may have to make changes to our business practices and products, including our C3 AI Software, to comply with such obligations. These obligations may make it harder for us to conduct our business using AI/ML, lead to regulatory fines or penalties, require us retrain our AI/ML, or prevent or limit our use of AI/ML. Additionally, certain privacy laws extend rights to consumers (such as the right to delete certain personal data) and regulate automated decision making, which may be incompatible with our use of AI/ML. Further, under privacy and data security laws as well as other obligations, we may be required to obtain certain consents to process personal data and our inability or failure to do so could result in adverse consequences.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be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which may necessitate changes to our information technologies, systems, and practices, including our C3 AI Software, possibly limiting our ability to develop new applications and features, and to those of any third parties with whom we work. Although we endeavor to comply with all applicable data privacy and security obligations, we may at times fail (or be perceived to have failed) to do so. Moreover, despite our efforts, our personnel or that of the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 expenditure of time and resources to defend any claim or inquiry; adverse publicity; revision or restructuring of our operations; or reduced demand for our C3 AI Software. Governments and regulators in certain jurisdictions, including Europe, are increasingly seeking to regulate cybersecurity and the use, transfer, and other processing of non-personal information (for example, under the European Union’s Data Act), an area which has typically been the subject of very limited or no specific regulation. This means that, if and to the extent such regulations are relevant to our operations or those of our customers, certain of the risks and considerations may apply equally to our processing of both personal and non-personal information.</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C3 AI Software processes our customers’ proprietary and sensitive data, potentially including personal information, confidential information, protected health information, financial data, intellectual property, and trade secrets. Our C3 AI Software is built to be available on the infrastructure of third-party public cloud providers such as AWS, Microsoft Azure, and Google Cloud. We also use third parties to help us deliver services to our customers. These third parties may process personal information, protected health information, or other confidential information of our employees, partners or customers in a variety of contexts, including, without limitation, third-party providers of cloud-based infrastructure, encryption and authentication technology, employee email and payroll, content delivery to customers, and other functions. We collect such information from individuals located both in the United States and abroad and may process such information outside the country in which it was collected.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social engineering (including phishing), online and offline fraud and other malicious internet-based activity are prevalent in our industry and our customers’ industries and such attacks continue to increase.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and other cyber-attacks, that could materially disrupt our systems and operations, supply chain, and ability to produce, sell and distribute our goods and services. We also utilize third-party providers to host, transmit, or otherwise process electronic data in connection with our business activities. We or our vendors and business partners may experience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unavailable systems, unauthorized access or disclosure due to employee or other theft or misuse, denial-of-service attacks, sophisticated attacks by nation-state and nation-state supported actors, ransomware attacks, supply-chain attacks, software bugs, server malfunctions, software or hardware failures, loss of data or other information technology assets, adware, telecommunications failures, attacks enhanced or facilitated by AI, and other similar threats. Ransomware attacks, including by organized criminal threat actors, nation-states, nation-state-supported actors, and “hacktivists,”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 or the third-party information technology systems that support us and our services. 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with whom we work. A security incident or other interruption could disrupt our ability (and that of third parties with whom we work) to provide our platform. Any actual or potential security breach of our C3 AI Software, our operational systems, our physical facilities, or the systems or facilities of our partners, or the perception that one has occurred, could result in material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partners to comply with applicable law or regulations could result in proceedings against us by governmental entities or others, with further financial, operational, and reputational damage. While we may be entitled to damages if the third parties with whom we work fail to satisfy their privacy or security-related obligations to us, any award may be insufficient to cover our damages, or we may be unable to recover such award.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supply chain. For example, we have contractual and legal obligations, or we may voluntarily choose, to notify relevant stakeholders, including affected individuals, customers, regulators, and investors, of security breaches. Most jurisdictions have enacted laws requiring companies to notify individuals, regulatory authorities, and others of security breaches involving certain types of data, and implement other requirements, such as providing credit monitoring and identifying theft protection services. Such disclosures and related actions can be costly, and the disclosures or the failure to comply with such applicable requirements could lead to material adverse consequences. In addition, our agreements with certain customers and partners may require us to notify them in the event of a security breach involving customer or partner data on our systems or those of subcontractors processing customer or partner data on our behalf.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and may cause us to breach customer contracts. Our agreements with certain customers require us to use industry-standard, reasonable, or other specified measures to safeguard sensitive personal information or confidential information, and any actual or perceived breach of such measures may increase the likelihood and frequency of customer audits under our agreements, which is likely to increase the costs of doing business. An actual or perceived security breach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damages, or claims related to our data privacy and security obligations.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and a number of our vendors and business partners have implemented security measures designed to protect against security incidents, there can be no assurance that these measures will be effective. We take steps designed to detect and remediate vulnerabilities in our information security systems (such as our hardware and/ or software, including that of third parties with whom we work), and ensure the security, privacy, integrity, confidentiality, availability, and authenticity of our information technology networks and systems, processing and information, but we may not be able to anticipate or to implement effective preventive and remedial measures against all data security and privacy threats or detect, mitigate and remediate all vulnerabilities on a timely basis. We cannot guarantee that the recovery systems, security protocols, network protection mechanisms and other security measures that we have integrated into our systems, networks and physical facilities, which are designed to protect against, detect and minimize security breaches and vulnerabilities, or those of our vendors and business partners, will be adequate to prevent or detect service interruption, system failure data loss or theft, or other material adverse consequences.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No security solution, strategy, or measures can address all possible security threats or block all methods of penetrating a network or otherwise perpetrating a security incident. The risk of unauthorized circumvention of our security measures or those of the third parties with whom we work, has been heightened by advances in computer and software capabilities and the increasing sophistication of hackers who employ complex techniques, including without limitation, the theft or misuse of personal and financial information, counterfeiting, “phishing” or social engineering incidents, ransomware, extortion, publicly announcing security breaches, account takeover attacks, denial or degradation of service attacks, malware, fraudulent payment and identity theft. The techniques used to sabotage, disrupt or to obtain unauthorized access to our C3 AI Software, systems, networks, or physical facilities in which data is stored or through which data is transmitted change frequently, and we may be unable to implement adequate preventative measures or stop security breaches while they are occurring. Unremediated high risk or critical vulnerabilities pose material risks to our business. It may also be costly to detect, investigate, mitigate, contain, and remediate a security incident. Further, we may experience delays in developing and deploying remedial measures designed to address any such identified vulnerabilities.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Litigation resulting from security breaches may adversely affect our business. Unauthorized access to our C3 AI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C3 AI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C3 AI Software, systems, or networks may be perceived as less desirable, which could negatively affect our business and damage our reputation.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as we continue to expand our C3 AI Software, grow our customer base, and store, transmit, and otherwise process increasingly large amounts of proprietary and sensitive data.</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we may experience negative consequences from our use of AI/ML within our company and in our products and services. Our or our customers’ sensitive information could be leaked, disclosed, or revealed as a result of or in connection with our employees’, personnel’s, or vendors’ use of generative AI technologies.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C3 AI Software or with the public cloud and internet infrastructure on which it relies.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depends on our C3 AI Software to be available without disruption. We and the third parties with whom we work have experienced, or may in the future experience, disruptions, outages, defects, and other performance and quality problems related to our C3 AI Software. We have also experienced, and may in the future experience, disruptions, outages, defects, and other performance and quality problems with the public cloud and internet infrastructure on which our C3 AI Software relies. These problems can be caused by a variety of factors, including introductions of new functionality, vulnerabilities, coding errors, software defects, and defects in proprietary and open source software, human error or misconduct, capacity constraints, design limitations, as well as from internal and external security breaches, malware and viruses, ransomware, cyber events, denial or degradation of service attacks or other security-related incidents.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C3 AI Software and could experience significant delays and incur additional expense in transitioning customers to a different public cloud provider.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disruptions, outages, defects, and other security performance and quality problems with our C3 AI Software or with the public cloud, internet infrastructure, or other technology on which it relies, or any material change in our contractual and other business relationships with our public cloud providers, could result in reduced use of our C3 AI Software, increased expenses, including significant, unplanned capital investments and/or service credit obligations, and harm to our brand and reputation, any of which could have a material adverse effect on our business, financial condition, reputation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service providers to host and deliver our C3 AI Software, and any interruptions or delays in these services could impair our C3 AI Software and harm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could experience lengthy interruptions in our C3 AI Software as well as delays and additional expenses in making new arrangements.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designed our system infrastructure and procure and own or lease the computer hardware used for our C3 AI Software. Design and mechanical errors, spikes in usage volume, and failure to follow system protocols and procedures could cause our systems to fail, resulting in interruptions in our C3 AI Software.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Europe.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April 30, 2025 and 2024, 6% and 6% of our revenue, respectively, were denominated in currencies other than U.S. dollars. For the fiscal years ended April 30, 2025 and 2024, 7% and 7%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to U.S. federal, state, local, and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 consuming, often requiring significant upfront time and expense without any assurance that these efforts will generate a sale. Government demand and payment for our products and services may be impacted by public sector budgetary cycles and funding reductions or delays, such as an extended federal government shutdown, which may adversely affect public sector demand for our products and services. Government contracting requirements may change and restrict our ability to sell into the government sector. Government demand and payment for our C3 AI Software is affected by public sector budgetary cycles and funding authorizations, with funding reductions or delays adversely affecting public sector demand for our C3 AI Software.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may be less favorable than terms agreed with other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governmental entities may also include preferential pricing terms, such as “most favored customer” pricing. In the event that we are successful in being awarded a government contract, the award may be subject to appeals, disputes, or litigation, including but not limited to bid protests by unsuccessful bidders.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expected from a government entity or highly regulated organization for a particular period are not realized in that period or at all, our business, financial condition, results of operations, and growth prospects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our U.S. government contracts requires our employees to maintain security clearances, and also requires us to comply with the U.S Department of Defense, or DoD, security rules and regulations. The DoD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operating results and financial position could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cash equivalents and marketable securities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C3 AI Software, difficulties in executing our business plan and fulfilling our obligations, and other operational challenges. Any of these developments could adversely affect our business, operating results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cash equivalents and marketable securities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Any acquisitions we complete may not ultimately strengthen our competitive position or achieve our goals, and may be viewed negatively by customers,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raised by the use of AI, including ML, in our C3 Agentic AI Platform may result in reputational harm or liability or otherwise adversely affect our business, financial condition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the C3 Agentic AI Platform, including C3 Generative AI, and is a significant and growing element of our business. As with many developing technologies, AI presents risks and challenges that could affect its further development, adoption, and use, and therefore our business. AI algorithms may be flawed. Datasets in AI training, development, or operations may be insufficient, of poor quality, or reflect unwanted forms of bias. Inappropriate or controversial data practices by, or practices reflecting inherent biases of, data scientists, engineers, and end users of our systems could impair the acceptance of AI solutions. Third-party AI capabilities that can be integrated with our platforms could also produce false or “hallucinatory” inferences about customer data or enterprises, or other information or subject matter. If the recommendations, forecasts, or analyses that AI applications assist in producing are deficient or inaccurate, we could be subjected to competitive harm, potential legal liability, and brand or reputational harm. Some AI scenarios present ethical issues, and the enablement or integration of AI into our platforms may subject us to new or heightened legal, regulatory, ethical, or other challenges.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framework for AI and ML technology is evolving and remains uncertain. It is possible that new laws and regulations will be adopted in the United States and other jurisdictions, or existing laws and regulations may be interpreted in new ways, that would affect the operation of our C3 Agentic AI Platform and the way in which we use AI and ML. In Europe, there is a proposed regulation related to AI that, if adopted, could impose onerous obligations related to the use of AI-related systems. Potential government regulation in the space of AI ethics may also increase the burden and cost of research and development in this area. The cost to comply with such laws or regulations could be significant and would increase our operating expenses, which could adversely affect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adversely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and related accounting pronouncements, implementation guidelines and interpretations with regard to a wide range of matters that are relevant to our business, such as revenue recognition, impairment of intangible assets, lease obligations, vendor allowances, tax matters and litigation, are complex and involve many subjective assumptions, estimates and judgments. Changes in accounting standards or their interpretation or changes in underlying assumptions, estimates or judgments could significantly change our reported or expected financial performance or financial condition. The implementation of new accounting standards could also require certain systems, internal process and other changes that could increase our operating costs.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regarding environmental, employment, social, and governance matters could adversely impact our reputation, our ability to retain employees, and the willingness of customers and others to do business with us.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increasing focus from investors, regulators, and other corporate stakeholders on corporate policies addressing environmental, employment, social, and governance matters. Stakeholder expectations regarding appropriate corporate conduct on these matters are continually evolving, as are expectations regarding appropriate methods and types of related corporate disclosure. Investors, regulators, or other corporate stakeholders may not be satisfied with our existing environmental, employment, social, and governance practices or those of our customers, strategic partners, or vendors. These stakeholders may also be dissatisfied with the pace at which any revisions to our practices or the practices of our customers, strategic partners, or vendors are adopted and implemented. Further, investors and other stakeholders may object to the societal costs or ethical or other implications, or the perceived costs or implications, associated with the use of our products made by one or more of our customers. If any of these events were to occur, our reputation, our ability to retain employees, and the willingness of customers and others to do business with us may be materially and adversely impacted. We may also incur additional costs and require additional resources, which could be material, to monitor, report, and comply with related corporate disclosure obligations in the future, whether those obligations are imposed by law, regulation, or market expectation.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materially and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Customer-Entities in more than 15 countries, and 11% of our revenue for the fiscal year ended April 30, 2025 was generated from customers outside of North America. As of April 30, 2025, we had ten international sales locations, and we plan to add local sales support in further select international markets over time. We expect to continue to expand our international operations, which may include opening offices in new jurisdictions and providing our C3 AI Software in additional languages. Any new markets or countries into which we attempt to sell subscriptions to our C3 AI Software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14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outside the United States and maintaining our company culture across all of our offices;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different pricing environments, longer sales cycles, and longer accounts receivable payment cycles and collections issues;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intellectual property that resides outside of the United States, such as the risk of changes in foreign laws that could restrict our ability to use our intellectual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partners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our locally operated systems and our data and the data of our customers and partners accessible from such jurisdictions;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anti-money laundering laws and other regulatory limitations on our ability to provide our C3 AI Software in certain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military actions affecting the Middle East, Russia, Ukraine and/or surrounding regions;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C3 AI Software, or in our decreased ability to import, export, or sell our C3 AI Software to existing or new customers in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Political actions, including trade protection and national security policies of U.S. and foreign government bodies, such as tariffs, import or export regulations, including deemed export restrictions, trade and economic sanctions, quotas or other trade barriers and restrictions could affect our ability to provide our C3 AI Software to our Customers and generally fulfill our contractual obligations and have an adverse effect on our future business opportunities. For example, in response to Russian military actions related to Ukraine, the United States and certain allies have imposed economic sanctions and export control measures and may impose additional sanctions or export control measures, which have and could in the future result in, among other things, severe or complete restrictions on exports and other commerce and business dealings involving Russia, Belarus, certain regions of Ukraine, and/or particular entities and individuals. Such actions could limit or block the license of our C3 AI Software to persons or entities affiliated with Russia or countries acting in concert with Russia, and restrict access by C3 AI personnel located in Russia to our systems, negatively impacting future opportunities.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due to political uncertainty and military actions involving Russia, Ukraine, and surrounding regions, we and the third parties with whom we work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produce, sell and distribute our C3 AI Software. These attacks are expected to occur in the future.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are not in compliance with applicable laws.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C3 AI Software is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C3 AI Software or could limit our customers’ ability to implement our C3 AI Software in those countries.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our C3 AI Software and, if required, obtaining the necessary export license or other authorization for a particular sale, or changes in export, sanctions, and import laws, may result in the delay or loss of sales opportunities, delay the introduction and sale of subscriptions to our C3 AI Software in international markets, prevent our customers with international operations from using our C3 AI Software or, in some cases, prevent the access or use of our C3 AI Software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C3 AI Software or in our decreased ability to export or sell our C3 AI Software to existing or potential customers with international operations. Any decreased use of our C3 AI Software or limitation on our ability to export or sell our C3 AI Software would likely harm our business.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or FCPA, and similar anti-corruption, anti-bribery, and similar laws, and non-compliance with such laws can subject us to criminal or civil liability and harm our business, financial condition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third-party business partners and intermediaries to market our C3 AI Software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our third-party business partners or intermediaries, employees, representatives, contractors, and agents may take actions in violation of our policies and applicable law, for which we may be ultimately held responsible.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C3 AI Software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C3 AI Software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C3 AI Software as not taxable in certain jurisdictions will be accepted by state and local taxing authorities. Additionally, we have not historically collected value-added tax, or VAT, or goods and services tax, or GST, on sales of our C3 AI Software, generally, because we make almost all of our sales through our office in the United States, and we believe, based on information provided to us by our customers, that most of our sales are made to business customers.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Taxing authorities may challenge our position that we do not have sufficient nexus in a taxing jurisdiction or that our C3 AI Software is exempt from use, telecommunications, VAT, GST, and other taxes, which could result in increased tax liabilities for us or our customers, which could harm our business.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 tax) to businesses that transact online, such as ours, is a complex and evolving area. Following the recent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local,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or taxes may be subject to certain limitations.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April 30, 2025, we had net operating loss carryforwards, or NOLs, for U.S. federal and state purposes of $764.7 million and $310.7 million, respectively, which may be available to offset taxable income in the future, and portions of which expire in various years beginning in 2029. A lack of future taxable income would adversely affect our ability to utilize these NOLs before they expire. Under the Tax Cuts and Jobs Act of 2017, or the Tax Act, as modified by the Coronavirus Aid, Relief, and Economic Security Act, or CARES Act, federal NOLs incurred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on June 29, 2020, the Governor of California signed into law the 2020 Budget Act which temporarily suspended the utilization of NOLs and limits the utilization of research credits to $5.0 million annually for 2020, 2021, and 2022. Similar legislation was signed on June 27, 2024 which temporarily suspends the utilization of NOLs and limits the utilization of credits to $5.0 million annually for 2024, 2025, and 2026 for certain taxpayers.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domain name protection, trademark, and copyright laws, as well as confidentiality and license agreements with our employees, consultants, and third parties, to protect our intellectual property and proprietary rights. From time to time, we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C3 AI Software. While we intend to defend any lawsuit vigorously, litigation can be costly and time consuming, divert the attention of our management and key personnel from our business operations, and dissuade potential customers from subscribing to our C3 AI Software,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C3 AI Software infringes a third party’s intellectual property rights, including in the third-party open source software components included in our C3 AI Software,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April 30, 2025, our technology is protected by a broad patent portfolio, with 35 issued patents in the United States, 30 issued counterpart patents in a number of international jurisdictions, over 60 patent applications pending in the United States, and 104 patent applications pending internationally. Our issued patents expire beginning in 2033 through 2043. We continually review our development efforts to assess the existence and patentability of new intellectual property. The pending patent applications are presently undergoing examination or expected to undergo examination in the near future. These patents and patent applications seek to protect our proprietary inventions relevant to our business, in addition to other proprietary technologies which are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C3 AI Software.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defend against or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Our patents, copyrights, trademarks, or other intellectual property rights could be challenged or invalidated by others through administrative processes or litigation. Costly and time-consuming litigation could be necessary to enforce and determine the scope of our proprietary rights with risks of possible counterclaims from suspected infringers. If the protection of our proprietary rights is inadequate to prevent use or appropriation by third parties, the value of our C3 AI Software, brand, and other intangible assets may be diminished, and competitors may be able to replicate our C3 AI Software more effectively. Any of these events would harm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C3 AI Software and subject us to possible litigation.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C3 AI Software. Any of the foregoing could harm our business and could help our competitors develop platforms and applications that are similar to or better than ours.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characteristics of open source software, there may be fewer technology barriers to entry by new competitors and it may be relatively easy for new and existing competitors with greater resources than we have to compete with us.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C3 AI Software.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C3 AI Software.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to a significant degree on a number of open source software programmers, or committers and contributors, to develop and enhance components of our C3 AI Software. Additionally, members of the corresponding Apache Software Foundation Project Management Committees, or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C3 AI Software.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C3 AI Software could cause our offerings to be less competitive, impair customer acceptance of our solutions, and result in delayed or reduced revenue for our solutions.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development and licensing model could be negatively impacted if the Apache License, Version 2.0 is not enforceable or is modified so as to become incompatible with other open source licenses.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Components of our C3 AI Software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 source software components as part of our C3 AI Software, may negatively impact our distribution or development of all or a portion of our solutions. In addition, at some time in the future it is possible that the license terms under which important components of the open source projects in our C3 AI Software are distributed may be modified, which could, among other consequences, negatively impact our continuing development or distribution of the software code subject to the new or modified license.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full utilization of our C3 AI Software may depend on software, applications, hardware and services from various third parties, and these items may not be compatible with our C3 AI Software and its development or may not be available to us or our customers on commercially reasonable terms, or at all, which could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26" w:lineRule="exact"/>
        <w:rPr>
          <w:sz w:val="20"/>
          <w:szCs w:val="20"/>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retail trading by participants connected in a social network;</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applications, features, 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 which may include short seller reports;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privacy or data security incidents;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applications, products, services, or technologies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 slow or negative growth of our markets;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cannot assure you of the liquidity of an active trading market, your ability to sell your shares of our Class A common stock when desired, or the prices that you may obtain for your shares of our Class A common stock. An inactive market may also impair our ability to raise capital to continue to fund operations by selling shares of our Class A common stock and may impair our ability to acquire or make investments in complementary companies, products, or technologies by using shares of our common stock as consideration.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March 2022, we and certain of our current and former officers and directors were sued in a putative class action lawsuit alleging violations of the federal securities laws for allegedly making material misstatements or omissions about our partnership with Baker Hughes and other strategic alliances, our market potential, and the uptake of our products. Securities litigation against us could result in substantial costs and a diversion of our management’s attention and resources. We may be the target of additional litigation of this type in the future as well.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intended to drive down the market price of our Class A common stock, which could also result in related regulatory and governmental scrutiny, among other effects.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holders of our Class B common stock, limiting your ability to influence corporate matters.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Class B common stock has 50 votes per share, and our Class A common stock has one vote per share. As of April 30, 2025, Mr. Siebel and related entities beneficially owned approximately 87.8% of our Class B common stock and approximately 19.4% of our outstanding Class A common stock, resulting in beneficial ownership of capital stock representing approximately 52.4% of the voting power of our outstanding capital stock. Therefore, Mr. Siebel has control over our management and affairs and over all matters requiring stockholder approval, including election of directors and significant corporate transactions, such as a merger or other sale of us or our assets. This concentrated control will limit your ability to influence corporate matters for the foreseeable future, and, as a result, the market price of our Class A common stock could be adversely affected.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December 11, 2040,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FTSE Russell and Standard &amp; Poor’s do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by existing holders in the public market could cause the market price of our Class A common stock to decline.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particularly sales by our directors, executive officers, and principal stockholders, or the perception that these sales might occur, could depress the market price of our Class A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2025, there were outstanding options to purchase an aggregate of approximately 28,477,000 shares of our Class A common stock, and approximately 23,774,000 shares of our Class A common stock subject to restricted stock unit awards. We have registered all of the shares of Class A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any such equity awards are exercised or settled for shares of Class A common stock, subject to compliance with applicable securities laws. In addition, certain of our stockholders have registration rights that would require us to register shares owned by them for public sale in the United States.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our stockholders. These include provisions:</w:t>
      </w:r>
    </w:p>
    <w:p>
      <w:pPr>
        <w:spacing w:after="0" w:line="10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as described above.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limit our stockholders’ ability to choose the judicial forum for disputes with us or our directors, officers or employees.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under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Furthermore, Section 22 of the Securities Act creates concurrent jurisdiction for federal and state courts over all suits brought to enforce any duty or liability created by the Securities Act.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and demands upon management as a result of complying with the laws and regulations affecting public companies in the United States, which may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expect to continue to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to furnish a report by management on, among other things, the effectiveness of our internal control over financial reporting. This assessment includes disclosure of any material weaknesses identified by our management in our internal control over financial reporting. Our independent registered public accounting firm is also required to formally attest to the effectiveness of our internal control over financial reporting. Our compliance with Section 404 requires that we incur substantial accounting expense and expend significant management efforts. We currently have an external audit group and have hired additional accounting and financial staff.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have an adverse effect on our business, financial condition and results of operations and could cause a decline in the market price of our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that have a negative impact on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 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(many of which are becoming more acute and frequent as a result of global climate change), power loss, telecommunications failure, software or hardware malfunctions, political unrest, geopolitical instability, cyberattack, war, or terrorist attack, could result in lengthy interruptions in our service. In particular, our U.S. headquarters are located in the San Francisco Bay Area, a region known for seismic activity and wildfires,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C3 AI Software to our 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Mitigation Strategies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commitment to safeguarding our assets and maintaining the integrity of our operations, C3 AI has established a comprehensive cybersecurity risk management program. This program is designed to identify, assess, and mitigate cybersecurity risks that could potentially impact our business operations, customers, and stakeholders. C3 AI employs a multi-layered approach to identify and assess cybersecurity threats. This includes:</w:t>
      </w:r>
    </w:p>
    <w:p>
      <w:pPr>
        <w:spacing w:after="0" w:line="118" w:lineRule="exact"/>
        <w:rPr>
          <w:sz w:val="20"/>
          <w:szCs w:val="20"/>
          <w:color w:val="auto"/>
        </w:rPr>
      </w:pPr>
    </w:p>
    <w:p>
      <w:pPr>
        <w:ind w:left="660" w:hanging="328"/>
        <w:spacing w:after="0" w:line="28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vulnerability scanning: </w:t>
      </w:r>
      <w:r>
        <w:rPr>
          <w:rFonts w:ascii="Times New Roman" w:cs="Times New Roman" w:eastAsia="Times New Roman" w:hAnsi="Times New Roman"/>
          <w:sz w:val="18"/>
          <w:szCs w:val="18"/>
          <w:color w:val="auto"/>
        </w:rPr>
        <w:t>We conduct internal and external vulnerability scans of our systems and applications to identify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that attackers could exploit.</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Penetration testing: </w:t>
      </w:r>
      <w:r>
        <w:rPr>
          <w:rFonts w:ascii="Times New Roman" w:cs="Times New Roman" w:eastAsia="Times New Roman" w:hAnsi="Times New Roman"/>
          <w:sz w:val="18"/>
          <w:szCs w:val="18"/>
          <w:color w:val="auto"/>
        </w:rPr>
        <w:t>We engage independent security professionals to conduct simulated cyberattacks on our systems to assess the effectiveness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security controls.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Threat intelligence monitoring: </w:t>
      </w:r>
      <w:r>
        <w:rPr>
          <w:rFonts w:ascii="Times New Roman" w:cs="Times New Roman" w:eastAsia="Times New Roman" w:hAnsi="Times New Roman"/>
          <w:sz w:val="18"/>
          <w:szCs w:val="18"/>
          <w:color w:val="auto"/>
        </w:rPr>
        <w:t>We subscribe to threat intelligence feeds that provide us with real-time information about the latest cyber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vulnerabilities.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assessment framework:</w:t>
      </w:r>
      <w:r>
        <w:rPr>
          <w:rFonts w:ascii="Times New Roman" w:cs="Times New Roman" w:eastAsia="Times New Roman" w:hAnsi="Times New Roman"/>
          <w:sz w:val="18"/>
          <w:szCs w:val="18"/>
          <w:color w:val="auto"/>
        </w:rPr>
        <w:t> We utilize a risk assessment framework to categorize identified threats based on likelihood and potential impact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operations, financial stability, and reputation. This framework includes third-party vendor risk assessment to manage cybersecurity risks associated with our use of these providers. The third-party vendor risk assessment framework includes the following:</w:t>
      </w:r>
    </w:p>
    <w:p>
      <w:pPr>
        <w:spacing w:after="0" w:line="120"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due diligence of the vendors’ standards, including reviewing security policies, certifications, and third-party attestation and past security incidents.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vendors to complete security questionnaires and provide any security and vulnerability scans.</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security expectations within the vendor contract including data security obligations, access controls, incident reporting procedures, security assessment calls if necessary and review of incident response plan, business continuity and disaster recovery plan.</w:t>
      </w:r>
    </w:p>
    <w:p>
      <w:pPr>
        <w:spacing w:after="0" w:line="1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Network security: </w:t>
      </w:r>
      <w:r>
        <w:rPr>
          <w:rFonts w:ascii="Times New Roman" w:cs="Times New Roman" w:eastAsia="Times New Roman" w:hAnsi="Times New Roman"/>
          <w:sz w:val="18"/>
          <w:szCs w:val="18"/>
          <w:color w:val="auto"/>
        </w:rPr>
        <w:t>Firewalls, intrusion detection/prevention systems (IDS/IPS), and data loss prevention (DLP) solutions are deployed to 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filter network traffic.</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Endpoint security:</w:t>
      </w:r>
      <w:r>
        <w:rPr>
          <w:rFonts w:ascii="Times New Roman" w:cs="Times New Roman" w:eastAsia="Times New Roman" w:hAnsi="Times New Roman"/>
          <w:sz w:val="18"/>
          <w:szCs w:val="18"/>
          <w:color w:val="auto"/>
        </w:rPr>
        <w:t> Antivirus, anti-malware, and Mobile Device Management solutions are implemented on all company devices.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controls: </w:t>
      </w:r>
      <w:r>
        <w:rPr>
          <w:rFonts w:ascii="Times New Roman" w:cs="Times New Roman" w:eastAsia="Times New Roman" w:hAnsi="Times New Roman"/>
          <w:sz w:val="18"/>
          <w:szCs w:val="18"/>
          <w:color w:val="auto"/>
        </w:rPr>
        <w:t>User access controls are implemented to restrict access to sensitive data and systems based on the principle of least privilege.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security: </w:t>
      </w:r>
      <w:r>
        <w:rPr>
          <w:rFonts w:ascii="Times New Roman" w:cs="Times New Roman" w:eastAsia="Times New Roman" w:hAnsi="Times New Roman"/>
          <w:sz w:val="18"/>
          <w:szCs w:val="18"/>
          <w:color w:val="auto"/>
        </w:rPr>
        <w:t>Encryption solutions are used to protect sensitive data both at rest and in transit.</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awareness and training: </w:t>
      </w:r>
      <w:r>
        <w:rPr>
          <w:rFonts w:ascii="Times New Roman" w:cs="Times New Roman" w:eastAsia="Times New Roman" w:hAnsi="Times New Roman"/>
          <w:sz w:val="18"/>
          <w:szCs w:val="18"/>
          <w:color w:val="auto"/>
        </w:rPr>
        <w:t>We provide regular security awareness training to all employees to educate them on cybersecurity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and phishing attempts.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see the section titled “Risk Factors” contained in Part I, Item 1A of this Annual Report on Form 10-K.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 management is integrated with our overall enterprise risk management framework. Identified cybersecurity risks are reported through established channels to relevant stakeholders, including senior management and the Board of Directors. Mitigation strategies are prioritized and incorporated into the overall risk management plan. We continuously identify and evaluate potential cybersecurity threats. While the nature of cyber threats makes it impossible to predict all future incidents, some currently identified material cybersecurity risks include:</w:t>
      </w:r>
    </w:p>
    <w:p>
      <w:pPr>
        <w:spacing w:after="0" w:line="12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Ransomware attacks that could disrupt business operations and lead to data breaches.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attacks that could compromise employee credentials and provide unauthorized access to sensitive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attacks targeting third-party vendors with access to our systems or data.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overall implementation and effectiveness of the cybersecurity program. This includes allocating resources, establishing policies, and ensuring employee adherence to security practices. The VP of Information Security leads the cybersecurity team and reports directly to the VP of Cloud Infrastructure.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has specific oversight responsibilities related to cybersecurity, including review of security controls and incident response plans. Management provides updates to the Audit Committee on cybersecurity risks and the effectiveness of our cybersecurity program.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security is evidenced by our certifications under ISO 27001, ISO 27017, SOC 2 Type II, HIPAA, NIST 800-171 and FedRamp Additionally, we subject our standards-based certifications to annual audits by third parties and have successfully undergone examinations such as the Health Insurance Portability and Accountability Act (HIPAA), validated by qualified third-party assessors.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cybersecurity incidents experienced by C3 AI during the fiscal year ended April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principal executive office is located in Redwood City, California, which consists of approximately 283,015 square feet of space under a lease that expires in March 2033.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16 other offices around the world for our employees, including in Tysons, Virginia; Houston, Texas; New York City, New York; Atlanta, Georgia; Chicago, Illinois; Huntsville, Alabama; Minneapolis, Minnesota; London, UK; Sydney, Australia; Paris, France; Bengaluru, India; Singapore; Amsterdam, Netherlands; Rome, Italy; Guadalajara, Mexico; and Munich, Germany.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legal proceedings relating to claims arising from the ordinary course of business. Except as disclosed in </w:t>
      </w:r>
      <w:r>
        <w:rPr>
          <w:rFonts w:ascii="Times New Roman" w:cs="Times New Roman" w:eastAsia="Times New Roman" w:hAnsi="Times New Roman"/>
          <w:sz w:val="18"/>
          <w:szCs w:val="18"/>
          <w:i w:val="1"/>
          <w:iCs w:val="1"/>
          <w:color w:val="auto"/>
        </w:rPr>
        <w:t xml:space="preserve">Note 7. Commitments and Contingencies - Legal Proceedings </w:t>
      </w:r>
      <w:r>
        <w:rPr>
          <w:rFonts w:ascii="Times New Roman" w:cs="Times New Roman" w:eastAsia="Times New Roman" w:hAnsi="Times New Roman"/>
          <w:sz w:val="18"/>
          <w:szCs w:val="18"/>
          <w:color w:val="auto"/>
        </w:rPr>
        <w:t>in our consolidated financial statements included elsewhere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we are not presently a party to any other such litigation the outcome of which, we believe, if determined adversely to us, would individually, or taken together, have a material adverse effect on our business, operating results, cash flows,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ISSUERS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or NYSE, under the symbol “AI.”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this Annual Report on Form 10-K, unless otherwise noted. Holders of common stock are entitled to receive any dividends as may be declared from time to time by the board of directors.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initial public offering, or IPO; or (iv) the date specified by the holders of a majority of the then outstanding shares of Class B common stock, voting as a separate class. Future transfers by holders of Class B common stock will generally result in those shares converting to Class A common stock. Refer to </w:t>
      </w:r>
      <w:r>
        <w:rPr>
          <w:rFonts w:ascii="Times New Roman" w:cs="Times New Roman" w:eastAsia="Times New Roman" w:hAnsi="Times New Roman"/>
          <w:sz w:val="18"/>
          <w:szCs w:val="18"/>
          <w:i w:val="1"/>
          <w:iCs w:val="1"/>
          <w:color w:val="auto"/>
        </w:rPr>
        <w:t>Note 8.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in the Notes to Consolidated Financial Statements included in</w:t>
      </w:r>
      <w:r>
        <w:rPr>
          <w:rFonts w:ascii="Times New Roman" w:cs="Times New Roman" w:eastAsia="Times New Roman" w:hAnsi="Times New Roman"/>
          <w:sz w:val="18"/>
          <w:szCs w:val="18"/>
          <w:i w:val="1"/>
          <w:iCs w:val="1"/>
          <w:color w:val="auto"/>
        </w:rPr>
        <w:t xml:space="preserve"> Part II, Item 8, “Financial Statements and Supplementary Data”</w:t>
      </w:r>
      <w:r>
        <w:rPr>
          <w:rFonts w:ascii="Times New Roman" w:cs="Times New Roman" w:eastAsia="Times New Roman" w:hAnsi="Times New Roman"/>
          <w:sz w:val="18"/>
          <w:szCs w:val="18"/>
          <w:color w:val="auto"/>
        </w:rPr>
        <w:t>, of this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of our conversion of Class B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2, 2025, there were 106 stockholders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Exchange Commission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Class A common stock since December 9, 2020 (the date our Class A common stock commenced trading on the NYSE) relative to the cumulative total returns of the S&amp;P 500 Index and the S&amp;P 500 Information Technology Index over the same period. An investment of $100 (with reinvestment of all dividends) is assumed to have been made in our Class A common stock and in each index at the market close on December 9, 2020, and its relative performance is tracked through April 30, 2025. The initial public offering price of our Class A common stock, which had a closing stock price of $92.49 on December 9, 2020, was $42.00 per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5657850" cy="3694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under Part I, Item 1A in this Annual Report on Form 10-K for a discussion of important factors that could cause our actual results to differ materially from those anticipated in these forward-looking statements. Unless the context otherwise requires, all references in this report to “C3.ai,” “C3 AI,” the “Company”, “we,” “our,” “us,” or similar terms refer to C3.ai, Inc. and its subsidiaries.</w:t>
      </w:r>
    </w:p>
    <w:p>
      <w:pPr>
        <w:spacing w:after="0" w:line="13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references to particular years, quarters, months or periods refer to our fiscal years ended April 30 and the associated quarters, months and periods of those fiscal years.</w:t>
      </w:r>
    </w:p>
    <w:p>
      <w:pPr>
        <w:spacing w:after="0" w:line="104" w:lineRule="exact"/>
        <w:rPr>
          <w:sz w:val="20"/>
          <w:szCs w:val="20"/>
          <w:color w:val="auto"/>
        </w:rPr>
      </w:pPr>
    </w:p>
    <w:p>
      <w:pPr>
        <w:jc w:val="both"/>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 discussion regarding our financial condition and results of operations for the fiscal year ended April 30, 2025 compared to the fiscal year ended April 30, 2024 is presented below. A discussion regarding our financial condition and results of operations for the fiscal year ended April 30, 2024 compared to the fiscal year ended April 30, 2023 can be found in “Management’s Discussion and Analysis of Financial Condition and Results of Operations” in Part II, Item 7 of our </w:t>
      </w:r>
      <w:hyperlink r:id="rId85">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fiscal year ended April 30, 2024, filed with the Securities and Exchange Commission, or SEC, on June 18,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 AI is an Enterprise AI application software company.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family of software applications that enable our customers to rapidly develop, deploy, and operate large-scale Enterprise AI applications. Customers can deploy C3 AI solutions on major public cloud infrastructures, private cloud or hybrid environments, or directly on their servers and processors. We provide three primary families of software solutions, which we collectively refer to as our “C3 AI Software”:</w:t>
      </w:r>
    </w:p>
    <w:p>
      <w:pPr>
        <w:spacing w:after="0" w:line="120" w:lineRule="exact"/>
        <w:rPr>
          <w:sz w:val="20"/>
          <w:szCs w:val="20"/>
          <w:color w:val="auto"/>
        </w:rPr>
      </w:pPr>
    </w:p>
    <w:p>
      <w:pPr>
        <w:ind w:left="660" w:hanging="328"/>
        <w:spacing w:after="0" w:line="284"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Agentic AI Platform, </w:t>
      </w:r>
      <w:r>
        <w:rPr>
          <w:rFonts w:ascii="Times New Roman" w:cs="Times New Roman" w:eastAsia="Times New Roman" w:hAnsi="Times New Roman"/>
          <w:sz w:val="18"/>
          <w:szCs w:val="18"/>
          <w:color w:val="auto"/>
        </w:rPr>
        <w:t>our core technology, is a comprehensive, end-to-end application development and runtime environment that is 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allow our customers to rapidly design, develop, and deploy Enterprise AI applications.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built using the C3 Agentic AI Platform, is a portfolio of pre-built, extensible, industry-specific and application-specific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AI applications that can be rapidly installed and deployed.</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combines the utility of large language models, or LLMs, generative AI, reinforcement learning, natural language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C3 Agentic AI Platform to rapidly locate, retrieve, and present information, disparate data stores, applications, and enterprise information systems.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solutions, and our patented model-driven architecture, enable organizations to simplify and accelerate Enterprise AI application development, deployment, and administration. We significantly reduce the effort and complexity of the AI software engineering problem.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Generate Revenue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generate revenue primarily from the sale of subscriptions, which accounted for 84%, 90% and 86% of our total revenue in the fiscal years ended April 30, 2025, 2024 and 2023, respectively. Our cloud-native software offerings allow us to manage, update, and monitor the software regardless of whether the software is deployed in our public cloud environment, in our customers’ self-managed private or public cloud environments, or in a hybrid environment.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primarily recognize revenue from subscriptions on a ratable basis over the contract term or on a usage basis for consumption-based arrangements. We also recognize revenue upon delivery to the customer for software licenses that do not require maintenance and support services. In addition, customers typically pay a usage-based runtime fee for production use of our C3 AI Software for specified levels of capacity. Customers who choose to run the software in our cloud environment pay the hosting costs charged by our cloud providers. In the first quarter of fiscal year 2023, we introduced a consumption-based pricing model, beginning with an initial production deployment phase which may include access to the C3 Agentic AI Platform, one or more C3 AI Application or C3 Generative AI, and C3 AI Center of Excellence, or COE support services. Following the initial production deployment period, customers either pay a monthly fee and consumption charges using vCPU and vGPU hours as the metric to calculate payment or enter into a time-certain multi-period commitment that may include consumption charges. Our subscriptions also include our maintenance and support services. Additionally, we offer premium stand-ready support services through our C3 AI COE which is included as part of the subscription when purchased.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professional services, which primarily include prioritized engineering services and services fees. Professional services revenue represented 16%, 10% and 14% of our total revenue for the fiscal years ended April 30, 2025, 2024 and 2023, respectively.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as well as other terms, such as relevant specifications. When the software feature is delivered, it becomes integrated to our core product offering, is available to all subscribers of the underlying software product, and enhances the operation of that product going forward. Such prioritized engineering services result in production-level computer software-compiled code that enhances the functionality of our production products — which is available for our customers to use over the life of their software licenses. Prioritized engineering services revenue is recognized as professional services over the period in which the software development is completed. Prioritized engineering services accounted for 70%, 80% and 80% of total professional services revenue for the fiscal years ended April 30, 2025, 2024 and 2023, respectively.</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fees include revenue from services such as consulting, training, and paid implementation services. For service fees, revenue is typically recognized over time as the services are performed.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revenue was $389.1 million for the fiscal year ended April 30, 2025, representing a 25.3% increase compared to the prior fiscal year. Our subscription revenue grew to $327.6 million for the fiscal year ended April 30, 2025, representing a 18% increase compared to the prior fiscal year. Our professional services revenue grew to $61.4 million for the fiscal year ended April 30, 2025, representing 89% increase compared to the prior fiscal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it relates to our subscription-based pricing agreements, we monitor remaining performance obligations, or RPO. While RPO provides insight into committed revenue, it may not accurately reflect future revenue growth, particularly for pay-as-you go consumption pricing agreements and due to factors such as timing of renewals, the timing of conversion of an initial production deployment into a recurring subscription contract, purchases of additional capacity, average contract terms, and seasonality. As a result, it is important to review RPO in conjunction with revenue and other financial metrics disclosed elsewhere in this Annual Report on Form 10-K.</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RPO was $235.1 million as of April 30, 2025, which includes $66.5 million of non-cancellable commitments where actual product selection and quantities of specific products or services will be determined at a later date. RPO was $235.1 million and $244.3 million as of April 30, 2025 and 2024,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amount of our contracted future revenue that has not yet been recognized, including both deferred revenue and non-cancellable contracted amounts that will be invoiced and recognized as revenue in future periods. Our RPO as of April 30, 2025 is comprised of $36.6 million related to deferred revenue and $198.5 million of commitments from non-cancellable contracts. Our RPO as of April 30, 2024 is comprised of $39.0 million related to deferred revenue and $205.3 million of commitments from non-cancellable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RPO excludes amounts related to monthly usage-based runtime and hosting charges.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Go-to-Market Strategy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go-to-market strategy has been historically focused on large organizations recognized as leaders in their respective industries or public sectors that are attempting to solve complicated business problems by digitally transforming their operations. These large organizations, or lighthouse customers, include companies and public agencies within the oil and gas, power and utilities, aerospace and defense, industrial products, life sciences, and financial services industries, among others. This has resulted in C3 AI powering some of the largest and most complex Enterprise AI applications. These lighthouse customers serve as proof points for other potential customers in their respective industries. As a result,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lighthouse customers will decrease as a percentage of total revenue. As our C3 Agentic AI Platform and much of our other C3 AI software are industry agnostic, we also expect to expand into other industries.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2023, we introduced a change to our go-to-market strategy including a way for new customers to subscribe for our products at smaller initial contract sizes and pay for services based on their monthly consumption of vCPU and vGPU hours. Customers generally begin with a one to two-quarter-long initial production deployment agreements which includes the necessary resources required to deploy the C3 Agentic AI Platform and/or C3 AI Applications and receive necessary training to operate and maintain the software in production use. Following the initial production deployment period, customers either pay a monthly fee and consumption charges using vCPU and vGPU hours utilized as the metric to calculate payment or enter into a time-certain multi-period commitment that may include consumption charges.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Acquiring new customers and expanding our business with our existing customers is the purpose of our go-to-market effort and drives our growth. Making new and existing customers successful is critical to our long-term success. 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Agentic AI Platform for in-house AI application development.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size and sophistication of our customers’ businesses demonstrate the flexibility, speed, and scale of our products, and maximize the potential value to our customers. To be a credible partner to our customers, who often are industry leaders, we deploy an experienced and highly educated team of C3 AI personnel and partners. We also complement and supplement our sales force with a number of go-to-market partners.</w:t>
      </w:r>
    </w:p>
    <w:p>
      <w:pPr>
        <w:spacing w:after="0" w:line="120" w:lineRule="exact"/>
        <w:rPr>
          <w:sz w:val="20"/>
          <w:szCs w:val="20"/>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Partners. </w:t>
      </w:r>
      <w:r>
        <w:rPr>
          <w:rFonts w:ascii="Times New Roman" w:cs="Times New Roman" w:eastAsia="Times New Roman" w:hAnsi="Times New Roman"/>
          <w:sz w:val="18"/>
          <w:szCs w:val="18"/>
          <w:color w:val="auto"/>
        </w:rPr>
        <w:t>We have developed an alliance program to partner with recognized leaders in their respective industries, such as Baker Hughes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Booz Allen Hamilton; to develop, market, and sell solutions that are natively built on or tightly integrated with the C3 Agentic AI Platform.</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Hyperscale Cloud and Infrastructure. </w:t>
      </w:r>
      <w:r>
        <w:rPr>
          <w:rFonts w:ascii="Times New Roman" w:cs="Times New Roman" w:eastAsia="Times New Roman" w:hAnsi="Times New Roman"/>
          <w:sz w:val="18"/>
          <w:szCs w:val="18"/>
          <w:color w:val="auto"/>
        </w:rPr>
        <w:t>We have formed global strategic go-to-market alliances with hyperscale cloud providers including Microsoft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Azure, Amazon Web Services, or AWS, and Google Cloud.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Consulting and Services Partners. </w:t>
      </w:r>
      <w:r>
        <w:rPr>
          <w:rFonts w:ascii="Times New Roman" w:cs="Times New Roman" w:eastAsia="Times New Roman" w:hAnsi="Times New Roman"/>
          <w:sz w:val="18"/>
          <w:szCs w:val="18"/>
          <w:color w:val="auto"/>
        </w:rPr>
        <w:t>We partner with a number of consulting firms and system integrators specializing in Enterprise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including McKinsey &amp; Company, PwC, Fractal, and Paradyme.</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Software Vendors. </w:t>
      </w:r>
      <w:r>
        <w:rPr>
          <w:rFonts w:ascii="Times New Roman" w:cs="Times New Roman" w:eastAsia="Times New Roman" w:hAnsi="Times New Roman"/>
          <w:sz w:val="18"/>
          <w:szCs w:val="18"/>
          <w:color w:val="auto"/>
        </w:rPr>
        <w:t>We partner with independent software vendors who develop, market, and sell application solutions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natively built on or tightly integrated with the C3 Agentic AI Platform.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Production Deployment (formerly referred to as Pilots and Trials)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go to market strategy has focused on enterprise-wide, multi-period, large-value subscription contracts that entailed a long sales cycle, considerable sales effort and protracted negotiations. Our introduction of consumption-based pricing model for new customers helps us to better meet the needs of customers and align us with the model that is becoming common for enterprise software companies.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consumption-based pricing model is designed to increase the number of customers and accelerate growth by making it easier and less costly to adopt C3 AI solutions.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consumption-based pricing model begins with a paid “Initial Production Deployment” phase (formerly known as “Pilot” phase) of generally up-to six months that may include developer access to the C3 Agentic AI Platform, one C3 AI Application or C3 Generative AI and COE support services. Following the initial production deployment period, customers either pay a monthly fee and consumption charges using vCPU and vGPU hours as the metric to calculate payment or enter into a time-certain multi-period commitment that may include consumption charges.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 initial production deployment count as a key business metric, as it reflects trends in market penetration and customer acquisition.</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count an agreement as an initial production deployment agreement when an agreement meeting the characteristics of initial production deployment as described above is executed with the customer.</w:t>
      </w:r>
    </w:p>
    <w:p>
      <w:pPr>
        <w:spacing w:after="0" w:line="108" w:lineRule="exact"/>
        <w:rPr>
          <w:sz w:val="20"/>
          <w:szCs w:val="20"/>
          <w:color w:val="auto"/>
        </w:rPr>
      </w:pPr>
    </w:p>
    <w:p>
      <w:pPr>
        <w:ind w:right="1020"/>
        <w:spacing w:after="0" w:line="438" w:lineRule="auto"/>
        <w:rPr>
          <w:sz w:val="20"/>
          <w:szCs w:val="20"/>
          <w:color w:val="auto"/>
        </w:rPr>
      </w:pPr>
      <w:r>
        <w:rPr>
          <w:rFonts w:ascii="Times New Roman" w:cs="Times New Roman" w:eastAsia="Times New Roman" w:hAnsi="Times New Roman"/>
          <w:sz w:val="18"/>
          <w:szCs w:val="18"/>
          <w:color w:val="auto"/>
        </w:rPr>
        <w:t xml:space="preserve">We executed 174, 123 and 49 initial production deployment agreements in the fiscal years ended April 30, 2025, 2024 and 2023, respectively. </w:t>
      </w:r>
      <w:r>
        <w:rPr>
          <w:rFonts w:ascii="Times New Roman" w:cs="Times New Roman" w:eastAsia="Times New Roman" w:hAnsi="Times New Roman"/>
          <w:sz w:val="18"/>
          <w:szCs w:val="18"/>
          <w:b w:val="1"/>
          <w:bCs w:val="1"/>
          <w:color w:val="auto"/>
        </w:rPr>
        <w:t>Factors Affecting Our Performance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of this Annual Report on Form 10-K in Part I, Item 1A titled “Risk Factors”, that we must successfully address to sustain our growth, improve our results of operations, and establish and maintain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Retention, and Expansion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continuing to grow our customer base, retaining existing customers and expanding customers’ usage of our C3 AI Software by addressing new use cases across multiple departments and divisions, adding users, and developing and deploying additional applications. All of these factors increase the adoption and relevance of our C3 AI Software to our customers’ business and, as an outcome, increases their runtime usage.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 high-performance,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COE utilizing our experienced and specialized resources in key technical areas like application development, data integration, and data science to accelerate and ensure our customers’ success developing applications on our C3 Agentic AI Platform. We closely monitor the health and status of every customer account through multiple activities, including real-time monitoring, daily and weekly reports to management, as well as quarterly reviews with our customers.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attract new customers across multiple industries where we have limited meaningful presence today, yet represent very large market opportunities such as telecommunications, smart cities, transportation, and healthcare, among others.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had a relatively small number of customers with large total subscription contract values. As a result, revenue growth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and expanded our market-partner ecosystem to effectively address small, medium, and large enterprise sales opportunities.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we will continue to attract new customers who prefer to subscribe to the C3 Agentic AI Platform and C3 AI Applications with our consumption-based pricing model. For further discussion, see the section titled “Overview - Go-to-Market Strategy” included in Part II, Item 7 of this Annual Report on Form 10-K.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Generative AI</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generative AI positions us as leaders in the Enterprise AI space. By offering innovative generative AI solutions that improve operational efficiency for verticals, we enable more enterprises across industries to benefit from technology advancements as we address a broader market with our Enterprise AI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AI landscape continues to evolve, we remain at the forefront of generative AI technologies. This is clear in the product innovations we continue to roll out. In early fiscal year 2024, we launched the C3 Generative AI, with 28 domain-specific generative AI offerings that addressed needs unique to industries, business processes, and enterprise systems.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is a vehicle that allows us to diversify our customer base and market reach. Aiming to develop technology that serves high impact, under-served verticals, we launched the C3 Generative AI for Government Programs application. This application was built to help government agencies and the residents they serve navigate public benefits programs more efficiently and effectively. With C3 Generative AI for Government Programs, federal, state, or local government agencies can eliminate service delays, reduce wait times, make contact centers more effective, and improve the citizen experience.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of our innovations is evident in the benefits customers are realizing as adoption grows. In fiscal year 2025, we continue to have strong customer demand and adoption in diverse use cases, including operator assistance, intelligence analysis, complex documentation drafting, and customer service.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customers get started with C3 Generative AI faster and allow enterprises to truly understand the value of our technology, we launched C3 Generative AI Accelerator Program. This program is a three-day workshop designed to help organizations implement generative AI solutions effectively. The in-person program emphasizes a hands-on approach with participating teams engaged in unstructured and structured data integration, accuracy tuning, and application configuration using C3 Generative AI and the C3 Agentic AI Platform. At the end of the Accelerator, participating teams have working prototype applications that they can showcase within their organizations. Participants also work with C3 AI experts to develop customized AI scale-out and value capture plans that are tailored to each organization’s specific requirements.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intellectual property advancements in generative AI highlight our power as a pioneer in Enterprise AI. In October 2024, we were awarded a foundational U.S. patent (No. 12,111,859) for our generative AI agentic technology. The patent details a sophisticated system and method for orchestrating multiple AI agents using multimodal foundation models. This patent reinforces C3 AI’s commitment to innovation and its leadership in generative AI. </w:t>
      </w:r>
      <w:r>
        <w:rPr>
          <w:rFonts w:ascii="Times New Roman" w:cs="Times New Roman" w:eastAsia="Times New Roman" w:hAnsi="Times New Roman"/>
          <w:sz w:val="18"/>
          <w:szCs w:val="18"/>
          <w:color w:val="0D0D0D"/>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patented technologies include:</w:t>
      </w:r>
    </w:p>
    <w:p>
      <w:pPr>
        <w:spacing w:after="0" w:line="122" w:lineRule="exact"/>
        <w:rPr>
          <w:sz w:val="20"/>
          <w:szCs w:val="20"/>
          <w:color w:val="auto"/>
        </w:rPr>
      </w:pPr>
    </w:p>
    <w:p>
      <w:pPr>
        <w:ind w:left="660" w:hanging="4"/>
        <w:spacing w:after="0" w:line="286" w:lineRule="auto"/>
        <w:tabs>
          <w:tab w:leader="none" w:pos="9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D0D0D"/>
        </w:rPr>
        <w:t>AI Orchestrator</w:t>
      </w:r>
      <w:r>
        <w:rPr>
          <w:rFonts w:ascii="Times New Roman" w:cs="Times New Roman" w:eastAsia="Times New Roman" w:hAnsi="Times New Roman"/>
          <w:sz w:val="18"/>
          <w:szCs w:val="18"/>
          <w:color w:val="0D0D0D"/>
        </w:rPr>
        <w:t>: The C3 AI orchestrator coordinates multiple AI agents, invokes specialized machine-learning models or mathematical tools</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as necessary and handles all data types and tasks.</w:t>
      </w:r>
    </w:p>
    <w:p>
      <w:pPr>
        <w:spacing w:after="0" w:line="100"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9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D0D0D"/>
        </w:rPr>
        <w:t>Autonomy</w:t>
      </w:r>
      <w:r>
        <w:rPr>
          <w:rFonts w:ascii="Times New Roman" w:cs="Times New Roman" w:eastAsia="Times New Roman" w:hAnsi="Times New Roman"/>
          <w:sz w:val="18"/>
          <w:szCs w:val="18"/>
          <w:color w:val="0D0D0D"/>
        </w:rPr>
        <w:t>: Meaning the AI agents can operate independently to perform tasks across various business functions like sales, service,</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marketing, and commerce. AI agents can be fully customized to fit the specific needs of any industry or business process, using tools that are already familiar to programmers and data scientists.</w:t>
      </w:r>
    </w:p>
    <w:p>
      <w:pPr>
        <w:spacing w:after="0" w:line="116" w:lineRule="exact"/>
        <w:rPr>
          <w:rFonts w:ascii="Times New Roman" w:cs="Times New Roman" w:eastAsia="Times New Roman" w:hAnsi="Times New Roman"/>
          <w:sz w:val="18"/>
          <w:szCs w:val="18"/>
          <w:color w:val="auto"/>
        </w:rPr>
      </w:pPr>
    </w:p>
    <w:p>
      <w:pPr>
        <w:ind w:left="660" w:hanging="4"/>
        <w:spacing w:after="0" w:line="286" w:lineRule="auto"/>
        <w:tabs>
          <w:tab w:leader="none" w:pos="9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D0D0D"/>
        </w:rPr>
        <w:t>Multimodal Model Integration</w:t>
      </w:r>
      <w:r>
        <w:rPr>
          <w:rFonts w:ascii="Times New Roman" w:cs="Times New Roman" w:eastAsia="Times New Roman" w:hAnsi="Times New Roman"/>
          <w:sz w:val="18"/>
          <w:szCs w:val="18"/>
          <w:color w:val="0D0D0D"/>
        </w:rPr>
        <w:t>: The system integrates advanced multimodal models to break down inputs into a series of instructions for a</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multiplicity of AI agents.</w:t>
      </w:r>
    </w:p>
    <w:p>
      <w:pPr>
        <w:spacing w:after="0" w:line="100" w:lineRule="exact"/>
        <w:rPr>
          <w:rFonts w:ascii="Times New Roman" w:cs="Times New Roman" w:eastAsia="Times New Roman" w:hAnsi="Times New Roman"/>
          <w:sz w:val="18"/>
          <w:szCs w:val="18"/>
          <w:color w:val="auto"/>
        </w:rPr>
      </w:pPr>
    </w:p>
    <w:p>
      <w:pPr>
        <w:ind w:left="660" w:right="20" w:hanging="4"/>
        <w:spacing w:after="0" w:line="286" w:lineRule="auto"/>
        <w:tabs>
          <w:tab w:leader="none" w:pos="9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D0D0D"/>
        </w:rPr>
        <w:t>Natural Language Summarization</w:t>
      </w:r>
      <w:r>
        <w:rPr>
          <w:rFonts w:ascii="Times New Roman" w:cs="Times New Roman" w:eastAsia="Times New Roman" w:hAnsi="Times New Roman"/>
          <w:sz w:val="18"/>
          <w:szCs w:val="18"/>
          <w:color w:val="0D0D0D"/>
        </w:rPr>
        <w:t>: The technology generates comprehensive summaries from varied data sources, significantly improving</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decision making.</w:t>
      </w:r>
    </w:p>
    <w:p>
      <w:pPr>
        <w:spacing w:after="0" w:line="100" w:lineRule="exact"/>
        <w:rPr>
          <w:rFonts w:ascii="Times New Roman" w:cs="Times New Roman" w:eastAsia="Times New Roman" w:hAnsi="Times New Roman"/>
          <w:sz w:val="18"/>
          <w:szCs w:val="18"/>
          <w:color w:val="auto"/>
        </w:rPr>
      </w:pPr>
    </w:p>
    <w:p>
      <w:pPr>
        <w:ind w:left="660" w:hanging="4"/>
        <w:spacing w:after="0" w:line="286" w:lineRule="auto"/>
        <w:tabs>
          <w:tab w:leader="none" w:pos="979" w:val="left"/>
        </w:tabs>
        <w:numPr>
          <w:ilvl w:val="0"/>
          <w:numId w:val="50"/>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Traceability and Security: </w:t>
      </w:r>
      <w:r>
        <w:rPr>
          <w:rFonts w:ascii="Times New Roman" w:cs="Times New Roman" w:eastAsia="Times New Roman" w:hAnsi="Times New Roman"/>
          <w:sz w:val="18"/>
          <w:szCs w:val="18"/>
          <w:color w:val="0D0D0D"/>
        </w:rPr>
        <w:t>C3 Generative AI Agents provide full traceability to sources, comprehensive enterprise access controls, high</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security, minimal hallucinations, and are LLM agnostic.</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C3 Generative AI is a highly differentiated product offering that provides customers with safe, secure, fast, and reliable insights from data across the enterprise. We differentiated C3 Generative AI from other market offerings, introducing expanded functionalities and innovative capabilities, including:</w:t>
      </w:r>
    </w:p>
    <w:p>
      <w:pPr>
        <w:spacing w:after="0" w:line="104"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Omni-Modal Parsing at Scale</w:t>
      </w:r>
      <w:r>
        <w:rPr>
          <w:rFonts w:ascii="Times New Roman" w:cs="Times New Roman" w:eastAsia="Times New Roman" w:hAnsi="Times New Roman"/>
          <w:sz w:val="18"/>
          <w:szCs w:val="18"/>
          <w:color w:val="0D0D0D"/>
        </w:rPr>
        <w:t>: C3 Generative AI now extracts high-quality content and metadata from a wide array of unstructured formats</w:t>
      </w:r>
    </w:p>
    <w:p>
      <w:pPr>
        <w:spacing w:after="0" w:line="31" w:lineRule="exact"/>
        <w:rPr>
          <w:rFonts w:ascii="Times New Roman" w:cs="Times New Roman" w:eastAsia="Times New Roman" w:hAnsi="Times New Roman"/>
          <w:sz w:val="18"/>
          <w:szCs w:val="18"/>
          <w:color w:val="0D0D0D"/>
        </w:rPr>
      </w:pPr>
    </w:p>
    <w:p>
      <w:pPr>
        <w:ind w:left="660"/>
        <w:spacing w:after="0" w:line="260" w:lineRule="auto"/>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 including presentations, spreadsheets, rich text, audio, and video — transforming them into a structured knowledge graph. This enables users to seamlessly search, link and analyze information across disparate systems, reducing time spent on manual information discovery.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hanging="4"/>
        <w:spacing w:after="0" w:line="268" w:lineRule="auto"/>
        <w:tabs>
          <w:tab w:leader="none" w:pos="994" w:val="left"/>
        </w:tabs>
        <w:numPr>
          <w:ilvl w:val="0"/>
          <w:numId w:val="52"/>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Dynamic Planning Agent with Multi-Agent Collaboration</w:t>
      </w:r>
      <w:r>
        <w:rPr>
          <w:rFonts w:ascii="Times New Roman" w:cs="Times New Roman" w:eastAsia="Times New Roman" w:hAnsi="Times New Roman"/>
          <w:sz w:val="18"/>
          <w:szCs w:val="18"/>
          <w:color w:val="0D0D0D"/>
        </w:rPr>
        <w:t>: C3 AI’s planning agent performs multi-step reasoning across all data types,</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coordinating with other agents to solve complex tasks and workflows. This enables organizations to automate decision chains that previously required cross-functional input, from scenario planning to operational forecasting.</w:t>
      </w:r>
    </w:p>
    <w:p>
      <w:pPr>
        <w:spacing w:after="0" w:line="116" w:lineRule="exact"/>
        <w:rPr>
          <w:rFonts w:ascii="Times New Roman" w:cs="Times New Roman" w:eastAsia="Times New Roman" w:hAnsi="Times New Roman"/>
          <w:sz w:val="18"/>
          <w:szCs w:val="18"/>
          <w:color w:val="0D0D0D"/>
        </w:rPr>
      </w:pPr>
    </w:p>
    <w:p>
      <w:pPr>
        <w:jc w:val="both"/>
        <w:ind w:left="660" w:hanging="4"/>
        <w:spacing w:after="0" w:line="268" w:lineRule="auto"/>
        <w:tabs>
          <w:tab w:leader="none" w:pos="980" w:val="left"/>
        </w:tabs>
        <w:numPr>
          <w:ilvl w:val="0"/>
          <w:numId w:val="52"/>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Easy Agent and Tool Authoring: </w:t>
      </w:r>
      <w:r>
        <w:rPr>
          <w:rFonts w:ascii="Times New Roman" w:cs="Times New Roman" w:eastAsia="Times New Roman" w:hAnsi="Times New Roman"/>
          <w:sz w:val="18"/>
          <w:szCs w:val="18"/>
          <w:color w:val="0D0D0D"/>
        </w:rPr>
        <w:t>C3 Generative AI offers a streamlined developer experience, enabling users to rapidly create or enhance</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agents by integrating new tools in minutes, without the need for system upgrades. This flexibility allows enterprises to quickly adapt AI capabilities to meet evolving needs.</w:t>
      </w:r>
    </w:p>
    <w:p>
      <w:pPr>
        <w:spacing w:after="0" w:line="116" w:lineRule="exact"/>
        <w:rPr>
          <w:rFonts w:ascii="Times New Roman" w:cs="Times New Roman" w:eastAsia="Times New Roman" w:hAnsi="Times New Roman"/>
          <w:sz w:val="18"/>
          <w:szCs w:val="18"/>
          <w:color w:val="0D0D0D"/>
        </w:rPr>
      </w:pPr>
    </w:p>
    <w:p>
      <w:pPr>
        <w:jc w:val="both"/>
        <w:ind w:left="660" w:hanging="4"/>
        <w:spacing w:after="0" w:line="268" w:lineRule="auto"/>
        <w:tabs>
          <w:tab w:leader="none" w:pos="1007" w:val="left"/>
        </w:tabs>
        <w:numPr>
          <w:ilvl w:val="0"/>
          <w:numId w:val="52"/>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On-the-Fly Custom Visualizations: </w:t>
      </w:r>
      <w:r>
        <w:rPr>
          <w:rFonts w:ascii="Times New Roman" w:cs="Times New Roman" w:eastAsia="Times New Roman" w:hAnsi="Times New Roman"/>
          <w:sz w:val="18"/>
          <w:szCs w:val="18"/>
          <w:color w:val="0D0D0D"/>
        </w:rPr>
        <w:t>C3 Generative AI can autonomously generate context-specific visualizations from natural language</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queries. This feature allows users to transition from questions to insights instantly, eliminating the need for manual charting, coding, or dashboard configuration.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priority for us is not just to meet but anticipate the needs of the Enterprise AI market. In many ways, generative AI is accelerating our strategic initiatives to achieve this goal. We expect to continue to invest heavily in generative AI, leveraging these advanced technologies not only to enhance our existing offerings, but also to create new, innovative applications that expand our impact in Enterprise AI.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continue to invest in our research and development capabilities to extend our C3 AI Software, to expand within existing accounts, and to gain new customers. Our investments in research and development drive core technology innovation and bring new products to market. Our model-driven architecture and generative AI agents framework enables us and our customers to rapidly address new use cases by building new applications and extending and enhancing the features and functionality of current C3 AI Software. By investing to make it easier to develop applications on our C3 Agentic AI Platform, our customers have become active developers. With our support, our customers have developed and deployed almost two-thirds of the applications currently in production and running on the C3 Agentic AI Platform. Research and development spending has fueled enhancements to our existing C3 Agentic AI Platform.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introduce new applications which address new industry use cases, and new features and functionality for the C3 AI Software. As our business scales over a longer-term horizon, we anticipate research and development spend as a percent of total revenue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Awareness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in the early stages of a large and expanding market for AI enabled digital transformation. As a result, we intend to continue to invest in brand awareness, market education, strategic paid media, and thought leadership, particularly as it relates to generative AI. We engage the market through digital, radio, outdoor, airport, and print advertising; virtual and physical events, including our C3 Transform annual user conference; and C3 AI Webinars, a series of events featuring C3 AI customers, C3 AI partners, and C3 AI experts in AI, Machine Learning, or ML, and data science.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continuing to make significant investments in marketing over the next few years. Over the long term, we expect marketing spend to decline as a percent of total revenue as we make ongoing progress establishing C3 AI’s brand and reputation and as our business scales.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Go-to-Market and Partnership Ecosystem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Microsoft, Baker Hughes, AWS, and Google. Each strategic partner is a leader in its industry, with a substantial installed customer base and extensive marketing, sales, and services resources that we can leverage to engage and serve customers anywhere in the world. Using our C3 Agentic AI Platform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C3 Agentic AI Platform, C3 AI Applications, and C3 Generative AI with a flagship customer in each industry in which we participate. We have done this with our strategic vertical industry partner in oil and gas, Baker Hughes, as well as with our iconic global customers, some of whom are deploying C3 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initial production deployments of our applications as part of our customer acquisition strategy.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we entered into a new global alliance agreement with Microsoft — focused on sales, marketing, and solution delivery across all geographies and all industries — to accelerate the adoption of Enterprise AI. The agreement establishes us as a preferred AI application software provider on Microsoft Azure. The collaboration includes joint sales, joint go-to-market strategies, and immediate availability of all C3 Enterprise AI solutions through Azure sales channels, including the Microsoft Commercial Cloud, technical integration, and aligned product development. We plan to invest aggressively to support this distribution channel.</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we also entered into a new strategic alliance with McKinsey &amp; Company, a global management consulting firm, to help clients and prospects across industries and geographies accelerate Enterprise AI transformations at scale. The alliance combines the deep technical expertise of McKinsey’s AI practice, QuantumBlack, and its track record of deploying and scaling AI solutions across industries with our cutting-edge Enterprise AI software applications to help clients unlock the power of Enterprise AI and agentic AI to realize significant operational improvements and unlock new growth opportunities.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international market opportunity for Enterprise AI software is large and growing, and we believe there is a significant opportunity to continue to grow our international customer base. We believe that the demand for our C3 AI Software will continue growing as international awareness of the benefits of digital transformation and Enterprise AI software grows. We plan to continue to make investments to expand geographically by increasing our direct sales team in international markets and supplementing the direct sales effort with strategic partners to significantly expand our reach and market coverage. We derived approximately 14%, 14% and 21% of our total revenue for the fiscal years ended April 30, 2025, 2024 and 2023, respectively, from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condition have been, and may continue to be, impacted by adverse macroeconomic conditions and uncertainties, including labor shortages, supply chain disruptions, inflation, higher interest rates, and fluctuations or volatility in capital markets, which are causing customers to optimize consumption, rationalize budgets, and prioritize cash flow management.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may be adversely affected by macroeconomic conditions, including geopolitical instability, a potential U.S. government shutdown, delays in budget approvals, or increased tariffs or global trade tensions. These and other market risks could have unforeseen and negative impacts on our operations and performance.</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nature and extent of the impact of general macroeconomic conditions on our business. For further discussion, see the section titled “Risk Factors” included in Part I, Item 1A 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primarily comprised of software licenses, software-as-a-service offerings, stand-ready COE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initial production deployments of our C3 AI Applications or Generative AI, and hosting charges. Sales of our software licenses grant our customers the right to use our software, either on their own cloud instances or their internal hardware infrastructures, during the contractual term. We also offer a premium stand ready service through our COE. Sales of our software-as-a-service offerings include a right to use our software during the contract term. In addition, customers pay a usage-based runtime fee for our C3 AI Software for specified levels of guaranteed minimum consumption. Our subscriptions also include our maintenance and support services, which include critical and continuous updates to the software that are integral to maintaining the intended utility of the software over the contractual term. For a significant majority of our offerings, our software subscriptions and maintenance and support services are highly interdependent and interrelated and represent a single distinct performance obligation within the context of the contract. We also sell software licenses that do not require maintenance and support services. We currently have a small number of customers that license our offerings under a perpetual license model, and we expect that may continue for the foreseeable future for certain customers due to their specific contracting requirements.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Our professional services revenue primarily includes consulting, training, paid implementation services and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services. We offer a complete range of professional service support both onsite and remotely, including training, application design, project management, system design, data modeling, data integration, application design, development support, data science, and application and C3 AI Software administration support. Professional services fees are based on the level of effort required to perform the specified tasks and are typically a fixed-fee engagement with defined deliverables and a duration of less than 12 months. In certain cases, customers seeking increased utility from their C3 Agentic AI Platform or C3 AI Application subscriptions can procure prioritized engineering services to develop and modify software features, which are typically part of our product roadmap, but on an accelerated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consists primarily of costs related to compensation, including salaries, bonuses, benefits, stock-based compensation and other related expenses for the production environment, support and COE staff, third-party system integration partners, hosting of our C3 AI Software, including payments to outside cloud service providers, and allocated overhead and depreciation for facilities.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Professional Services Revenue. </w:t>
      </w:r>
      <w:r>
        <w:rPr>
          <w:rFonts w:ascii="Times New Roman" w:cs="Times New Roman" w:eastAsia="Times New Roman" w:hAnsi="Times New Roman"/>
          <w:sz w:val="18"/>
          <w:szCs w:val="18"/>
          <w:color w:val="auto"/>
        </w:rPr>
        <w:t>Cost of professional services revenue consists primarily of compensation, including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and other related costs associated with our professional service personnel, prioritized engineering personnel, third-party system integration partners, and allocated overhead and depreciation for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size or nature of customer, size of contract, industry, and the geographies into which we sell, in any given period. Our subscription gross margin may experience variability over time as we continue to invest and continue to scale our business. Our professional services gross margin may also experience variability from period to period due to the use of our own resources and third-party system integration partners in connection with the performance of our fixed price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We expect our operating expenses to increase as we continue to invest to grow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expenditures related to advertising, media, marketing, promotional events, brand awareness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business development, customer success and corporate partnerships. Sales and marketing expenses also include employee-related costs, including salaries, bonuses, benefits, stock-based compensation, and commissions for our employees engaged in sales and marketing activities, and allocated overhead and depreciation for facilities.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sales and marketing expenses will increase in absolute dollar amounts as we to hire additional sales personnel to increase sales coverage of target industry vertical and geographic markets. Consequently, sales and marketing expense as a percent of total revenue will remain high in the near-term. As our business scales through customer expansion and market awareness, we anticipate that sales and marketing expense as a percent of total revenue will decline over time.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efforts are aimed at continuing to develop and refine our solutions, including adding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and modules, increasing functionality and speed, and enhancing the usability of C3 AI Software. Research and development expenses consist primarily of employee-related costs, including salaries, bonuses, benefits, and stock-based compensation for our employees associated with research and development related activities. Research and development expenses also include cloud infrastructure costs related to our research and development efforts, third-party system integration partners and allocated overhead and depreciation for facilities. Research and development costs are expensed as incurred.</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 to increase in absolute dollars as we continue to invest in our existing and future product offerings. We may experience variations from period to period with our total research and development expense as a percentage of revenue as we develop and deploy new applications targeting new use cases and new industries. Over a longer horizon, we anticipate that research and development expense as a percent of total revenue will decline.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consists primarily of employee-related costs, including salaries, bonuses, benefits, stock-based compensation and other related costs associated with administrative services such as executive management and administration, legal, human resources, accounting, and finance. General and administrative expense also includes facilities costs, such as depreciation and rent expense, professional fees, and other general corporate costs, including allocated overhead and depreciation for facilities.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 to increase in absolute dollars as we continue to grow our business. We have incurred, and expect to continue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We expect that general and administrative expense as a percent of total revenue will decline over the long-term as we benefit from the economies of scale of our overall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cash equivalents, and available-for-sale marketable securities. It also includes amortization of premiums and accretion of discount related to our available-for-sale marketable securities. Interest income varies each reporting period based on our average balance of cash, cash equivalents, and available-for-sale marketable securities during the fiscal year and market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exchange gains and losses, losses from impairment of marketable securities, and realized gains and losses on sales of available-for-sale marketable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002D72"/>
            </w:tcBorders>
            <w:shd w:val="clear" w:color="auto" w:fill="CCEEFF"/>
          </w:tcPr>
          <w:p>
            <w:pPr>
              <w:spacing w:after="0"/>
              <w:rPr>
                <w:sz w:val="23"/>
                <w:szCs w:val="23"/>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w:t>
            </w: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210,660</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002D72"/>
            </w:tcBorders>
            <w:shd w:val="clear" w:color="auto" w:fill="CCEEFF"/>
          </w:tcPr>
          <w:p>
            <w:pPr>
              <w:spacing w:after="0"/>
              <w:rPr>
                <w:sz w:val="23"/>
                <w:szCs w:val="23"/>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470,951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(290,493)</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6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0" w:type="dxa"/>
            <w:vAlign w:val="bottom"/>
          </w:tcPr>
          <w:p>
            <w:pPr>
              <w:spacing w:after="0"/>
              <w:rPr>
                <w:sz w:val="1"/>
                <w:szCs w:val="1"/>
                <w:color w:val="auto"/>
              </w:rPr>
            </w:pPr>
          </w:p>
        </w:tc>
      </w:tr>
      <w:tr>
        <w:trPr>
          <w:trHeight w:val="264"/>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21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6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520" w:type="dxa"/>
            <w:vAlign w:val="bottom"/>
            <w:tcBorders>
              <w:top w:val="single" w:sz="8" w:color="002D72"/>
            </w:tcBorders>
          </w:tcPr>
          <w:p>
            <w:pPr>
              <w:ind w:left="96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(101)%</w:t>
            </w:r>
          </w:p>
        </w:tc>
      </w:tr>
      <w:tr>
        <w:trPr>
          <w:trHeight w:val="21"/>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April 30,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18599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62" w:lineRule="exact"/>
        <w:rPr>
          <w:sz w:val="20"/>
          <w:szCs w:val="20"/>
          <w:color w:val="auto"/>
        </w:rPr>
      </w:pPr>
    </w:p>
    <w:p>
      <w:pPr>
        <w:ind w:left="5720"/>
        <w:spacing w:after="0"/>
        <w:tabs>
          <w:tab w:leader="none" w:pos="7200" w:val="left"/>
          <w:tab w:leader="none" w:pos="8560" w:val="left"/>
          <w:tab w:leader="none" w:pos="10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38487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6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64"/>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revenue accounted for 84% and 90% of our total revenue for the fiscal years ended April 30, 2025 and 2024, respectively. Subscription revenue increased by $49.5 million, or 18%, for the fiscal year ended April 30, 2025, compared to the prior fiscal year. Approximately 16% and 13%, respectively, of the total subscription revenue for the fiscal year ended April 30, 2025 and 2024, respectively, was attributable to revenue from new customers, and the remaining 84% and 87%, respectively, was attributable to revenue from existing customers.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services revenue increased by $28.9 million, or 89%, for the fiscal year ended April 30, 2025, compared to the prior fiscal year, predominantly due to an increase in prioritized engineering services of $17.1 million and an increase in professional services of $11.9 million as a result of an increase in the number of consulting and training projects.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18599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2" w:lineRule="exact"/>
        <w:rPr>
          <w:sz w:val="20"/>
          <w:szCs w:val="20"/>
          <w:color w:val="auto"/>
        </w:rPr>
      </w:pPr>
    </w:p>
    <w:p>
      <w:pPr>
        <w:ind w:left="5720"/>
        <w:spacing w:after="0"/>
        <w:tabs>
          <w:tab w:leader="none" w:pos="7200" w:val="left"/>
          <w:tab w:leader="none" w:pos="8560" w:val="left"/>
          <w:tab w:leader="none" w:pos="10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38487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6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63"/>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subscription revenue for the fiscal year ended April 30, 2025 compared to the prior fiscal year was primarily due to higher payroll and contractor costs of $10.6 million, higher data center costs of $3.5 million and higher facilities costs of $1.4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professional services revenue for the fiscal year ended April 30, 2025 compared to the prior fiscal year was primarily due to higher payroll and contractor costs of $4.8 million as a result of an increase in the number of prioritized engineering service projects.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235,863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178,560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57,303</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total gross margin in the fiscal year ended April 30, 2025 was primarily driven by an increase in subscription margin, offset by decline in professional services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margin for the fiscal year ended April 30, 2025 increased primarily due to higher mix of revenue from demonstration licenses.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professional services margin for the fiscal year ended April 30, 2025 decreased primarily due to higher payroll and contractor costs as a result of an increase in the number of prioritized engineering service projects compared to last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36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18599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2" w:lineRule="exact"/>
        <w:rPr>
          <w:sz w:val="20"/>
          <w:szCs w:val="20"/>
          <w:color w:val="auto"/>
        </w:rPr>
      </w:pPr>
    </w:p>
    <w:p>
      <w:pPr>
        <w:ind w:left="5720"/>
        <w:spacing w:after="0"/>
        <w:tabs>
          <w:tab w:leader="none" w:pos="7200" w:val="left"/>
          <w:tab w:leader="none" w:pos="8560" w:val="left"/>
          <w:tab w:leader="none" w:pos="10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38487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6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21"/>
                <w:szCs w:val="21"/>
                <w:color w:val="auto"/>
              </w:rPr>
            </w:pPr>
          </w:p>
        </w:tc>
      </w:tr>
      <w:tr>
        <w:trPr>
          <w:trHeight w:val="24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5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increase in sales and marketing expense for the fiscal year ended April 30, 2025 compared to the prior fiscal year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payroll costs of $26.4 million as a result of additional headcount and overall costs to support the growth in our business, and increased stock-based compensation primarily related to additional equity awards granted to current and new employees and higher advertising costs of $2.5 million, partially offset by lower other marketing costs.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increase in research and development expense for the fiscal year ended April 30, 2025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payroll and contractor costs of $22.0 million and higher data center costs of $1.9 million.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The increase in general and administrative expense for the fiscal year ended April 30, 2025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payroll costs of $6.5 million as a result of additional headcount and overall costs to support the growth in our business, and increased stock-based compensation primarily related to additional equity awards granted to current and new employees, and higher professional services costs of $4.0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36,189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fiscal year ended April 30, 2025 compared to the prior fiscal year was primarily due to higher prevailing interest rates on our marketable securities portfolio and higher volume of investments in prior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fiscal year ended April 30, 2025 compared to the prior fiscal year was primarily due to higher foreign currency losses on the remeasurement of Euro-denominated cash and accounts receivable balances in the prior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provision for income taxes was primarily related to foreign and state tax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used in operating activities less purchases of property and equipment and capitalized software development costs. Free cash flow has limitations as an analytical tool, and it should not be considered in isolation or as a substitute for analysis of other GAAP financial measures, such as net cash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used in operating activities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7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(25,256)</w:t>
            </w:r>
          </w:p>
        </w:tc>
      </w:tr>
      <w:tr>
        <w:trPr>
          <w:trHeight w:val="27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w:t>
            </w:r>
          </w:p>
        </w:tc>
      </w:tr>
      <w:tr>
        <w:trPr>
          <w:trHeight w:val="26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(66,615)</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generated from our customers and sales of equity securities. As of April 30, 2025 and 2024, we had $164.4 million and $167.1 million of cash and cash equivalents and $578.3 million and $583.2 million of marketable securities, respectively, which are available for use in current operations. Our marketable securities generally consist of high-grade U.S. treasury securities, certificates of deposit, U.S. government agency securities, commercial paper and corporate debt securities. We have generated operating losses as reflected in our accumulated deficit of $1.4 billion as of April 30, 2025. We expect to continue to incur operating losses and generate negative cash flows from operations in the next few quarters due to the investments we intend to make in our business, and as a result we may require additional capital to execute on our strategic initiatives to grow the business.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existing cash and cash equivalents and marketable securities alone will be sufficient to support working capital and capital expenditure requirements for at least the next 12 months. We also believe we will meet expected future cash requirements and obligations through a combination of cash flows from operating activities and available cash balances.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Software enhancements, and the continuing market adoption of our C3 AI Software.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r>
      <w:tr>
        <w:trPr>
          <w:trHeight w:val="23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(117,683)</w:t>
            </w: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largest source of operating cash is cash collections from our customers for subscription and professional services.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of cash from operating activities are for payroll and contractors costs, third-party cloud hosting costs, sales and marketing costs, and other operational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2025, cash used in operating activities was $41.4 million, an increase of $21.0 million compared to last year. The increase was primarily attributable to an increase in cash received from customers and improved spend efficiency, partially offset by an increase in cash paid for payroll and related costs, and to vendors.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of $16.4 million for the fiscal year ended April 30, 2025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and sales of marketable securities of $666.5 million, offset by purchases of marketable securities of $647.0 million and capital expenditures of $3.0 million mainly related to the leasehold improvements associated with leased space.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$66.6 million for the fiscal year ended April 30, 2024 was primarily attributable to purchases of marketable securities of $827.9 million and capital expenditures of $28.0 million mainly related to the leasehold improvements associated with leased space, offset by maturities and sales of marketable securities of $789.3 million.</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of $22.2 million for the fiscal year ended April 30, 2025 was due to $20.4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exercise of stock options for Class A common stock and $10.9 million of proceeds from the issuance of Class A common stock under the Employee Stock Purchase Plan, or ESPP, offset by $9.1 million of taxes paid related to net share settlement of equity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$11.3 million for the fiscal year ended April 30, 2024 was due to $13.8 million of proceeds from the exercise of stock options for Class A common stock and $10.8 million of proceeds from the issuance of Class A common stock under the ESPP, offset by $13.2 million of taxes paid related to net share settlement of equity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contractual obligations and commitments primarily consist of operating lease commitments for our facilities and non-cancellable purchase commitments related to third-party cloud hosting and associated services, and professional services.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the accompanying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w:t>
      </w:r>
      <w:r>
        <w:rPr>
          <w:rFonts w:ascii="Times New Roman" w:cs="Times New Roman" w:eastAsia="Times New Roman" w:hAnsi="Times New Roman"/>
          <w:sz w:val="18"/>
          <w:szCs w:val="18"/>
          <w:i w:val="1"/>
          <w:iCs w:val="1"/>
          <w:color w:val="auto"/>
        </w:rPr>
        <w:t>Note 1.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and Significant Accounting Policies </w:t>
      </w:r>
      <w:r>
        <w:rPr>
          <w:rFonts w:ascii="Times New Roman" w:cs="Times New Roman" w:eastAsia="Times New Roman" w:hAnsi="Times New Roman"/>
          <w:sz w:val="18"/>
          <w:szCs w:val="18"/>
          <w:color w:val="auto"/>
        </w:rPr>
        <w:t>to our consolidated financial statements appearing elsewhere in this Annual Report on Form 10-K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71"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primarily comprised of software licenses, software-as-a-service offerings, stand-ready COE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initial production deployments of our C3 AI Applications or Generative AI, and consumption-based pricing. Sale of our software licenses grant customers the right to use our functional intellectual property, either on their own cloud instance or internal hardware infrastructure, over the contractual term. As part of our customer acquisition strategy, we also sell premium stand-ready COE support services, hosting services, initial production deployments of our applications, and software licenses that are demonstration versions of C3 AI Applications configured for a customer that do not require maintenance and support services. Sales of our software-as-a-service offerings include the right to use our software in a hosted environment over the contractual term. Substantially all of our subscriptions offerings include our software and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Revenue from software licenses that do not require maintenance and support services is recognized when the control of the software is transferred to the customer.</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additional runtime subscription fees for the use of our C3 Agentic AI Platform, a type of consumption billing based on computing and storage resources required to run our software. Customers may purchase blocks of runtime in advance. We typically recognize the consumption or usage-based revenue in excess of committed purchased runtime upon occurrence.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primarily consists of consulting, training, paid implementation services and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services. These services are distinct from our subscription revenue.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services fees are based on the level of effort required to perform such tasks and are typically a fixed-fee engagement with a duration of less than 12 months. Prioritized engineering services are undertaken at the request of customers to accelerate the development of software features in C3 AI Software products. These features are typically part of the Company’s product roadmap, but the customer contracts with the Company to obtain such features on a time-accelerated basis. The Company generally recognizes revenue from professional services over time as the performance obligations are satisfied.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r>
        <w:rPr>
          <w:rFonts w:ascii="Times New Roman" w:cs="Times New Roman" w:eastAsia="Times New Roman" w:hAnsi="Times New Roman"/>
          <w:sz w:val="18"/>
          <w:szCs w:val="18"/>
          <w:color w:val="auto"/>
        </w:rPr>
        <w:t>. Most of our contracts with customers contain multiple performance obligations. Our subscriptions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for a broad range of amounts and a representative standalone selling price, or SSP, is not always discernible from past transactions or other observable evidence. When appropriate, we determine SSP based on the price at which the performance obligation has previously been sold through past standalone transactions. When the SSP of a license or subscription and bundled maintenance and support services is highly variable and the contract also includes additional performance obligations with observable SSP, we first allocate the transaction price to the performance obligations with established SSPs and then apply the residual approach to allocate the remaining transaction price to the license or subscription and bundled maintenance and support services. If the contract contains a single performance obligation, the entire transaction price is allocated to the single performance obligation.</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Areas of Judgment and Estimates</w:t>
      </w:r>
      <w:r>
        <w:rPr>
          <w:rFonts w:ascii="Times New Roman" w:cs="Times New Roman" w:eastAsia="Times New Roman" w:hAnsi="Times New Roman"/>
          <w:sz w:val="18"/>
          <w:szCs w:val="18"/>
          <w:color w:val="auto"/>
        </w:rPr>
        <w:t>. Determining whether the software subscriptions and the related support are considered distinct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should be accounted for separately or as a single performance obligation requires significant judgment. Management applies judgment in identifying and evaluating terms and conditions in customer contracts that may impact evaluation of performance obligations and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relative SSP for contracts that contain multiple performance obligations requires significant judgement. If there is no observable SSP, it is estimated using judgement and considering all reasonably available information including but not limited to, pricing practices in customer contracts with multiple goods and services, competitor pricing strategies, internally approved pricing guidelines, and other observable inputs. If applying the residual approach results in zero or very little consideration being allocated to a performance obligation, we consider all reasonably available data to determine an appropriate allocation of the transaction price.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We do not hold or issue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2025, we had cash, cash equivalents, and marketable securities of $742.7 million. As of April 30, 2024, we had cash, cash equivalents, and marketable securities of $750.4 million. Interest-earning instruments carry a degree of interest rate risk. We do not enter into investments for trading or speculative purposes and have not used any derivative financial instruments to manage our interest rate risk exposure. As of April 30, 2025, a hypothetical 10% relative change in interest rates would not have had a material impact on the value of our cash equivalents or marketable securities portfolio. Any realized gains or losses resulting from such interest rate changes would only occur if we sold the marketable securities prior to maturity.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functional currency is the U.S. dollar. For the fiscal years ended April 30, 2025, 2024 and 2023, approximately 4%, 5%, and 8% of our sales were denominated in euros, respectively,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consolidated financial statements. These foreign currency forward contracts are intended to reduce foreign exchange impact on our forecasted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including higher employee compensation costs,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Report of Independent Registered Public Accounting Firm (PCAOB ID: 34)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Balance Sheets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Comprehensive Loss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Stockholders’ Equity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Cash Flows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9" w:name="page90"/>
    <w:bookmarkEnd w:id="89"/>
    <w:p>
      <w:pPr>
        <w:spacing w:after="0" w:line="200" w:lineRule="exact"/>
        <w:rPr>
          <w:sz w:val="20"/>
          <w:szCs w:val="20"/>
          <w:color w:val="auto"/>
        </w:rPr>
      </w:pPr>
    </w:p>
    <w:p>
      <w:pPr>
        <w:spacing w:after="0" w:line="260" w:lineRule="exact"/>
        <w:rPr>
          <w:sz w:val="20"/>
          <w:szCs w:val="20"/>
          <w:color w:val="auto"/>
        </w:rPr>
      </w:pPr>
    </w:p>
    <w:p>
      <w:pPr>
        <w:ind w:right="2540" w:firstLine="2535"/>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C3.ai, Inc. and subsidiaries (the “Company”) as of April 30, 2025 and 2024, the related consolidated statements of operations, comprehensive loss, stockholders’ equity, and cash flows, for each of the three fiscal years in the period ended April 30, 2025, and the related notes (collectively referred to as the “financial statements”). In our opinion, the financial statements present fairly, in all material respects, the financial position of the Company as of April 30, 2025 and 2024, and the results of its operations and its cash flows for each of the three years in the period ended April 30, 2025,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April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June 23,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 Refer to Notes 1 and 2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revenue contracts with customers include multiple performance obligations (such as delivery of software licenses, software-as-a-service, associated maintenance and support, professional services, and others). The Company typically negotiates contracts with its customers, and while many of these contracts contain standard terms and conditions, customer contracts may have customer specific terms and conditions due to the nature of the contracts.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accounting principles generally accepted in the United States of America, the Company is required to evaluate whether each performance obligation represents goods and services that are distinct. A good or service is distinct where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 The identification and evaluation of performance obligations can require significant judgment and could impact the amount of revenue recognized in a given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Company’s identification and evaluation of performance obligations impacting revenue recognition as a critical audit matter because of the judgment management makes in evaluating the terms and conditions in such contracts and the impact of such judgment on the amount of revenue recognized in a given period. This required a high degree of auditor judgment and an increased extent of testing.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identification and evaluation of performance obligations for customer contracts included the following, among others:</w:t>
      </w:r>
    </w:p>
    <w:p>
      <w:pPr>
        <w:spacing w:after="0" w:line="108"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Company’s process related to the identification of performance obligations, specifically around the review of the terms and conditions and proper evaluation of performance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revenue recognition, including the identification of performance obligations, for reasonableness and compliance with generally accepted accounting principles.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performed the following:</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contract source documents, including order forms, master agreements, amendments, and other documents that were a part of the contract.</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terms and conditions in the contract source documents and evaluated the appropriateness of management’s application of their accounting policies in the identification and evaluation of performance obligations.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167,146</w:t>
            </w:r>
          </w:p>
        </w:tc>
        <w:tc>
          <w:tcPr>
            <w:tcW w:w="0" w:type="dxa"/>
            <w:vAlign w:val="bottom"/>
          </w:tcPr>
          <w:p>
            <w:pPr>
              <w:spacing w:after="0"/>
              <w:rPr>
                <w:sz w:val="1"/>
                <w:szCs w:val="1"/>
                <w:color w:val="auto"/>
              </w:rPr>
            </w:pP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578,330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583,221</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$877 and $359 as of April 30, 2025 and 2024, 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130,064</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23,963</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904,394</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88,631</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44,575</w:t>
            </w:r>
          </w:p>
        </w:tc>
        <w:tc>
          <w:tcPr>
            <w:tcW w:w="0" w:type="dxa"/>
            <w:vAlign w:val="bottom"/>
          </w:tcPr>
          <w:p>
            <w:pPr>
              <w:spacing w:after="0"/>
              <w:rPr>
                <w:sz w:val="1"/>
                <w:szCs w:val="1"/>
                <w:color w:val="auto"/>
              </w:rPr>
            </w:pPr>
          </w:p>
        </w:tc>
      </w:tr>
      <w:tr>
        <w:trPr>
          <w:trHeight w:val="26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1,025,882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1,038,225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11,316</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44,263</w:t>
            </w:r>
          </w:p>
        </w:tc>
        <w:tc>
          <w:tcPr>
            <w:tcW w:w="0" w:type="dxa"/>
            <w:vAlign w:val="bottom"/>
          </w:tcPr>
          <w:p>
            <w:pPr>
              <w:spacing w:after="0"/>
              <w:rPr>
                <w:sz w:val="1"/>
                <w:szCs w:val="1"/>
                <w:color w:val="auto"/>
              </w:rPr>
            </w:pP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37,230</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131,884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102,335</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60,805</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187,579</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$0.001 par value. 1,000,000,000 shares authorized as of April 30, 2025 and 2024, respectively;</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130,438,499 and 120,205,931 shares issued and outstanding as of April 30, 2025 and 2024, 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$0.001 par value; 3,500,000 shares authorized as of April 30, 2025 and 2024, respectively; 3,499,992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3,499,992 shares issued and outstanding as of April 30, 2025 and 2024, 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2,216,284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3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(1,378,635)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0" w:type="dxa"/>
            <w:vAlign w:val="bottom"/>
          </w:tcPr>
          <w:p>
            <w:pPr>
              <w:spacing w:after="0"/>
              <w:rPr>
                <w:sz w:val="1"/>
                <w:szCs w:val="1"/>
                <w:color w:val="auto"/>
              </w:rPr>
            </w:pPr>
          </w:p>
        </w:tc>
      </w:tr>
      <w:tr>
        <w:trPr>
          <w:trHeight w:val="23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838,303</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1,025,882</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1,038,225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230,443</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w:t>
            </w: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470,951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(290,493)</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6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basic and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109,851</w:t>
            </w: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$10,581 and $75,452 for the fiscal years ended April 30, 2024 and 2023, respectively.</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$5,804 and $16,774 for the fiscal years ended April 30, 2024 and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sales and marketing expense of $810 and $13,962 for the fiscal years ended April 30, 2024 and 2023,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6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(279,874)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(267,076)</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2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00"/>
              <w:spacing w:after="0" w:line="136" w:lineRule="exact"/>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vMerge w:val="restart"/>
          </w:tcPr>
          <w:p>
            <w:pPr>
              <w:ind w:left="40"/>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20" w:type="dxa"/>
            <w:vAlign w:val="bottom"/>
            <w:gridSpan w:val="3"/>
            <w:vMerge w:val="restart"/>
          </w:tcPr>
          <w:p>
            <w:pPr>
              <w:ind w:left="80"/>
              <w:spacing w:after="0" w:line="13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8"/>
                <w:szCs w:val="18"/>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989,477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(268,839)</w:t>
            </w:r>
          </w:p>
        </w:tc>
        <w:tc>
          <w:tcPr>
            <w:tcW w:w="0" w:type="dxa"/>
            <w:vAlign w:val="bottom"/>
          </w:tcPr>
          <w:p>
            <w:pPr>
              <w:spacing w:after="0"/>
              <w:rPr>
                <w:sz w:val="1"/>
                <w:szCs w:val="1"/>
                <w:color w:val="auto"/>
              </w:rPr>
            </w:pP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2023</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113,943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1,740,174</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(810,237)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929,665</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34,833</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37"/>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0" w:type="dxa"/>
            <w:vAlign w:val="bottom"/>
          </w:tcPr>
          <w:p>
            <w:pPr>
              <w:spacing w:after="0"/>
              <w:rPr>
                <w:sz w:val="1"/>
                <w:szCs w:val="1"/>
                <w:color w:val="auto"/>
              </w:rPr>
            </w:pPr>
          </w:p>
        </w:tc>
      </w:tr>
      <w:tr>
        <w:trPr>
          <w:trHeight w:val="26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22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22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00"/>
              <w:spacing w:after="0" w:line="136" w:lineRule="exact"/>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vMerge w:val="restart"/>
          </w:tcPr>
          <w:p>
            <w:pPr>
              <w:jc w:val="center"/>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20" w:type="dxa"/>
            <w:vAlign w:val="bottom"/>
            <w:gridSpan w:val="3"/>
            <w:vMerge w:val="restart"/>
          </w:tcPr>
          <w:p>
            <w:pPr>
              <w:ind w:left="80"/>
              <w:spacing w:after="0" w:line="13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35"/>
        </w:trPr>
        <w:tc>
          <w:tcPr>
            <w:tcW w:w="4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8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8"/>
                <w:szCs w:val="18"/>
                <w:color w:val="auto"/>
              </w:rPr>
            </w:pPr>
          </w:p>
        </w:tc>
        <w:tc>
          <w:tcPr>
            <w:tcW w:w="840" w:type="dxa"/>
            <w:vAlign w:val="bottom"/>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20,416</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41,001</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189,091</w:t>
            </w:r>
          </w:p>
        </w:tc>
        <w:tc>
          <w:tcPr>
            <w:tcW w:w="0" w:type="dxa"/>
            <w:vAlign w:val="bottom"/>
          </w:tcPr>
          <w:p>
            <w:pPr>
              <w:spacing w:after="0"/>
              <w:rPr>
                <w:sz w:val="1"/>
                <w:szCs w:val="1"/>
                <w:color w:val="auto"/>
              </w:rPr>
            </w:pPr>
          </w:p>
        </w:tc>
      </w:tr>
      <w:tr>
        <w:trPr>
          <w:trHeight w:val="23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46"/>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133,938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2,216,284</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(1,378,635)</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838,303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(268,839)</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216,542</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discounts on marketable securities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(54,517)</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1"/>
                <w:szCs w:val="21"/>
                <w:color w:val="auto"/>
                <w:vertAlign w:val="superscript"/>
              </w:rPr>
              <w:t>(4)</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revenue</w:t>
            </w:r>
            <w:r>
              <w:rPr>
                <w:rFonts w:ascii="Times New Roman" w:cs="Times New Roman" w:eastAsia="Times New Roman" w:hAnsi="Times New Roman"/>
                <w:sz w:val="21"/>
                <w:szCs w:val="21"/>
                <w:color w:val="auto"/>
                <w:vertAlign w:val="superscript"/>
              </w:rPr>
              <w:t>(5)</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(115,691)</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(70,518)</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(745,249)</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Maturities and sales of investments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666,450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789,292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876,713</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59,946</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Class A common stock under employee stock purchase plan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Class A common stock options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352,519</w:t>
            </w:r>
          </w:p>
        </w:tc>
        <w:tc>
          <w:tcPr>
            <w:tcW w:w="0" w:type="dxa"/>
            <w:vAlign w:val="bottom"/>
          </w:tcPr>
          <w:p>
            <w:pPr>
              <w:spacing w:after="0"/>
              <w:rPr>
                <w:sz w:val="1"/>
                <w:szCs w:val="1"/>
                <w:color w:val="auto"/>
              </w:rPr>
            </w:pPr>
          </w:p>
        </w:tc>
      </w:tr>
      <w:tr>
        <w:trPr>
          <w:trHeight w:val="26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284,829</w:t>
            </w:r>
          </w:p>
        </w:tc>
        <w:tc>
          <w:tcPr>
            <w:tcW w:w="0" w:type="dxa"/>
            <w:vAlign w:val="bottom"/>
          </w:tcPr>
          <w:p>
            <w:pPr>
              <w:spacing w:after="0"/>
              <w:rPr>
                <w:sz w:val="1"/>
                <w:szCs w:val="1"/>
                <w:color w:val="auto"/>
              </w:rPr>
            </w:pPr>
          </w:p>
        </w:tc>
      </w:tr>
      <w:tr>
        <w:trPr>
          <w:trHeight w:val="246"/>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 cash paid for income taxes</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4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liabilities</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4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(including remeasurement of right-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60" w:type="dxa"/>
            <w:vAlign w:val="bottom"/>
            <w:vMerge w:val="continue"/>
          </w:tcPr>
          <w:p>
            <w:pPr>
              <w:spacing w:after="0"/>
              <w:rPr>
                <w:sz w:val="13"/>
                <w:szCs w:val="13"/>
                <w:color w:val="auto"/>
              </w:rPr>
            </w:pPr>
          </w:p>
        </w:tc>
        <w:tc>
          <w:tcPr>
            <w:tcW w:w="920" w:type="dxa"/>
            <w:vAlign w:val="bottom"/>
            <w:vMerge w:val="restart"/>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8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0" w:type="dxa"/>
            <w:vAlign w:val="bottom"/>
          </w:tcPr>
          <w:p>
            <w:pPr>
              <w:spacing w:after="0"/>
              <w:rPr>
                <w:sz w:val="1"/>
                <w:szCs w:val="1"/>
                <w:color w:val="auto"/>
              </w:rPr>
            </w:pPr>
          </w:p>
        </w:tc>
      </w:tr>
      <w:tr>
        <w:trPr>
          <w:trHeight w:val="116"/>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of-use assets and lease liabilities due to changes in the timing of receipt of lease incentives)</w:t>
            </w: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60" w:type="dxa"/>
            <w:vAlign w:val="bottom"/>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arising from lease modifications</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Unpaid liabilities related to intangible purchases</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6"/>
                <w:szCs w:val="16"/>
                <w:color w:val="auto"/>
              </w:rPr>
              <w:t>Receivable from exercise of stock options included in prepaid expenses, other current assets and</w:t>
            </w:r>
          </w:p>
        </w:tc>
        <w:tc>
          <w:tcPr>
            <w:tcW w:w="920" w:type="dxa"/>
            <w:vAlign w:val="bottom"/>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29"/>
        </w:trPr>
        <w:tc>
          <w:tcPr>
            <w:tcW w:w="67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80" w:type="dxa"/>
            <w:vAlign w:val="bottom"/>
            <w:gridSpan w:val="3"/>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760" w:type="dxa"/>
            <w:vAlign w:val="bottom"/>
            <w:tcBorders>
              <w:bottom w:val="single" w:sz="8" w:color="CCEEFF"/>
            </w:tcBorders>
            <w:vMerge w:val="continue"/>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$12,444 and $38,772 for the fiscal years ended April 30, 2024 and 2023, respectively.</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$(810) and $(4,741) for the fiscal years ended April 30, 2024 and 2023, respectively.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$248 and $(16,349) for the fiscal years ended April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$(2,448) and $(2,510) for the fiscal years ended April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$(46) and $117 for the fiscal years ended April 30, 2024 and 2023,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C3.ai, Inc. (including its subsidiaries, “C3 AI” or “the Company”) is an enterprise artificial intelligence (“AI”) software provider. The Company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and C3 Generative AI, a suite of domain-specific generative AI offerings for the enterprise. The Company supports customers in the United States, Europe, and other parts of the world. The Company was initially formed as a limited liability company in Delaware on January 8, 2009 and converted to a Delaware corporation in June 2012.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generally accepted accounting principles in the United States (“U.S. GAAP”) and applicable rules and regulations of the U.S. Securities and Exchange commission (the “SEC”). The consolidated financial statements include the accounts of the Company and its wholly owned subsidiaries. All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Such estimates include, but are not limited to, determining standalone selling price for performance obligations in contracts with customers and estimating variable consideration, the estimated expected benefit period for deferred contract acquisition costs, the useful lives of long-lived assets, the incremental borrowing rate for operating leases,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April 30. References to fiscal 2025, 2024 and 2023 relate to the fiscal years ended April 30,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Financial instruments that potentially subject the Company to concentration of credit risk consist of cash and cash equivalents, marketable securities and accounts receivable. The majority of the Company’s cash and cash equivalents are held by one financial institution. The Company is exposed to that financial institution to the extent that its cash balance with that financial institution is in excess of Federal Deposit Insurance Company (“FDIC”) insurance limits. The Company’s investment policy is to invest in securities with a minimum rating of P-2 by Moody’s, A-2 by Standard &amp; Poor, F2 by Fitch or higher for short-term investments, minimum rating of BBB by Moody’s, Standard &amp; Poor, Fitch or higher for long-term investments with maturity dates between 12 to 18 months, and minimum rating of A or higher by Standard &amp; Poor and Fitch for long-term investments with maturity dates of 18 months or longer from the date of purchase. For accounts receivable, the Company is exposed to credit risk in the event of nonpayment by customers up to the amounts recorded on the consolidated balance sheets. The Company manages its accounts receivable credit risk through ongoing credit evaluation of its customers financial conditions. The Company generally does not require collateral from its customers. See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information regarding the Company’s significant customers.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consisted of investments in money market funds, commercial paper, U.S. treasury securities and corporate debt securities as of April 30,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restricted cash pledged as security deposits at April 30, 2025 and 2024 of $12.6 million and $12.6 million, respectively, representing a security deposit required by certain leases. The balance of restricted cash as of April 30, 2025 and 2024 was recorded in other assets, non-current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and are recorded at estimated fair value. The Company’s available-for-sale marketable securities comprised of U.S. treasury securities, certificates of deposit, U.S. government agency securities, commercial paper, and corporate debt securities, are classified as available-for-sale marketable securities. The Company considers all of its marketable securities as available for use in current operations, including those with maturity dates beyond one year, and therefore classifies these securities within current assets on the consolidated balance sheets. Purchase premiums and discounts are amortized or accreted using the effective interest method over the life of the related security and such amortization and accretion are included in interest income in the consolidated statements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marketable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 Credit related unrealized losses are recognized as an allowance on the consolidated balance sheets with a corresponding charge in the other income (expense), net in the consolidated statements of operations. Non-credit related unrealized losses and unrealized gains on available-for-sale marketable securities are reported in other comprehensive income (loss) as a separate component on the consolidated statements of comprehensive loss. Realized gains and losses are determined based on the specific-identification method and are reported in interest income on the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net of allowance of doubtful accounts.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An allowance for doubtful accounts balance of $0.9 million and $0.4 million was recorded as of April 30, 2025 and 2024, respectively. Accounts receivable included unbilled receivables of as of April 30, 2025 and April 30, 2024 of $40.2 million and $62.3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that are unobservable for the asset or liability.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are comprised primarily of prepaid cloud subscriptions, other receivables, costs to obtain and fulfill a contract, prepaid software subscriptions, prepaid rent, and prepaid insurance premiums.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Assets are depreciated using the straight-line method over useful lives of three to five years. Leasehold improvements and certain furniture and fixtures are amortized using the straight-line method over the lesser of the remaining respective lease term or useful lives.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April 30, 2025,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annual impairment test of goodwill as of February 1, and whenever events or circumstances indicate that the asset might be impaired. The tests did not result in an impairment to goodwill during the fiscal years ended April 30, 2025, 2024 and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arrangements that include lease and non-lease components. The Company has elected to not account for the lease and non-lease components separately. For short-term leases, defined as leases with a lease term of 12 months or less, the Company elected to not recognize an associated lease liability and right-of-use (“ROU”), asset. Lease payments for short-term leases are expensed on a straight-line basis over the lease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 The Company recognizes sublease income on a straight-line basis over the sublease term. Sublease income is recorded as a reduction to the Company’s operating lease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financing leases. Operating lease ROU assets represent the Company’s right to use an underlying asset for the lease term and lease liabilities represent its obligation to make lease payments arising from the lease. Operating lease ROU assets and liabilities are recognized at the commencement date based on the present value of remaining lease payments over the lease term. The Company uses the rate implicit in the lease when readily determinable at lease inception. If the implicit rate is not readily determinable, the Company uses its incremental borrowing rate based on the information available at the adoption date for leases that commenced prior to the adoption date and the commencement date for leases that commenced after the adoption date. The incremental borrowing rate assumptions include the lease term and the Company’s credit risk. The operating lease ROU asset also includes any advance lease payments made and excludes lease incentives. The Company’s lease terms include options to extend or terminate the lease when it is reasonably certain that the Company will exercise that option. Lease expense for lease payments is recognized on a straight-line basis as operating expense in the consolidated statements of operations over the lease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software development costs subsequent to the establishment of technological feasibility. Based on the Company’s product development process and substantial development risks, the Company’s products are made available for general release as soon as technological feasibility is reached.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at the greater of the ratio of current gross revenues to the total of current and anticipated future gross revenues or over the remaining estimated economic life of the product.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2025 and 2024, capitalized software costs of $4.3 million and $4.3 million, respectively, were included in other assets, non-current on the consolidated balance sheets. The Company amortized capitalized software costs of $0.4 million, $1.3 million and $1.1 million during the fiscal years ended April 30, 2025, 2024 and 2023, respectively, and included in cost of subscription revenue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of the Company’s revenue recognition criteria are met. The portion of deferred revenue that is anticipated to be recognized as revenue during the succeeding twelve-month period is recorded as deferred revenue, current and the remaining portion is recorded as deferred revenue, non-current on the consolidated balance sheets. The Company’s contract liabilities are classified as deferred revenue upon the right to invoice or when payments have been received for undelivered products or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Accounting Standards Codifications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all periods presented. The core principle of ASC 606 is to recognize revenue from the transfer of promised goods or services to customers in an amount that reflects the consideration the Company expects to be entitled to in exchange for those goods or services. This principle is achieved by applying the following five-step approach:</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Contract, or Contracts, with a Customer. </w:t>
      </w:r>
      <w:r>
        <w:rPr>
          <w:rFonts w:ascii="Times New Roman" w:cs="Times New Roman" w:eastAsia="Times New Roman" w:hAnsi="Times New Roman"/>
          <w:sz w:val="18"/>
          <w:szCs w:val="18"/>
          <w:color w:val="auto"/>
        </w:rPr>
        <w:t>A contract with a customer exists when (1) the Company enters into an enforceable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Performance Obligations in the Contract. </w:t>
      </w:r>
      <w:r>
        <w:rPr>
          <w:rFonts w:ascii="Times New Roman" w:cs="Times New Roman" w:eastAsia="Times New Roman" w:hAnsi="Times New Roman"/>
          <w:sz w:val="18"/>
          <w:szCs w:val="18"/>
          <w:color w:val="auto"/>
        </w:rPr>
        <w:t>Performance obligations promised in a contract are identified based on the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Determination of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transferring goods or services to the customer, net of sales taxes or value-added taxes. If the transaction price includes variable consideration, the Company includes an estimate of the amount it expects to receive if it is probable that a significant reversal of cumulative revenue recognized will not occur. Usage-based fees earned in exchange for the use of the Company’s software licenses and subscription services in excess of committed usage are recognized in the period when usage occurs.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Allocation of the Transaction Price to the Performance Obligations in the Contract. </w:t>
      </w:r>
      <w:r>
        <w:rPr>
          <w:rFonts w:ascii="Times New Roman" w:cs="Times New Roman" w:eastAsia="Times New Roman" w:hAnsi="Times New Roman"/>
          <w:sz w:val="18"/>
          <w:szCs w:val="18"/>
          <w:color w:val="auto"/>
        </w:rPr>
        <w:t>Contracts that contain multiple performance obligations require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on a stand-alone basis, internally approved pricing guidelines and other relevant data points. If there is no observable SSP, it is estimated using judgement and considering all reasonably available information including but not limited to pricing practices, competitor pricing strategies and other observable inputs.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performance obligation, the Company considers all reasonably available data to determine an appropriate allocation of the transaction price. If the contract contains a single performance obligation, the entire transaction price is allocated to the single performance obligation.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Recognition of Revenue when, or as, Performance Obligations are Satisfied</w:t>
      </w:r>
      <w:r>
        <w:rPr>
          <w:rFonts w:ascii="Times New Roman" w:cs="Times New Roman" w:eastAsia="Times New Roman" w:hAnsi="Times New Roman"/>
          <w:sz w:val="18"/>
          <w:szCs w:val="18"/>
          <w:color w:val="auto"/>
        </w:rPr>
        <w:t>. The Company satisfies substantially all of its performance obligations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discussed in further detail below. Revenue is recognized at the time the related performance obligation is satisfied with the transfer of a promised good or service to a customer over time. Revenue from software licenses that do not require maintenance and support services is recognized when the control of the software is transferred to the customer.</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Subscription Revenue</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Subscription revenue is primarily comprised of software licenses, software-as-a-service offerings, stand-ready COE support services, initial production deployments of our C3 AI Applications or Generative AI, and hosting charges. Software licenses grant customers the right to use C3 AI Software, either on their own cloud instances or their internal hardware infrastructures, during the contractual term. The Company also offers a premium stand ready service through our COE. Sales of our software-as-a-service offerings include a right to use C3 AI Software during the contract term. In addition, customers pay a usage-based runtime fee for C3 AI Software for specified levels of guaranteed minimum consumption. Subscriptions also include maintenance and support services, which include critical and continuous updates to the software that are integral to maintaining the intended utility of the software over the contractual term. For a significant majority of the Company’s offerings, software subscriptions and maintenance and support services are highly interdependent and interrelated and represent a single distinct performance obligation within the context of the contract. The Company also sells software licenses that do not require maintenance and support services. The Company currently has a small number of customers that license software offerings under a perpetual license model, and the Company expects that may continue for the foreseeable future for certain customers due to their specific contracting requirements.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subscriptions are generally offered under renewable, multi-period, fixed fee contracts where payments are typically due in advance. A time-elapsed output method is used to measure progress because the nature of the promise is a stand-ready service. The Company also offers premium stand-ready C3 AI COE support services, hosting services and trial services, which are distinct performance obligations. A description of the Company’s offerings are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both"/>
        <w:ind w:left="660" w:hanging="4"/>
        <w:spacing w:after="0" w:line="254"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C3 Agentic AI Platform. </w:t>
      </w:r>
      <w:r>
        <w:rPr>
          <w:rFonts w:ascii="Times New Roman" w:cs="Times New Roman" w:eastAsia="Times New Roman" w:hAnsi="Times New Roman"/>
          <w:sz w:val="18"/>
          <w:szCs w:val="18"/>
          <w:color w:val="auto"/>
        </w:rPr>
        <w:t>C3 Agentic AI Platform is a software platform that uses flexible, model-driven architecture to accelerate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complexities of developing enterprise-grade AI applications. With C3 Agentic AI Platform, organizations can integrate advanced AI capabilities seamlessly and deliver AI-enabled applications faster than alternative methods to capture value quickly. The C3 Agentic AI Platform offers advanced agentic AI services and capabilities, including omni-modal data fusion, secure deployment, advanced orchestration, and a robust agent and tools framework. These features enable seamless integration and management of multiple AI models within a unified workflow, supporting a wide range of high-value, cross-industry applications and enhancing operational efficiency, security, and decision-making across sectors. Customers primarily pay for the C3 Agentic AI Platform via fixed annual fees based on the number of development users allowed to access the C3 Agentic AI Platform. The C3 Agentic AI Platform offering is primarily a term subscription and may generate additional runtime subscription fees, a form of consumption or usage-based revenue based on compute and storage resources required to run the C3 Agentic AI Platform.</w:t>
      </w:r>
    </w:p>
    <w:p>
      <w:pPr>
        <w:spacing w:after="0" w:line="131"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C3 AI Applications are production applications that address a wide range of predictive analytics, reporting, visualization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Generative AI use cases. C3 AI Applications are industry-tested and proven enterprise-grade applications built on a cohesive suite architecture that is designed to integrate and process highly dynamic data sets from sensor networks and enterprise and extraprise information systems, and enable advanced ML capabilities. C3 AI Applications sold without the C3 Agentic AI Platform can be in the form of term or perpetual licenses or subscriptions and earn revenue through a fixed fee or through runtime subscription fees. This includes software licenses that are demonstration versions of C3 AI Applications configured for a customer and do not require maintenance and support services.</w:t>
      </w:r>
    </w:p>
    <w:p>
      <w:pPr>
        <w:spacing w:after="0" w:line="128" w:lineRule="exact"/>
        <w:rPr>
          <w:rFonts w:ascii="Times New Roman" w:cs="Times New Roman" w:eastAsia="Times New Roman" w:hAnsi="Times New Roman"/>
          <w:sz w:val="18"/>
          <w:szCs w:val="18"/>
          <w:color w:val="auto"/>
        </w:rPr>
      </w:pPr>
    </w:p>
    <w:p>
      <w:pPr>
        <w:jc w:val="both"/>
        <w:ind w:left="660" w:hanging="4"/>
        <w:spacing w:after="0" w:line="267"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C3 Generative AI combines the utility of LLMs, generative AI, reinforcement learning, natural language processing,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C3 Agentic AI Platform to rapidly locate, retrieve, and present information, disparate data stores, applications, and enterprise information systems.</w:t>
      </w:r>
    </w:p>
    <w:p>
      <w:pPr>
        <w:spacing w:after="0" w:line="119"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Maintenance and Support Services. </w:t>
      </w:r>
      <w:r>
        <w:rPr>
          <w:rFonts w:ascii="Times New Roman" w:cs="Times New Roman" w:eastAsia="Times New Roman" w:hAnsi="Times New Roman"/>
          <w:sz w:val="18"/>
          <w:szCs w:val="18"/>
          <w:color w:val="auto"/>
        </w:rPr>
        <w:t>C3 AI Maintenance and Support Services are provided for the C3 Agentic AI Platform and the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Applications that are selected by the customer. This support includes standard monitoring, performance monitoring, database maintenance, security monitoring, upgrading, backup and restore, patching, etc. provided by the Company. The Company continuously provides updates that are critical to the continued and enhanced utility of the software.</w:t>
      </w:r>
    </w:p>
    <w:p>
      <w:pPr>
        <w:spacing w:after="0" w:line="125"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COE Support Services. </w:t>
      </w:r>
      <w:r>
        <w:rPr>
          <w:rFonts w:ascii="Times New Roman" w:cs="Times New Roman" w:eastAsia="Times New Roman" w:hAnsi="Times New Roman"/>
          <w:sz w:val="18"/>
          <w:szCs w:val="18"/>
          <w:color w:val="auto"/>
        </w:rPr>
        <w:t>COE Support Services provide premium development services and support by an available pool of resources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the customer to utilize, extend or modify C3 AI Applications and/or to develop its own applications on the C3 Agentic AI Platform COE Support Services represent a stand-ready performance obligation comprised of a series of distinct days of service that is satisfied and recognized in revenue ratably over the term of the COE agreement. Revenue for COE Support Services is included within subscription revenue in the consolidated statements of operations.</w:t>
      </w:r>
    </w:p>
    <w:p>
      <w:pPr>
        <w:spacing w:after="0" w:line="129"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79"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Initial Production Deployments. </w:t>
      </w:r>
      <w:r>
        <w:rPr>
          <w:rFonts w:ascii="Times New Roman" w:cs="Times New Roman" w:eastAsia="Times New Roman" w:hAnsi="Times New Roman"/>
          <w:sz w:val="18"/>
          <w:szCs w:val="18"/>
          <w:color w:val="auto"/>
        </w:rPr>
        <w:t>Initial production deployments are subscriptions for developers access to C3 AI Application(s) and/or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Agentic AI Platform or C3 Generative AI and COE support services of up to six-months. Following the initial production deployment period, customers either pay a monthly fee and consumption charges using vCPU and vGPU hours as the metric to calculate payment or enter into a time-certain multi-period commitment that may include consumption charge.</w:t>
      </w:r>
    </w:p>
    <w:p>
      <w:pPr>
        <w:spacing w:after="0" w:line="125" w:lineRule="exact"/>
        <w:rPr>
          <w:rFonts w:ascii="Times New Roman" w:cs="Times New Roman" w:eastAsia="Times New Roman" w:hAnsi="Times New Roman"/>
          <w:sz w:val="18"/>
          <w:szCs w:val="18"/>
          <w:i w:val="1"/>
          <w:iCs w:val="1"/>
          <w:color w:val="auto"/>
        </w:rPr>
      </w:pPr>
    </w:p>
    <w:p>
      <w:pPr>
        <w:jc w:val="both"/>
        <w:ind w:left="660" w:hanging="4"/>
        <w:spacing w:after="0" w:line="256" w:lineRule="auto"/>
        <w:tabs>
          <w:tab w:leader="none" w:pos="9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Hosting Services. </w:t>
      </w:r>
      <w:r>
        <w:rPr>
          <w:rFonts w:ascii="Times New Roman" w:cs="Times New Roman" w:eastAsia="Times New Roman" w:hAnsi="Times New Roman"/>
          <w:sz w:val="18"/>
          <w:szCs w:val="18"/>
          <w:color w:val="auto"/>
        </w:rPr>
        <w:t>For certain customers, the Company provides access to the C3 Agentic AI Platform and/or C3 AI Applications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cloud environment. The customer consumes and receives benefit throughout the hosting period from the entity’s performance of hosting and providing access to the hosted software, which the customer would otherwise have to undertake itself or obtain another party to do. The Company recognizes hosting services over time based on the consumption patterns of the customers. Customers who choose to install the C3 Agentic AI Platform and/or C3 AI Applications in their own cloud environments do not subscribe to the Company’s hosting services. Hosting services are generally offered as part of the subscription for C3 Agentic AI Platform and/or C3 AI Application arrangements, including initial production deployments and the amount of revenue recognized on a monthly basis varies based on actual consumption by the customer.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Professional Services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professional revenue primarily include service fees and prioritized engineering services. Service fees include revenue from services such as consulting, training, and paid implementation services. For service fees, revenue is typically recognized over time as the services are performed. Prioritized engineering services are undertaken when a customer requests that the Company accelerate the design, development, and delivery of software features and functions that are planned in future product roadmap. When the Company agrees to this, an agreed upon fee is negotiated to accelerate the development of the software as well as other terms, such as relevant specifications. When the software feature is delivered, it becomes integrated to the Company’s core product offering, is available to all subscribers of the underlying software product and enhances the operation of that product going forward. Such prioritized engineering services result in production-level computer software – compiled code that enhances the functionality of our production products – which is available for customers to use over the life of their software licenses. Prioritized engineering services revenue is recognized as professional services over the period in which the software development is completed.</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typically invoices customers for subscription fees in annual increments upon execution of the initial contract or subsequent renewal, payable within 30 to 60 days, and providing customers access to the C3 Agentic AI Platform and/or C3 AI Applications. For initial production deployments, the Company typically invoices customers upon execution of the contract. Monthly usage-based runtime and hosting charges are billed as they are delivered or in arrears. Certain government contracts are cancellable during the subscription term depending on the future fiscal funding available to the contract. The Company has not experienced any cancellation due to the funding constraint related to such contracts.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Accounts receivable are recorded at the invoiced amount, net of an allowance for doubtful accounts. A receivable is recognized in the period the Company delivers goods or provides services, or when the Company’s right to consideration is unconditional, whichever is earlier. In situations where revenue recognition occurs before invoicing, an unbilled receivable is recorded.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revenue recognition usually differs from the timing of payment, the Company has determined the contracts generally do not include a significant financing component, because the period between when the Company transfers its software and services to a customer and when the customer pays for the software and service is typically one year or less. The primary purpose of the invoicing terms is to provide customers with simplified and predictable ways of purchasing the Company’s software and services, not to receive or provide 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acquisition costs are primarily related to sales commissions if such costs are incremental costs to obtain a contract without a service condition.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commissions are deferred and then amortized taking into consideration the pattern of transfer to which assets relate. If the commissions paid on the initial and renewal contracts are not commensurate to each other, the Company amortizes the commissions paid on the initial contract over an expected period of benefit, including expected renewals, which is determined to be approximately five years. In arriving at the average period of benefit the Company considered the duration of the Company’s relationships with customers and the Company’s technology. Sales commissions for renewal contracts are generally deferred and amortized over the contract period. Sales commissions for renewal contracts are expensed as incurred when the expected amortization period is one year or less.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to obtain a contract that will be amortized within the succeeding 12-month period are classified as current and included in prepaid expenses and other current assets on the consolidated balance sheets. The remaining balance is classified as non-current and are included in other assets on the consolidated balance sheets. Amortization expense is included in sales and marketing expenses in the consolidated statements of operations. Deferred commissions are periodically analyzed for impairment.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subscription revenue consists primarily of fulfillment costs related to compensation, including salaries, bonuses, benefits, stock-based compensation and other related expenses for the production environment, support and COE staff, third-party system integration partners, hosting of the Company’s AI Platform, including payments to outside cloud service providers, and allocated overhead and depreciation for facilities.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professional services revenue consists primarily of compensation, including salaries, bonuses, benefits, stock-based compensation and other related costs associated with the Company’s professional service personnel, prioritized engineering personnel, third-party system integration partners, and allocated overhead and depreciation for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offerings are warranted to perform in a manner consistent with industry standards.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arrangements generally include provisions for indemnifying customers against liabilities if its services infringe on a third party’s intellectual property rights. They also generally include service-level agreements warranting defined levels of uptime reliability and performance.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consider such assurance-type warranties as performance obligations under ASC 606. To date, the Company has not incurred material costs as a result of its warranties and indemnifications. There are no accrued liabilities related to these obligations on the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 awards, restricted stock units (“RSUs”) and employee stock awards related to the Employee Stock Purchase Plan (“ESPP”) is recognized based on the fair value of the awards granted.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and ESPP awards are estimated on the grant date using the Black-Scholes option pricing model. The Black-Scholes option pricing model requires the input of assumptions, including the fair value of the underlying common stock, the expected term of the option, the expected volatility of the price of the Company’s common stock, risk-free interest rates, and the expected dividend yield of the Company’s common stock, which are estimated as follows: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—For stock options considered to be “plain vanilla” options, the Company estimates the expected term based on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essentially the weighted average of the vesting period and contractual term, as the Company’s historical option exercise experience does not provide a reasonable basis upon which to estimate the expected term. The expected term for ESPP awards approximates the offering period.</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Company uses the average volatility of its Class A common stock and the stocks of a peer group of representative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develop an expected volatility assumption.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—Risk-free rate is estimated based upon quoted market yields for the United States Treasury debt securities for a term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life of the awards in effect at the time of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expected dividend is assumed to be zero as the Company has never paid dividends and has no current plans to do so.</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underlying common stock</w:t>
      </w:r>
      <w:r>
        <w:rPr>
          <w:rFonts w:ascii="Times New Roman" w:cs="Times New Roman" w:eastAsia="Times New Roman" w:hAnsi="Times New Roman"/>
          <w:sz w:val="18"/>
          <w:szCs w:val="18"/>
          <w:color w:val="auto"/>
        </w:rPr>
        <w:t>—Since the completion of the IPO, the fair value of the Company’s common stock is determined by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on the date of grant, of its common stock, which is traded on the New York Stock Exchange.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recognized following the straight-line attribution method over the requisite service period for options, and over the offering period for ESPP awards.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RSUs include time-based RSUs and performance-based RSUs with market conditions (“PRSUs”). The fair value of each time-based RSU is based on the fair value of the Company’s common stock on the date of grant. The fair value of each PRSU is measured using a Monte Carlo simulation valuation model which requires the use of various assumptions, including the stock price volatility and risk-free interest rate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 The related stock-based compensation expense is recognized on a straight-line basis over the requisite service period of the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bonuses, benefits, and stock-based compensation for personnel involved in developing and refining platforms and applications, including adding new features and modules, increasing their functionality, and enhancing the usability of platforms and applications. Research and development expenses also include cloud infrastructure costs, third-party system integration partners, other IT-related costs, and allocated overhead and depreciation for facilities. This includes certain costs related to development of features and modules created through prioritized engineering services purchased by customers where the Company retains the related intellectual property. Research and development costs are expensed as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expenses of $18.3 million, $15.8 million and $6.9 million incurred during the fiscal years ended April 30, 2025, 2024 and 2023, respectively, were expensed as incurred as a component of sales and marketing expenses on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fiscal years ended April 30, 2025, 2024 and 2023, the Company did not match any employee contributions.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U.S. dollar. Accordingly, monetary assets and liabilities of the Company’s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recognized in other income (expense), net within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is able to realize its deferred tax assets in the future in excess of their net recorded amount, the Company records an adjustment to the deferred tax asset valuation allowance, which reduces the provision for income taxes.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on examination by the taxing authorities, based on the technical merits of the position. The tax benefits recognized in the Company’s consolidated financial statements from such positions are measured based on the largest benefit that has a greater than 50% likelihood of being realized. Interest and penalties are recognized associated with tax matters as part of the income tax provision and include accrued interest and penalties with the related income tax liability on the Company’s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rights, including the liquidation and dividend rights, of the holders of Class A and Class B common stock are identical, except with respect to voting and conversion. As the liquidation and dividend rights are identical, the undistributed earnings are allocated on a proportionate basis and the resulting net loss per share will, therefore, be the same for both Class A and Class B common stock on an individual or combined basis. The net loss is allocated on a proportionate basis to participating securities and the resulting net loss per share attributable to common stockholders was the same for Class A and Class B common shares.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RSUs and ESPP. As the Company has reported losses for all periods presented, all potentially dilutive securities are antidilutive and accordingly, basic net loss per share equals diluted net loss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income (loss) during the fiscal years ended April 30, 2025, 2024 and 2023, was related to unrealized gain or losses from available-for-sale marketable securities, net of tax.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identified its Chief Executive Officer (“CEO”) as the chief operating decision maker (“CODM”), who manages the Company’s business activities as a single operating and reportable segment at the consolidated level. The CODM utilizes consolidated GAAP and non-GAAP measures of profit and loss to evaluate the Company’s financial performance, allocate resources and make key operating decisions. Further, the CODM reviews and utilizes functional expenses (GAAP and non-GAAP cost of revenue, sales and marketing, research and development, and general and administrative) at the consolidated level to manage the Company’s operations. Other items included in GAAP and non-GAAP consolidated net income (loss) are interest income, other (expense) income, net and the provision for income taxes, which are reflected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Segment Reporting (Topic 280): Improvements to Reportable Segment Disclosures (“ASU 2023-07”) to improve the disclosures regarding a public entity’s reportable segments and address requests from investors for additional, more detailed information about a reportable segment’s expenses. The Company adopted this standard in fiscal 2025 using a retrospective method. The adoption of this standard did not have a material financial impact on the Company’s consolidated financial statements. For further information, refer to “Segment Information” section in this </w:t>
      </w:r>
      <w:r>
        <w:rPr>
          <w:rFonts w:ascii="Times New Roman" w:cs="Times New Roman" w:eastAsia="Times New Roman" w:hAnsi="Times New Roman"/>
          <w:sz w:val="18"/>
          <w:szCs w:val="18"/>
          <w:i w:val="1"/>
          <w:iCs w:val="1"/>
          <w:color w:val="auto"/>
        </w:rPr>
        <w:t>Note 1. Summary of Business and Significant Accounting Policies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(“ASU 2023-09”) to provide disaggregated income tax disclosures on rate reconciliation and income taxes paid. The Company is required to adopt the guidance in the fourth quarter of fiscal 2026, though early adoption is permitted. The Company is currently evaluating the impact of this amendment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(Topic 220) Disaggregation of Income Statement Expenses (“ASU 2024-03”), to enhance the transparency and decision usefulness of financial information presented in the income statement by requiring disaggregated information about certain income statement expense line items. The Company is required to adopt the guidance in the fourth quarter of fiscal 2028, though early adoption permitted. The Company is currently evaluating the impact of this amendment on its consolidated financial statements.</w:t>
      </w:r>
    </w:p>
    <w:p>
      <w:pPr>
        <w:spacing w:after="0" w:line="12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geographical region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20" w:type="dxa"/>
            <w:vAlign w:val="bottom"/>
          </w:tcPr>
          <w:p>
            <w:pPr>
              <w:spacing w:after="0"/>
              <w:rPr>
                <w:sz w:val="16"/>
                <w:szCs w:val="16"/>
                <w:color w:val="auto"/>
              </w:rPr>
            </w:pPr>
          </w:p>
        </w:tc>
      </w:tr>
      <w:tr>
        <w:trPr>
          <w:trHeight w:val="37"/>
        </w:trPr>
        <w:tc>
          <w:tcPr>
            <w:tcW w:w="7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210,501</w:t>
            </w:r>
          </w:p>
        </w:tc>
      </w:tr>
      <w:tr>
        <w:trPr>
          <w:trHeight w:val="27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w:t>
            </w: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7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comprised 86%, 86% and 79% of the Company’s revenue in the fiscal years ended April 30, 2025, 2024 and 2023, respectively. No other country comprised 10% or greater of the Company’s revenue for each of the fiscal years ended April 30, 2025, 2024 and 2023.</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with the transfer of a promised good or service to a customer over time. For the significant majority of the Company’s offerings, software and maintenance and support services are highly interdependent and interrelated and represent a single performance obligation within the context of the contract and are generally satisfied over time. Revenue from software licenses that do not require maintenance and support services is recognized when the control of the software is transferred to the customer. Revenue from such software licenses was $94.2 million, $29.6 million, and $18.0 million for the fiscal years ended April 30, 2025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2024 and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professional services revenue comprised of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60" w:type="dxa"/>
            <w:vAlign w:val="bottom"/>
          </w:tcPr>
          <w:p>
            <w:pPr>
              <w:spacing w:after="0"/>
              <w:rPr>
                <w:sz w:val="16"/>
                <w:szCs w:val="16"/>
                <w:color w:val="auto"/>
              </w:rPr>
            </w:pPr>
          </w:p>
        </w:tc>
      </w:tr>
      <w:tr>
        <w:trPr>
          <w:trHeight w:val="37"/>
        </w:trPr>
        <w:tc>
          <w:tcPr>
            <w:tcW w:w="68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Prioritized engineering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29,087</w:t>
            </w:r>
          </w:p>
        </w:tc>
      </w:tr>
      <w:tr>
        <w:trPr>
          <w:trHeight w:val="24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fees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7"/>
        </w:trPr>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professional services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2025 and 2024, the Company’s deferred revenue balances were $36.6 million and $39.0 million, respectively. Revenue of $38.5 million and $47.8 million was recognized during the fiscal years ended April 30, 2025 and 2024, respectively, that was included in the deferred revenue balances as of April 30,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are committed and represent non-cancellable contracted revenue that has not yet been recognized and will be recognized as revenue in future periods. Some contracts allow customers to cancel the contracts without a significant penalty, and the cancellable amount of contract value is not included in the remaining performance obligations.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excludes amounts related to performance obligations and usage-based royalties that are billed and recognized as they are delivered or billed and recognized in the same period. This primarily consists of monthly usage-based runtime and hosting charges in the duration of some revenue contracts.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expected to be recognized from remaining performance obligations was approximately $235.1 million as of April 30, 2025, which includes $66.5 million of non-cancellable commitments where actual product selection and quantities of specific products or services will be determined at a later date. Approximately $129.2 million is expected to be recognized over the next 12 months and a majority of the remaining amount is expected to be recognized over the next 13 to 48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2025 and 2024, the amount of costs to obtain a contract included in prepaid expenses and other current assets was $7.1 million and $7.0 million, respectively. The amount of costs to obtain a contract included in other assets, non-current as of April 30, 2025 and 2024 were $7.9 million and $11.0 million, respectively. Expenses recognized for costs to obtain a contract for the years ended April 30, 2025, 2024 and 2023 were $13.5 million, $7.2 million and $5.9 million, respectively, and are included in sales and marketing expenses on the consolidated statements of operations. The Company recognized immaterial impairment costs related to costs to obtain or fulfill a contract for the fiscal years ended April 30, 2025,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 and Accounts Receivable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the Company’s Customer-Entities consist of corporate and governmental entities. A Customer-Entity is defined as each entity that is the ultimate parent of a party contracting with the Company. A limited number of Customer-Entities have accounted for a large part of the Company’s revenue and accounts receivable to date. For the purpose of determining customer concentration and accounts receivable, unbilled receivables have been excluded from the accounts receivable balance. Two separate Customer-Entities accounted for 19% and 12% of revenue for the fiscal year ended April 30, 2025. Two separate Customer-Entities accounted for 27% and 14% of revenue for the fiscal year ended April 30, 2024. One Customer-Entity accounted for 35% of revenue for the year ended April 30, 2023. Three separate Customer-Entities accounted for 15%, 14%, and 12% of accounts receivable at April 30, 2025. Two separate Customer-Entities accounted for 25% and 16% of accounts receivable at April 30, 2024.</w:t>
      </w:r>
    </w:p>
    <w:p>
      <w:pPr>
        <w:spacing w:after="0" w:line="131"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restricted cash, available-for-sale marketable securities, accounts receivable, and accounts payable. Cash equivalents and available-for-sale marketable securities are reported at their respective fair values on the consolidated balance sheets. The remaining financial instruments are reported on the consolidated balance sheets at amounts that approximate current fair values.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types of assets measured at fair value on a recurring basis by level within the fair value hierarchy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0" w:type="dxa"/>
            <w:vAlign w:val="bottom"/>
          </w:tcPr>
          <w:p>
            <w:pPr>
              <w:spacing w:after="0"/>
              <w:rPr>
                <w:sz w:val="1"/>
                <w:szCs w:val="1"/>
                <w:color w:val="auto"/>
              </w:rPr>
            </w:pPr>
          </w:p>
        </w:tc>
      </w:tr>
      <w:tr>
        <w:trPr>
          <w:trHeight w:val="205"/>
        </w:trPr>
        <w:tc>
          <w:tcPr>
            <w:tcW w:w="2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equivalents and</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608,467</w:t>
            </w:r>
          </w:p>
        </w:tc>
        <w:tc>
          <w:tcPr>
            <w:tcW w:w="100" w:type="dxa"/>
            <w:vAlign w:val="bottom"/>
          </w:tcPr>
          <w:p>
            <w:pPr>
              <w:spacing w:after="0"/>
              <w:rPr>
                <w:sz w:val="18"/>
                <w:szCs w:val="18"/>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696,339</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607,877</w:t>
            </w:r>
          </w:p>
        </w:tc>
        <w:tc>
          <w:tcPr>
            <w:tcW w:w="100" w:type="dxa"/>
            <w:vAlign w:val="bottom"/>
          </w:tcPr>
          <w:p>
            <w:pPr>
              <w:spacing w:after="0"/>
              <w:rPr>
                <w:sz w:val="18"/>
                <w:szCs w:val="18"/>
                <w:color w:val="auto"/>
              </w:rPr>
            </w:pPr>
          </w:p>
        </w:tc>
        <w:tc>
          <w:tcPr>
            <w:tcW w:w="720" w:type="dxa"/>
            <w:vAlign w:val="bottom"/>
            <w:vMerge w:val="restart"/>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690,441</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 fair value measurement categorized as Level 2 include benchmark yields, reported trades, broker or dealer quotes, issuer spreads, two-sided markets, benchmark securities, bids, offers, and reference data including market research publications.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and available-for-sale marketable securities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0" w:type="dxa"/>
            <w:vAlign w:val="bottom"/>
          </w:tcPr>
          <w:p>
            <w:pPr>
              <w:spacing w:after="0"/>
              <w:rPr>
                <w:sz w:val="1"/>
                <w:szCs w:val="1"/>
                <w:color w:val="auto"/>
              </w:rPr>
            </w:pPr>
          </w:p>
        </w:tc>
      </w:tr>
      <w:tr>
        <w:trPr>
          <w:trHeight w:val="205"/>
        </w:trPr>
        <w:tc>
          <w:tcPr>
            <w:tcW w:w="22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equivalents and</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695,816</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696,339</w:t>
            </w:r>
          </w:p>
        </w:tc>
        <w:tc>
          <w:tcPr>
            <w:tcW w:w="100" w:type="dxa"/>
            <w:vAlign w:val="bottom"/>
          </w:tcPr>
          <w:p>
            <w:pPr>
              <w:spacing w:after="0"/>
              <w:rPr>
                <w:sz w:val="18"/>
                <w:szCs w:val="1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691,002</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690,441</w:t>
            </w: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marketable securities by contractual maturity (in thousands):</w:t>
      </w:r>
    </w:p>
    <w:p>
      <w:pPr>
        <w:sectPr>
          <w:pgSz w:w="11900" w:h="16838" w:orient="portrait"/>
          <w:cols w:equalWidth="0" w:num="1">
            <w:col w:w="11240"/>
          </w:cols>
          <w:pgMar w:left="320" w:top="117" w:right="339" w:bottom="1440" w:gutter="0" w:footer="0" w:header="0"/>
        </w:sectPr>
      </w:pPr>
    </w:p>
    <w:p>
      <w:pPr>
        <w:spacing w:after="0" w:line="22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5"/>
          <w:szCs w:val="15"/>
          <w:b w:val="1"/>
          <w:bCs w:val="1"/>
          <w:color w:val="auto"/>
        </w:rPr>
        <w:t>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41275</wp:posOffset>
            </wp:positionV>
            <wp:extent cx="1680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4" w:lineRule="exact"/>
        <w:rPr>
          <w:sz w:val="20"/>
          <w:szCs w:val="20"/>
          <w:color w:val="auto"/>
        </w:rPr>
      </w:pPr>
    </w:p>
    <w:p>
      <w:pPr>
        <w:ind w:left="5980"/>
        <w:spacing w:after="0"/>
        <w:tabs>
          <w:tab w:leader="none" w:pos="750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As of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41275</wp:posOffset>
            </wp:positionV>
            <wp:extent cx="1680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45" w:lineRule="exact"/>
        <w:rPr>
          <w:sz w:val="20"/>
          <w:szCs w:val="20"/>
          <w:color w:val="auto"/>
        </w:rPr>
      </w:pPr>
    </w:p>
    <w:p>
      <w:pPr>
        <w:sectPr>
          <w:pgSz w:w="11900" w:h="16838" w:orient="portrait"/>
          <w:cols w:equalWidth="0" w:num="2">
            <w:col w:w="8200" w:space="520"/>
            <w:col w:w="25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514,747</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514,485</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583,221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as of April 30, 2025 and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26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60" w:type="dxa"/>
            <w:vAlign w:val="bottom"/>
          </w:tcPr>
          <w:p>
            <w:pPr>
              <w:spacing w:after="0"/>
              <w:rPr>
                <w:sz w:val="16"/>
                <w:szCs w:val="16"/>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72,746</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35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8"/>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26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60" w:type="dxa"/>
            <w:vAlign w:val="bottom"/>
          </w:tcPr>
          <w:p>
            <w:pPr>
              <w:spacing w:after="0"/>
              <w:rPr>
                <w:sz w:val="16"/>
                <w:szCs w:val="16"/>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3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224,565</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30, 2025, the Company had 88 marketable securities in an unrealized loss positions. As of April 30, 2024, the Company had 219 investment positions in an unrealized loss position. The Company considers factors such as the duration, the magnitude and the reason for the decline in value, the potential recovery period, creditworthiness of the issuers of the securities and its intent to sell. For marketable securities, it also considers whether (i) it is more likely than not that the Company will be required to sell the debt securities before recovery of their amortized cost basis, and (ii) the amortized cost basis cannot be recovered as a result of credit losses. No significant facts or circumstances have arisen to indicate that there has been any significant deterioration in the creditworthiness of the issuers of the securities held by the Company. The decline in fair value below amortized cost basis was not considered other-than-temporary as it is more likely than not that the Company will hold the securities until maturity or a recovery of the cost basis, and no significant credit-related impairment losses were recorded as of April 30, 2025 and 2024.</w:t>
      </w:r>
    </w:p>
    <w:p>
      <w:pPr>
        <w:spacing w:after="0" w:line="1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Balance Sheet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0"/>
        </w:trPr>
        <w:tc>
          <w:tcPr>
            <w:tcW w:w="676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71,867</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r>
      <w:tr>
        <w:trPr>
          <w:trHeight w:val="27"/>
        </w:trPr>
        <w:tc>
          <w:tcPr>
            <w:tcW w:w="6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work-in progress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7"/>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equipment-gross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103,404</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7"/>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 estimated useful lives of the improvements or the remaining lease term.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work-in progress primarily consisted of costs related to various leasehold improvements in connection with leased space that is not considered available for use and has not yet been placed into service.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$12.2 million, $11.5 million, and $5.0 million for the fiscal years ended April 30,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Employee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and employee benefits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37,468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benefits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contributions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53,868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cloud hosting services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26,295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its facilities for office space under non-cancellable operating leases with various expiration dates through the fiscal year ending April 30, 2033. Certain lease agreements include options to renew or terminate the applicable lease, which are not reasonably certain to be exercised and therefore are not factored into the determination of lease payments.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25, 2021, the Company entered into a new lease to acquire approximately 283,015 square feet of office space in several phases in Redwood City, California. The lease commencement date was determined as the date when the landlord delivered the leased space to the Company. Accordingly, the first two phases of the lease commenced in the quarter ended January 31, 2022, the third phase of the lease commenced in the quarter ended October 31, 2022, the fourth phase of the lease commenced in the quarter ended April 30, 2023, the fifth phase of the lease commenced in the quarter ended July 31, 2023, the sixth phase of the lease commenced in the quarter ended January 31, 2024, and the seventh and final phase of the lease commenced in the quarter ended July 31, 2024. The Company recorded $1.3 million of lease liability in other long-term liabilities and corresponding right-of-use asset in other assets, non-current in the consolidated balance sheets related to the seventh phase of the lease.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costs, including variable lease costs, for the fiscal years ended April 30, 2025, 2024 and 2023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21, 2023, the Company entered into a sublease agreement with First Virtual Group, Inc. (the “Subtenant”), whereby the Company agreed to sublease to the Subtenant approximately 3,130 square feet of space located in Redwood City, California. Refer to </w:t>
      </w:r>
      <w:r>
        <w:rPr>
          <w:rFonts w:ascii="Times New Roman" w:cs="Times New Roman" w:eastAsia="Times New Roman" w:hAnsi="Times New Roman"/>
          <w:sz w:val="18"/>
          <w:szCs w:val="18"/>
          <w:i w:val="1"/>
          <w:iCs w:val="1"/>
          <w:color w:val="auto"/>
        </w:rPr>
        <w:t>Note 12. Related Party Transactions</w:t>
      </w:r>
      <w:r>
        <w:rPr>
          <w:rFonts w:ascii="Times New Roman" w:cs="Times New Roman" w:eastAsia="Times New Roman" w:hAnsi="Times New Roman"/>
          <w:sz w:val="18"/>
          <w:szCs w:val="18"/>
          <w:color w:val="auto"/>
        </w:rPr>
        <w:t xml:space="preserve"> for more information.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the Company’s landlords for common area maintenance, property taxes, insurance, and other operating expenses. Short-term lease costs primarily represent payments related to marketing arrangements that contain embedded short-term leases of billboards. Supplemental cash flow information and non-cash activity related to leases was as follows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line="281" w:lineRule="auto"/>
        <w:rPr>
          <w:sz w:val="20"/>
          <w:szCs w:val="20"/>
          <w:color w:val="auto"/>
        </w:rPr>
      </w:pPr>
      <w:r>
        <w:rPr>
          <w:rFonts w:ascii="Times New Roman" w:cs="Times New Roman" w:eastAsia="Times New Roman" w:hAnsi="Times New Roman"/>
          <w:sz w:val="18"/>
          <w:szCs w:val="18"/>
          <w:color w:val="auto"/>
        </w:rPr>
        <w:t>Cash payments included in the measurement of operating lease liabilities – operating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06285" cy="316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06285" cy="316865"/>
                    </a:xfrm>
                    <a:prstGeom prst="rect">
                      <a:avLst/>
                    </a:prstGeom>
                    <a:noFill/>
                  </pic:spPr>
                </pic:pic>
              </a:graphicData>
            </a:graphic>
          </wp:anchor>
        </w:drawing>
      </w:r>
    </w:p>
    <w:p>
      <w:pPr>
        <w:jc w:val="both"/>
        <w:ind w:left="140" w:right="80"/>
        <w:spacing w:after="0" w:line="266"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(including remeasurement of right-of-use assets and lease liabilities due to changes in the timing of receipt of lease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06285"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ind w:left="140" w:right="680"/>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arising from lease modifications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837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4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tcPr>
          <w:p>
            <w:pPr>
              <w:spacing w:after="0"/>
              <w:rPr>
                <w:sz w:val="24"/>
                <w:szCs w:val="24"/>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8"/>
              </w:rPr>
              <w:t>5,250</w:t>
            </w:r>
          </w:p>
        </w:tc>
      </w:tr>
      <w:tr>
        <w:trPr>
          <w:trHeight w:val="59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(5,589)</w:t>
            </w:r>
          </w:p>
        </w:tc>
      </w:tr>
      <w:tr>
        <w:trPr>
          <w:trHeight w:val="59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8"/>
              </w:rPr>
              <w:t>3,093</w:t>
            </w:r>
          </w:p>
        </w:tc>
      </w:tr>
    </w:tbl>
    <w:p>
      <w:pPr>
        <w:spacing w:after="0" w:line="344" w:lineRule="exact"/>
        <w:rPr>
          <w:sz w:val="20"/>
          <w:szCs w:val="20"/>
          <w:color w:val="auto"/>
        </w:rPr>
      </w:pPr>
    </w:p>
    <w:p>
      <w:pPr>
        <w:sectPr>
          <w:pgSz w:w="11900" w:h="16838" w:orient="portrait"/>
          <w:cols w:equalWidth="0" w:num="2">
            <w:col w:w="6600" w:space="140"/>
            <w:col w:w="4500"/>
          </w:cols>
          <w:pgMar w:left="320" w:top="117" w:right="339" w:bottom="1440" w:gutter="0" w:footer="0" w:header="0"/>
          <w:type w:val="continuous"/>
        </w:sectPr>
      </w:pPr>
    </w:p>
    <w:p>
      <w:pPr>
        <w:spacing w:after="0" w:line="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consolidated balance sheets, weighted-average remaining lease term, and weighted-average discount rates related to the Company’s operating leases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2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19,321</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42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4,795</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2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55,495</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60,290</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4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1"/>
        </w:trPr>
        <w:tc>
          <w:tcPr>
            <w:tcW w:w="4040" w:type="dxa"/>
            <w:vAlign w:val="bottom"/>
          </w:tcPr>
          <w:p>
            <w:pPr>
              <w:spacing w:after="0"/>
              <w:rPr>
                <w:sz w:val="24"/>
                <w:szCs w:val="24"/>
                <w:color w:val="auto"/>
              </w:rPr>
            </w:pPr>
          </w:p>
        </w:tc>
        <w:tc>
          <w:tcPr>
            <w:tcW w:w="388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C3.AI, INC.</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980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78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 under lease obligations as of April 30, 2025 were as follows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9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37"/>
        </w:trPr>
        <w:tc>
          <w:tcPr>
            <w:tcW w:w="9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 and 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r>
      <w:tr>
        <w:trPr>
          <w:trHeight w:val="237"/>
        </w:trPr>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88,353</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w:t>
            </w:r>
          </w:p>
        </w:tc>
      </w:tr>
      <w:tr>
        <w:trPr>
          <w:trHeight w:val="27"/>
        </w:trPr>
        <w:tc>
          <w:tcPr>
            <w:tcW w:w="9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Commitments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As of April 30, 2025, the Company had remaining purchase commitments of $427.5 million related to cloud hosting and associated services and $111.5 million related to professional services due over the next one to five years. The Company incurred costs totaling $117.1 million, $43.1 million, and $8.3 million during the fiscal years ended April 30, 2025, 2024, and 2023 respectively, under these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C3.ai DTI Grants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the Company entered into an agreement establishing the C3.ai Digital Transformation Institute (“C3.ai DTI”), a program established to attract many of the world’s leading research institutions to join in a coordinated and innovative effort to advance the digital transformation of business, government, and society. As part of the agreement, the Company has agreed to issue grants to C3.ai DTI, which are subject to compliance with certain obligations. As of April 30, 2024, the total potential remaining contributions were $31.6 million. The Company did not make any contributions in fiscal year ended April 30, 2025. The agreement expired in February 2025, and no further contributions are owed.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4, 2022, a putative securities class action complaint (captioned The Reckstin Family Trust v. C3.ai, Inc. et al., 22-cv-01413-HSG) was filed in the U.S. District Court for the Northern District of California against the Company, and certain current and former officers and directors. On December 12, 2022, the court appointed a lead plaintiff and lead counsel. On February 15, 2023, the lead plaintiff and three additional named plaintiffs filed an amended complaint. The amended complaint names as defendants the Company, four current and former officers and directors, the underwriters in the Company’s initial public offering (“IPO”), and Baker Hughes Company (“Baker Hughes”). The amended complaint generally alleges that the defendants made material misstatements or omissions about the Company’s partnership with Baker Hughes and the Company’s own salesforce. The amended complaint alleges that defendants made these misstatements or omissions in connection with the Company’s IPO in violation of Sections 11 and 15 of the Securities Act of 1933 and between December 9, 2020 and December 2, 2021, inclusive, in violation of Sections 10(b) and 20(a) of the Securities Exchange Act of 1934. The amended complaint further alleges that certain defendants engaged in insider trading in violation of Section 20A of the Securities Exchange Act of 1934. Plaintiffs seek unspecified damages, interest, fees and costs. All defendants moved to dismiss plaintiffs’ amended complaint on May 1, 2023. On June 30, 2023, plaintiffs voluntarily dismissed the underwriter defendants. On February 22, 2024, the court granted the motion to dismiss on all claims except for portions of the alleged violations of Section 11 and Section 15. Plaintiffs filed a second amended complaint on April 4, 2024. Defendants filed motions to dismiss on May 17, 2024. Plaintiffs filed an opposition brief on July 15, 2024. While the motions were pending, Plaintiffs filed a motion to amend their second amended complaint on September 27, 2024 to add new factual allegations. On February 13, 2025, the Court granted Plaintiffs’ motion to amend, and the Plaintiffs filed their third amended complaint on February 14, 2025. Briefing for the revised motion to dismiss is expected to be complete in June 2025.</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Six putative shareholder derivative actions have been filed: (1) </w:t>
      </w:r>
      <w:r>
        <w:rPr>
          <w:rFonts w:ascii="Times New Roman" w:cs="Times New Roman" w:eastAsia="Times New Roman" w:hAnsi="Times New Roman"/>
          <w:sz w:val="18"/>
          <w:szCs w:val="18"/>
          <w:i w:val="1"/>
          <w:iCs w:val="1"/>
          <w:color w:val="auto"/>
        </w:rPr>
        <w:t>Suri v. Siebel et al</w:t>
      </w:r>
      <w:r>
        <w:rPr>
          <w:rFonts w:ascii="Times New Roman" w:cs="Times New Roman" w:eastAsia="Times New Roman" w:hAnsi="Times New Roman"/>
          <w:sz w:val="18"/>
          <w:szCs w:val="18"/>
          <w:color w:val="auto"/>
        </w:rPr>
        <w:t xml:space="preserve">. (22-cv-03031) filed on May 23, 2022 in the U.S. District Court for the Northern District of California; (2) </w:t>
      </w:r>
      <w:r>
        <w:rPr>
          <w:rFonts w:ascii="Times New Roman" w:cs="Times New Roman" w:eastAsia="Times New Roman" w:hAnsi="Times New Roman"/>
          <w:sz w:val="18"/>
          <w:szCs w:val="18"/>
          <w:i w:val="1"/>
          <w:iCs w:val="1"/>
          <w:color w:val="auto"/>
        </w:rPr>
        <w:t>Rabasca v. Siebel et al.</w:t>
      </w:r>
      <w:r>
        <w:rPr>
          <w:rFonts w:ascii="Times New Roman" w:cs="Times New Roman" w:eastAsia="Times New Roman" w:hAnsi="Times New Roman"/>
          <w:sz w:val="18"/>
          <w:szCs w:val="18"/>
          <w:color w:val="auto"/>
        </w:rPr>
        <w:t xml:space="preserve"> (23-cv-1566) filed on April 3, 2023 in the U.S. District Court for the Northern District of California; (3) </w:t>
      </w:r>
      <w:r>
        <w:rPr>
          <w:rFonts w:ascii="Times New Roman" w:cs="Times New Roman" w:eastAsia="Times New Roman" w:hAnsi="Times New Roman"/>
          <w:sz w:val="18"/>
          <w:szCs w:val="18"/>
          <w:i w:val="1"/>
          <w:iCs w:val="1"/>
          <w:color w:val="auto"/>
        </w:rPr>
        <w:t>Vo v. Siebel et al.</w:t>
      </w:r>
      <w:r>
        <w:rPr>
          <w:rFonts w:ascii="Times New Roman" w:cs="Times New Roman" w:eastAsia="Times New Roman" w:hAnsi="Times New Roman"/>
          <w:sz w:val="18"/>
          <w:szCs w:val="18"/>
          <w:color w:val="auto"/>
        </w:rPr>
        <w:t xml:space="preserve"> (23-cv-428) filed on April 19, 2023 in the U.S. District Court for the District of Delaware; (4) </w:t>
      </w:r>
      <w:r>
        <w:rPr>
          <w:rFonts w:ascii="Times New Roman" w:cs="Times New Roman" w:eastAsia="Times New Roman" w:hAnsi="Times New Roman"/>
          <w:sz w:val="18"/>
          <w:szCs w:val="18"/>
          <w:i w:val="1"/>
          <w:iCs w:val="1"/>
          <w:color w:val="auto"/>
        </w:rPr>
        <w:t>Lanfair v. Siebel et al.</w:t>
      </w:r>
      <w:r>
        <w:rPr>
          <w:rFonts w:ascii="Times New Roman" w:cs="Times New Roman" w:eastAsia="Times New Roman" w:hAnsi="Times New Roman"/>
          <w:sz w:val="18"/>
          <w:szCs w:val="18"/>
          <w:color w:val="auto"/>
        </w:rPr>
        <w:t xml:space="preserve"> (24-cv-01869) filed on March 26, 2024 in the U.S. District Court for the Northern District of California; (5) </w:t>
      </w:r>
      <w:r>
        <w:rPr>
          <w:rFonts w:ascii="Times New Roman" w:cs="Times New Roman" w:eastAsia="Times New Roman" w:hAnsi="Times New Roman"/>
          <w:sz w:val="18"/>
          <w:szCs w:val="18"/>
          <w:i w:val="1"/>
          <w:iCs w:val="1"/>
          <w:color w:val="auto"/>
        </w:rPr>
        <w:t>Pankow v. Siebel et al.</w:t>
      </w:r>
      <w:r>
        <w:rPr>
          <w:rFonts w:ascii="Times New Roman" w:cs="Times New Roman" w:eastAsia="Times New Roman" w:hAnsi="Times New Roman"/>
          <w:sz w:val="18"/>
          <w:szCs w:val="18"/>
          <w:color w:val="auto"/>
        </w:rPr>
        <w:t xml:space="preserve"> (2024-0530-NAC) on May 15, 2024 in the Chancery Court of Delaware; and (6) </w:t>
      </w:r>
      <w:r>
        <w:rPr>
          <w:rFonts w:ascii="Times New Roman" w:cs="Times New Roman" w:eastAsia="Times New Roman" w:hAnsi="Times New Roman"/>
          <w:sz w:val="18"/>
          <w:szCs w:val="18"/>
          <w:i w:val="1"/>
          <w:iCs w:val="1"/>
          <w:color w:val="auto"/>
        </w:rPr>
        <w:t>Rosenfeld v. Siebel et al.</w:t>
      </w:r>
      <w:r>
        <w:rPr>
          <w:rFonts w:ascii="Times New Roman" w:cs="Times New Roman" w:eastAsia="Times New Roman" w:hAnsi="Times New Roman"/>
          <w:sz w:val="18"/>
          <w:szCs w:val="18"/>
          <w:color w:val="auto"/>
        </w:rPr>
        <w:t xml:space="preserve"> (2024-0698) on June 28, 2024 in the Chancery Court of Delaware. In these cases, the plaintiffs assert claims on the Company’s behalf against certain of the Company’s current and former officers and directors for breach of fiduciary duty, aiding and abetting breach of fiduciary duty, gross mismanagement, corporate waste, abuse of control, unjust enrichment, and violations of the Securities Exchange Act of 1934 based on allegations similar to those in the securities class action. In all six cases, the Company is named as a nominal defendant. The derivative complaints seek unspecified damages, disgorgement of profits from board member stock sales, an award of costs and expenses, including reasonable attorneys’ fees, and corporate governance reforms. On September 7, 2022, Suri was stayed pending resolution of the Reckstin case. On August 3, 2023, Vo was transferred to the U.S. District Court for the Northern District of California (3:23-cv-03895). On August 30, 2023, the Vo action was stayed on the same terms as the Suri action. On December 21, 2023, Rabasca was stayed on the same terms as Suri, and both Rabasca and Vo were consolidated with Suri. On July 1, 2024, Lanfair was consolidated with Suri and stayed on the same terms. The Pankow and Rosenfeld actions have not been consolidated with the Suri action but were stayed on November 13, 2024 and January 15, 2025 respectively. The Company has not yet been required to answer the complaints in any of the derivative actions.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does not believe it is probable that these cases will result in an unfavorable outcome; however, if an unfavorable outcome were to occur in these cases, it is possible that the impact could be material to the Company’s results of operations in the period(s) in which any such outcome becomes probable and estimable. Due to the early stages of these legal proceedings, neither the likelihood that a loss, if any, will be realized, nor an estimate of the possible loss or range of loss, if any, can be determined.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27, 2024, the Company filed a lawsuit in the Court of Rome, Italy against Enel Global Services S.r.l. and any involved corporate affiliates (“Enel”). The claims in the suit against Enel include misappropriation of trade secrets under Articles 98 and 99 of the Italian Industrial Property Code and breach of contract. In this action, the Company seeks compensatory damages in the amount of €2.1 billion, equitable and other relief, as well as fees and costs. The Company has also filed a report of criminal misconduct with Italian law enforcement under Article 623 of the Italian Criminal Code. The Company is evaluating other legal venues to fully redress its claims. On December 23, 2024, Enel initiated two lawsuits against the Company in Rome, claiming ownership of two of C3’s patent applications filed in the European Patent Office. The motions to stay were granted. Since any legal action is unpredictable, it is difficult to quantify the potential recoveries, associated potential costs, and timeline associated with resolution of this matter. Any gain on this matter is considered a gain contingency and will be recognized in the period in which the award is realized or realizable.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the Company is involved in various other legal proceedings arising in the ordinary course of business. Apart from the foregoing,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authorized 200,000,000 shares of undesignated preferred stock with a par value of $0.001 per share with rights and preferences, including voting rights, designated from time to time by the board of directors. As of April 30, 2025, there were no shares of Preferred Stock issued or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authorized 1,000,000,000 shares of Class A common stock and 3,500,000 shares of Class B common stock.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2020, the Company’s board of directors adopted, and its stockholders approved, the 2020 Incentive Plan, which became effective in connection with the IPO. The 2020 Incentive Plan provides for the grant of incentive stock options, non-statutory stock options, stock appreciation rights, restricted stock awards, restricted stock unit (“RSU”) awards, performance awards and other equity awards.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2025, the number of shares of Class A common stock available for issuance was 6,225,512 under the 2020 Incentive Plan. The number of shares of Class A common stock reserved for issuance under the 2020 Incentive Plan is subject to automatic evergreen increases annually through (and including) May 1, 2030 pursuant to the terms of the 2020 Incentive Plan. There was an automatic annual increase on May 1, 2024 in the number of shares reserved for future issuance pursuant to the 2020 Incentive Plan in an amount equal to seven percent (7%) of the total number of shares of the Company’s Class A common stock and Class B common stock outstanding on April 30,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generally expire 10 years from the date of grant, or earlier if services are terminated. Generally, each stock option for common stock is subject to a vesting schedule such that one fifth of the award vests after the first-year anniversary and one-sixtieth of the award vests each month thereafter over the remaining four years, subject to continuous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during the periods indicated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6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5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56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5"/>
                <w:szCs w:val="15"/>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5"/>
                <w:szCs w:val="15"/>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6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7"/>
                <w:szCs w:val="17"/>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7"/>
                <w:szCs w:val="17"/>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6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6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 thousands)</w:t>
            </w:r>
          </w:p>
        </w:tc>
      </w:tr>
      <w:tr>
        <w:trPr>
          <w:trHeight w:val="37"/>
        </w:trPr>
        <w:tc>
          <w:tcPr>
            <w:tcW w:w="56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175,907</w:t>
            </w:r>
          </w:p>
        </w:tc>
      </w:tr>
      <w:tr>
        <w:trPr>
          <w:trHeight w:val="27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44"/>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8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4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April 30,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228,053</w:t>
            </w:r>
          </w:p>
        </w:tc>
      </w:tr>
      <w:tr>
        <w:trPr>
          <w:trHeight w:val="27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April 30,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195,923</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fiscal years ended April 30, 2025, 2024 and 2023 was $13.49, $16.70 and $7.88, respectively. Aggregate intrinsic value represents the difference between the estimated fair value of the underlying common stock and the exercise price of outstanding in-the-money options. The total intrinsic value of options exercised during the fiscal years ended April 30, 2025, 2024 and 2023 was $94.1 million, $89.7 million and $24.4 million, respectively. The total grant date fair value of options vested during the fiscal years ended April 30, 2025, 2024 and 2023 was $34.7 million, $34.7 million and $49.9 million, respectively.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2025 and 2024, there was $56.1 million and $79.6 million, respectively, of unrecognized compensation cost related to stock options which are expected to be recognized over an estimated weighted-average period of 2.0 years and 2.2 years,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grant-date fair value of the options issued for the fiscal years ended April 30, 2025, 2024 and 2023 are estimated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Scholes-Merton option pricing model. The weighted average assumptions underlying the fair value estimation are provided in the following table:</w:t>
      </w:r>
    </w:p>
    <w:p>
      <w:pPr>
        <w:spacing w:after="0" w:line="18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4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6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RSUs include time-based RSUs and PRSUs.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time-based RSUs are typically subject to service-based vesting conditions satisfied over five years with one-fifth of the award vesting after the first-year anniversary and one-twentieth of the award vesting quarterly thereafter. The related stock-based compensation is recognized on a straight-line basis over the requisite service period. For the fiscal year ended April 30, 2025, 2024 and 2023, the Company recognized stock-based compensation expense of $142.2 million, $130.6 million and $134.8 million, respectively, associated with such time-based RSUs.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PRSUs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compensation committee of the board of directors (the “Compensation Committee”) approved the grant of a maximum of 1,700,000 performance-based restricted stock units (the “PRSU Award”) to the CEO, pursuant to the 2020 Incentive Plan, subject to and conditioned upon the subsequent determination by the board of directors of performance metrics upon the achievement of which the PRSU Award would vest. In August 2022, the board of directors approved performance metrics in concept, subject to further action by the Compensation Committee. In December 2022, the Compensation Committee: (a) determined and approved the performance metrics, which are based on the achievement of certain total shareholder return results, as measured against certain stock price hurdles (the “Market Condition”); and (b) extended the vesting period of the PRSU Award through December 31, 2027. As an additional condition to vesting of each tranche of the PRSU Award, Mr. Siebel must remain in continuous service to the Company through a minimum service date that applies to such tranche or, if later, the date the applicable performance metric is achieved (the “Service Condition”). The grant date of the PRSU Award was established in December 2022.</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associated with the PRSU Award will be recognized over the longer of the expected achievement period for the Market Condition or the Service Condition. For the fiscal years ended April 30, 2025, 2024 and 2023, the Company recorded stock-based compensation expense of $3.8 million, $5.4 million and $2.1 million, respectively, related to the PRSU Award.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PRSU Award using a Monte Carlo simulation model with the following assumptions: stock price of $12.90, risk-free interest rate of 3.7%, dividend yield of 0% and expected volatility of 51.4%.</w:t>
      </w:r>
    </w:p>
    <w:p>
      <w:pPr>
        <w:sectPr>
          <w:pgSz w:w="11900" w:h="16838" w:orient="portrait"/>
          <w:cols w:equalWidth="0" w:num="1">
            <w:col w:w="11240"/>
          </w:cols>
          <w:pgMar w:left="320" w:top="117"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RSU activities and related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2023</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2024</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2025</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7432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40" w:type="dxa"/>
            <w:vAlign w:val="bottom"/>
          </w:tcPr>
          <w:p>
            <w:pPr>
              <w:spacing w:after="0"/>
              <w:rPr>
                <w:sz w:val="15"/>
                <w:szCs w:val="15"/>
                <w:color w:val="auto"/>
              </w:rPr>
            </w:pPr>
          </w:p>
        </w:tc>
        <w:tc>
          <w:tcPr>
            <w:tcW w:w="18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2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320"/>
          </w:cols>
          <w:pgMar w:left="320" w:top="117" w:right="339" w:bottom="1440" w:gutter="0" w:footer="0" w:header="0"/>
          <w:type w:val="continuous"/>
        </w:sectPr>
      </w:pPr>
    </w:p>
    <w:p>
      <w:pPr>
        <w:spacing w:after="0" w:line="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30, 2025 and 2024, there was $562.9 million and $422.6 million, respectively, of unrecognized stock-based compensation expense related to outstanding RSUs granted to employees that is expected to be recognized over a weighted-average period of 3.7 years and 3.7 years,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2025 and 2024, the Compensation Committee approved the payment of fiscal year 2024 and 2023 bonuses, respectively, under the Company’s annual bonus program in the form of fully vested RSUs covering shares of Class A common stock to employees. The Company issued 751,927 and 532,842 shares of Class A common stock pursuant to this program during the fiscal years ended April 30, 2025 and 2024,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in settlement of fully vested RSUs granted under this bonus program were issued from the 2020 Incentive Plan and reduced the shares available for issuance under the 2020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2020, the Company’s board of directors also adopted, and its stockholders also approved, the 2020 Employee Stock Purchase Plan (the “2020 ESPP”), which became effective immediately prior to the IPO. The 2020 ESPP authorizes the issuance of shares of Class A common stock pursuant to purchase rights granted to employees. A total of 3,000,000 shares of Class A common stock were initially reserved for future issuance under the 2020 ESPP. The number of shares of Class A common stock reserved for issuance under the 2020 ESPP is subject to automatic evergreen increases annually through (and including) May 1, 2030 pursuant to the terms of the 2020 ESPP. There was an automatic annual increase on May 1, 2024 in the number of shares reserved for future issuance pursuant to the 2020 ESPP in an amount equal to one percent (1%) of the total number of shares of the Company’s Class A common stock and Class B common stock outstanding on April 30, 2023. The 2020 ESPP permits participants to purchase shares of Class A common stock in an amount not exceeding 15% of their earnings during the relevant offering period. The offering dates and purchase dates for the 2020 ESPP are determined at the discretion of the Company’s board of directors.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initial offering period under the 2020 ESPP, which commenced on October 16, 2022 and ended on September 15, 2024, the 2020 ESPP provides for 24-month offering periods beginning September 15 and March 15 of each year, with each offering period consisting of four six-month purchase periods. The 2020 ESPP allows eligible employees to purchase shares of the Company’s Class A common stock, subject to purchase limits of 2,500 shares during each six-month period or $25,000 worth of stock for each calendar year, through payroll deductions at price per share equal to 85% of the lesser of the fair market value of the Company’s Class A common stock on (i) the first trading day of the applicable offering period and (ii) the last trading day of each purchase period in the applicable offering period. If the price per share of the Company’s Class A common stock on any purchase date in the offering period is lower than the price per share of the Company’s Class A common stock price on the enrollment date of that offering period, the offering period will immediately reset after the purchase of shares on such purchase date and automatically roll into a new 24-month offering period.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a Black-Scholes-Merton option pricing model to determine the fair value of employee stock purchase rights granted under the 2020 ESPP.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2020 ESPP during the period:</w:t>
      </w:r>
    </w:p>
    <w:p>
      <w:pPr>
        <w:spacing w:after="0" w:line="21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41910</wp:posOffset>
            </wp:positionV>
            <wp:extent cx="3077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480" w:type="dxa"/>
            <w:vAlign w:val="bottom"/>
            <w:gridSpan w:val="2"/>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740" w:type="dxa"/>
            <w:vAlign w:val="bottom"/>
            <w:tcBorders>
              <w:bottom w:val="single" w:sz="8" w:color="CCEEFF"/>
            </w:tcBorders>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26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60" w:type="dxa"/>
            <w:vAlign w:val="bottom"/>
          </w:tcPr>
          <w:p>
            <w:pPr>
              <w:spacing w:after="0"/>
              <w:rPr>
                <w:sz w:val="21"/>
                <w:szCs w:val="21"/>
                <w:color w:val="auto"/>
              </w:rPr>
            </w:pP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44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56.2 - 79.8%</w:t>
            </w:r>
          </w:p>
        </w:tc>
        <w:tc>
          <w:tcPr>
            <w:tcW w:w="164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54.5 - 73.3%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47.8 - 61.4%</w:t>
            </w:r>
          </w:p>
        </w:tc>
      </w:tr>
      <w:tr>
        <w:trPr>
          <w:trHeight w:val="24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4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0.5 - 2.0</w:t>
            </w:r>
          </w:p>
        </w:tc>
        <w:tc>
          <w:tcPr>
            <w:tcW w:w="16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0.5 - 2.0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0.40 - 2.0</w:t>
            </w:r>
          </w:p>
        </w:tc>
      </w:tr>
      <w:tr>
        <w:trPr>
          <w:trHeight w:val="27"/>
        </w:trPr>
        <w:tc>
          <w:tcPr>
            <w:tcW w:w="3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44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3.56 - 4.6%</w:t>
            </w:r>
          </w:p>
        </w:tc>
        <w:tc>
          <w:tcPr>
            <w:tcW w:w="164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4.7 - 5.5%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4.1 - 4.9%</w:t>
            </w:r>
          </w:p>
        </w:tc>
      </w:tr>
      <w:tr>
        <w:trPr>
          <w:trHeight w:val="905"/>
        </w:trPr>
        <w:tc>
          <w:tcPr>
            <w:tcW w:w="3740" w:type="dxa"/>
            <w:vAlign w:val="bottom"/>
          </w:tcPr>
          <w:p>
            <w:pPr>
              <w:spacing w:after="0"/>
              <w:rPr>
                <w:sz w:val="24"/>
                <w:szCs w:val="24"/>
                <w:color w:val="auto"/>
              </w:rPr>
            </w:pPr>
          </w:p>
        </w:tc>
        <w:tc>
          <w:tcPr>
            <w:tcW w:w="2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120</w:t>
            </w: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7"/>
        </w:trPr>
        <w:tc>
          <w:tcPr>
            <w:tcW w:w="37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April 30, 2025, 2024 and 2023, the Company recognized $6.9 million, $5.4 million and $3.7 million, respectively, of stock-based compensation expense related to the 2020 ESPP. During the fiscal years ended April 30, 2025, 2024 and 2023, the Company’s employees purchased 697,498, 863,412 and 310,784, respectively, shares of its Class A common stock under the 2020 ESPP. As of April 30, 2025 and 2024, there was $11.2 million and $2.7 million, respectively, of unrecognized stock-based compensation expense that is expected to be recognized over the remaining term of the respective offering periods. As of April 30, 2025 and 2024, 5,588,711 and 5,049,150, respectively, shares of Class A common stock were available for future issuance under the 2020 ESPP.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stock-based compensation on the Company’s consolidated statements of operations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90,217</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31,299</w:t>
            </w:r>
          </w:p>
        </w:tc>
      </w:tr>
      <w:tr>
        <w:trPr>
          <w:trHeight w:val="26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stock-based compensation associated with the Company’s annual bonus program and retention bonus program for certain employees, which may be paid out in fully vested RSUs that are settled in shares of Class A common stock. During the fiscal years ended April 30, 2025 and 2024, the Company recognized $41.9 million and $38.8 million respectively, of stock-based compensation expense associated with these programs, of which $37.5 million and $31.2 million was reflected under accrued compensation and employee benefits in the consolidated balance sheets as of April 30, 2025 and 2024, respectively. Upon settlement, this amount will be reflected under common stock and additional paid-in capital in the consolidated statements of 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the Company’s net loss before provision for income taxes for the fiscal years ended April 30, 2025, 2024 and 2023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34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(270,280)</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for the fiscal years ended April 30, 2025, 2024 and 2023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reconciliation of U.S. federal statutory rate to the Company’s effective tax rate was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2"/>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24"/>
                <w:szCs w:val="24"/>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benefit at federal statutory rate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(56,314)</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expense—net of federal benefit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in the Company’s effective tax rate and the U.S. federal statutory tax rate is primarily due to recording a full valuation allowance on the Company’s U.S. deferred tax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April 30, 2025 and 2024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 &amp;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141,157</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tax credit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R&amp;D expenditure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72,140</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268,738</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(252,682)</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r>
      <w:tr>
        <w:trPr>
          <w:trHeight w:val="236"/>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since inception and expected future losses and as such, management does not believe it is more likely than not that the deferred tax assets will be realized. Accordingly, a full valuation allowance has been established in the U.S. and no deferred tax assets and related tax benefit have been recognized in the accompanying financial statements. The valuation allowance as of April 30, 2025 and 2024 was $320.9 million and $252.7 million, respectively. The increase of $68.2 million in the Company’s valuation allowance compared to the prior fiscal year was primarily due to an increase in deferred tax assets arising from net operating loss and capitalized R&amp;D expenses.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2025 and 2024, the Company had net operating loss carryforwards for federal income tax purposes of approximately $764.7 million and $599.3 million, respectively. The federal net operating loss carryforwards will expire, if not utilized, beginning in year 2029. Federal research and development tax credit carryforwards of approximately $25.9 million, will expire beginning in 2026 if not utilized. Federal charitable contribution carryforwards of approximately $14.2 million will expire beginning in 2032 if not utilized. Federal capital loss carryforwards of approximately $1.0 million will begin to expire in 2026 if not utilized.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of April 30, 2025 and 2024, the Company had net operating loss carryforwards for state income tax purposes of approximately $310.7 million and $249.3 million, respectively. The state net operating loss carryforwards will expire, if not utilized, beginning in the year 2029. The Company had state research and development tax credit carryforwards of approximately $18.9 million. The state research and development tax credits do not expire. State capital loss carryforwards of approximately $0.4 million will begin to expire in 2026 if not utilized.</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Tax Reform Act of 1986 and similar California legislation impose substantial restrictions on the utilization of net operating losses and tax credit carryforwards if there is a change in ownership as provided by Section 382 of the Internal Revenue Code and similar state provisions. Such a limitation could result in the expiration of the net operating loss carryforwards and tax credits before utilization.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Company’s total gross unrecognized tax benefits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16,548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for tax positions related to the prior year</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22,561</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16,548</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2025, $0.2 million of unrecognized tax benefits, if recognized, would impact the Company’s effective income tax rate. The Company does not expect any unrecognized tax benefits to be recognized within the next 12 months.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As of April 30, 2025, the Company had immaterial cumulative interest and penalties related to unrecognized tax benefits. As of April 30, 2024, the Company had no cumulative interest and penalties related to unrecognized tax benefits. The Company does not anticipate a significant change in the unrecognized tax benefits over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the periods presented because the Company was in a loss position for fiscal years ended April 30, 2025, 2024 and 2023. For purposes of this calculation, stock options, RSUs, Class A common stock issuable in connection with the 2020 ESPP and early exercised stock options subject to repurchase are considered to be potential common stock equivalents but have been excluded from the calculation of diluted net loss per share attributable to common stockholders as their effect is anti-dilutive.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(268,839)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net loss per Class A and Class B common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 presented because including them would have had an antidilutive effect were as follows (in thousands):</w:t>
      </w:r>
    </w:p>
    <w:p>
      <w:pPr>
        <w:spacing w:after="0" w:line="15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41910</wp:posOffset>
            </wp:positionV>
            <wp:extent cx="28460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28,477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31,371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w:t>
            </w:r>
          </w:p>
        </w:tc>
      </w:tr>
      <w:tr>
        <w:trPr>
          <w:trHeight w:val="24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23,774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19,283</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w:t>
            </w:r>
          </w:p>
        </w:tc>
      </w:tr>
      <w:tr>
        <w:trPr>
          <w:trHeight w:val="27"/>
        </w:trPr>
        <w:tc>
          <w:tcPr>
            <w:tcW w:w="6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904"/>
        </w:trPr>
        <w:tc>
          <w:tcPr>
            <w:tcW w:w="676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6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Transactions with Baker Hughes Company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2019, the Company entered into multiple agreements with Baker Hughes under which Baker Hughes received a three-year subscription to use the Company’s software. This arrangement was revised in June 2020 to extend the term to five years and modify the subscription fees due. Under the agreements as revised in June 2020, Baker Hughes made minimum, non-cancellable revenue commitments, inclusive of their direct subscription fees and third party revenue generated through a joint marketing arrangement with Baker Hughes in the amount of $46.7 million in fiscal year 2020, $53.3 million in fiscal year ending April 30, 2021, $75.0 million in the fiscal year ending April 30, 2022, $125.0 million in fiscal year ending April 30, 2023, and $150.0 million in fiscal year ending April 30, 2024. The Company also agreed to pay Baker Hughes a sales commission on subscriptions and services offerings it resold in excess of the minimum revenue commitments.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Baker Hughes again revised this arrangement in October 2021 to extend the term by an additional year, for a total of six years, with an expiration date in the fiscal year ending April 30, 2025, to modify the amount of Baker Hughes’ annual commitments to $85.0 million in fiscal year 2023, $110.0 million in fiscal year 2024, and $125.0 million in fiscal year 2025, and to revise the structure of the arrangement to simplify the sales process for Baker Hughes. Beginning in the fiscal year ended April 30, 2023, Baker Hughes’ annual commitments were reduced by any revenue the Company generates from certain customers. Known and estimable revenue from certain customers related to the arrangement is a form of variable consideration, which was determined at contract inception and reduced the revenue recognized from the arrangement. The Company acknowledged that Baker Hughes had met its minimum annual revenue commitment for the fiscal year 2022 and recognized $16.0 million of sales commission as deferred costs during the fiscal quarter ended October 31, 2021 related to this arrangement, which will be amortized over an expected period of five years.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Baker Hughes again revised and expanded the agreements in January 2023. Pursuant to this revised arrangement, the frequency of payments due from Baker Hughes to the Company was accelerated, Baker Hughes obtained expanded reseller rights, and the Company agreed to provide additional products and services. This results in an increase of the overall transaction price of the arrangement by eliminating potential variable consideration attributable to any revenue the Company generated from certain customers. The amount of consideration to the Company may increase if Baker Hughes exceeds certain thresholds. The Company also provided Baker Hughes the option to extend the subscription term upon payment of a renewal fee. Pursuant to the January 2023 revised agreement, the transaction price of the Baker Hughes arrangement is not impacted by revenue the Company recognizes from certain customers in the oil and gas field.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Baker Hughes ceased to qualify as a related party of the Company as of June 30, 2023 and the amounts disclosed related to them are accordingly presented only for the periods in which they were considered a related party.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subscription revenue from direct subscription fees from Baker Hughes of $10.6 million, and $75.5 million during the fiscal years ended April 30, 2024 and 2023, respectively. The Company recognized professional services revenue from Baker Hughes of $5.8 million and $16.8 million during the during the fiscal years ended April 30, 2024 and 2023,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sales and marketing expenses related to Baker Hughes of $0.8 million and $14.0 million (inclusive of amortization of $0.8 million and $4.9 million, respectively, of deferred commissions) for the fiscal years ended April 30, 2024 and 2023, respectively. The Company paid sales commission of nil and $16.0 million during the fiscal years ended April 30, 2024 and 2023 respectively, related to this arrangement.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Arrangement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2023, the Company entered into a sublease agreement (the “Sublease”) with First Virtual Group, Inc. (the “Subtenant”), whereby the Company agreed to sublease to the Subtenant approximately 3,130 square feet of space located in Redwood City, California (the “Subleased Space”). The Company previously entered into a lease (the “Original Lease”) with DWF IV 1400-1500 Seaport Blvd, LLC dated August 25, 2021 for approximately 283,013 square feet of office space split between two office towers, including the Subleased Space. Thomas M. Siebel, Chief Executive Officer and Chairman of the Company, serves as Chairman of the Subtenant. The term of the Sublease commenced on February 1, 2023. The Sublease was automatically renewed on October 1, 2023 and will be automatically renewed for successive one year periods thereafter unless the Subtenant notifies the Company of its election to terminate the Sublease, up to the expiration date of the Original Lease. The monthly base rent for the Sublease is equal to the rate per square foot paid by the Company as stated in the Original Lease. The monthly base rent the Subtenant pays was approximately $8,608 through September 30, 2023, increasing annually thereafter. In addition to base rent, the Subtenant is responsible for its allocated share of costs incurred and expenditures made by the Company in the operation and management of the Subleased Space.</w:t>
      </w:r>
    </w:p>
    <w:p>
      <w:pPr>
        <w:spacing w:after="0" w:line="200" w:lineRule="exact"/>
        <w:rPr>
          <w:sz w:val="20"/>
          <w:szCs w:val="20"/>
          <w:color w:val="auto"/>
        </w:rPr>
      </w:pPr>
    </w:p>
    <w:p>
      <w:pPr>
        <w:spacing w:after="0" w:line="341" w:lineRule="exact"/>
        <w:rPr>
          <w:sz w:val="20"/>
          <w:szCs w:val="20"/>
          <w:color w:val="auto"/>
        </w:rPr>
      </w:pPr>
    </w:p>
    <w:p>
      <w:pPr>
        <w:ind w:right="104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Annual Report on Form 10-K, and have concluded that, based on such evaluation, our disclosure controls and procedures were effective as of April 30, 2025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preparation of financial statements for external purposes in accordance with generally accepted accounting principles. Our management conducted an assessment of the effectiveness of the Company’s internal control over financial reporting as of April 30, 2025 based on criteria established in Internal Control - Integrated Framework (2013) issued by the Committee of Sponsoring Organizations of the Treadway Commission. Based on the assessment, our management has concluded that our internal control over financial reporting was effective as of April 30, 2025.</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issued an audit report with respect to our internal control over financial reporting, which is included on the following page.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April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60" w:lineRule="exact"/>
        <w:rPr>
          <w:sz w:val="20"/>
          <w:szCs w:val="20"/>
          <w:color w:val="auto"/>
        </w:rPr>
      </w:pPr>
    </w:p>
    <w:p>
      <w:pPr>
        <w:ind w:right="254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C3.ai, Inc. and subsidiaries (the “Company”) as of April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2025, of the Company and our report dated June 23,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2025, our directors and officers (as defined in Rule 16a-1(f) under the Exchange Act) adopted or terminated the contracts, instructions or written plans for the purchase or sale of our securities set forth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Shares of</w:t>
            </w:r>
          </w:p>
        </w:tc>
        <w:tc>
          <w:tcPr>
            <w:tcW w:w="1300" w:type="dxa"/>
            <w:vAlign w:val="bottom"/>
          </w:tcPr>
          <w:p>
            <w:pPr>
              <w:jc w:val="center"/>
              <w:ind w:right="42"/>
              <w:spacing w:after="0"/>
              <w:rPr>
                <w:sz w:val="20"/>
                <w:szCs w:val="20"/>
                <w:color w:val="auto"/>
              </w:rPr>
            </w:pPr>
            <w:r>
              <w:rPr>
                <w:rFonts w:ascii="Times New Roman" w:cs="Times New Roman" w:eastAsia="Times New Roman" w:hAnsi="Times New Roman"/>
                <w:sz w:val="15"/>
                <w:szCs w:val="15"/>
                <w:b w:val="1"/>
                <w:bCs w:val="1"/>
                <w:color w:val="auto"/>
              </w:rPr>
              <w:t>Total Shares of</w:t>
            </w:r>
          </w:p>
        </w:tc>
        <w:tc>
          <w:tcPr>
            <w:tcW w:w="1780" w:type="dxa"/>
            <w:vAlign w:val="bottom"/>
          </w:tcPr>
          <w:p>
            <w:pPr>
              <w:spacing w:after="0"/>
              <w:rPr>
                <w:sz w:val="16"/>
                <w:szCs w:val="16"/>
                <w:color w:val="auto"/>
              </w:rPr>
            </w:pPr>
          </w:p>
        </w:tc>
      </w:tr>
      <w:tr>
        <w:trPr>
          <w:trHeight w:val="176"/>
        </w:trPr>
        <w:tc>
          <w:tcPr>
            <w:tcW w:w="2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Rule 10b5-</w:t>
            </w: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Non-Rule</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Common Stock to</w:t>
            </w: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780" w:type="dxa"/>
            <w:vAlign w:val="bottom"/>
          </w:tcPr>
          <w:p>
            <w:pPr>
              <w:spacing w:after="0"/>
              <w:rPr>
                <w:sz w:val="15"/>
                <w:szCs w:val="15"/>
                <w:color w:val="auto"/>
              </w:rPr>
            </w:pPr>
          </w:p>
        </w:tc>
      </w:tr>
      <w:tr>
        <w:trPr>
          <w:trHeight w:val="216"/>
        </w:trPr>
        <w:tc>
          <w:tcPr>
            <w:tcW w:w="212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1260" w:type="dxa"/>
            <w:vAlign w:val="bottom"/>
          </w:tcPr>
          <w:p>
            <w:pPr>
              <w:jc w:val="center"/>
              <w:ind w:left="81"/>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1420" w:type="dxa"/>
            <w:vAlign w:val="bottom"/>
          </w:tcPr>
          <w:p>
            <w:pPr>
              <w:jc w:val="center"/>
              <w:ind w:left="1"/>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400" w:type="dxa"/>
            <w:vAlign w:val="bottom"/>
          </w:tcPr>
          <w:p>
            <w:pPr>
              <w:jc w:val="center"/>
              <w:ind w:left="2"/>
              <w:spacing w:after="0"/>
              <w:rPr>
                <w:sz w:val="20"/>
                <w:szCs w:val="20"/>
                <w:color w:val="auto"/>
              </w:rPr>
            </w:pPr>
            <w:r>
              <w:rPr>
                <w:rFonts w:ascii="Times New Roman" w:cs="Times New Roman" w:eastAsia="Times New Roman" w:hAnsi="Times New Roman"/>
                <w:sz w:val="15"/>
                <w:szCs w:val="15"/>
                <w:b w:val="1"/>
                <w:bCs w:val="1"/>
                <w:color w:val="auto"/>
              </w:rPr>
              <w:t>be Sold</w:t>
            </w: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rPr>
              <w:t>to be Purchased</w:t>
            </w:r>
          </w:p>
        </w:tc>
        <w:tc>
          <w:tcPr>
            <w:tcW w:w="1780" w:type="dxa"/>
            <w:vAlign w:val="bottom"/>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22"/>
        </w:trPr>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Merel Witteveen</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w:t>
            </w:r>
          </w:p>
        </w:tc>
        <w:tc>
          <w:tcPr>
            <w:tcW w:w="126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rPr>
              <w:t>Adoption</w:t>
            </w:r>
          </w:p>
        </w:tc>
        <w:tc>
          <w:tcPr>
            <w:tcW w:w="14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March 28, 2025</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97,890</w:t>
            </w:r>
          </w:p>
        </w:tc>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3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1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81" w:lineRule="exact"/>
        <w:rPr>
          <w:sz w:val="20"/>
          <w:szCs w:val="20"/>
          <w:color w:val="auto"/>
        </w:rPr>
      </w:pPr>
    </w:p>
    <w:p>
      <w:pPr>
        <w:ind w:right="1500" w:firstLine="8"/>
        <w:spacing w:after="0" w:line="344" w:lineRule="auto"/>
        <w:tabs>
          <w:tab w:leader="none" w:pos="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Officer</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2025, Rob Schilling was appointed as the Company’s Executive Vice President and Chief Commercial Officer, overseeing all customer-facing operations. Mr. Schilling brings decades of experience in technical enterprise sales to the Company. Most recently, he was the Senior Vice President of ERP Sales for Oracle’s North America Applications division, guiding enterprise customers in service industries towards the value of Oracle’s cloud application suite. Prior to Oracle, Mr. Schilling was CEO at SpaceTime, through its acquisition by Nokia, where he oversaw development, strategy, and sales for IoT, Analytics, and Applications as GVP of Nokia Software. Prior to that, he held Senior Vice President &amp; General Manager roles at SAP. Mr. Schilling holds a Bachelor’s degree from the University of California, Santa Barbara.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Executive Vice President and Chief Commercial Officer, the Company and Mr. Schilling have entered into an offer letter, pursuant to which Mr. Schilling will receive an annual base salary of $600,000 per year, and an annual target bonus opportunity of $1,400,000. In addition, subject to the approval of the Company’s Board of Directors (“Board”), Mr. Schilling will receive an award under the Company’s 2020 Equity Incentive Plan of restricted stock units (“RSUs”) having an approximate value of $25,000,000, which will vest over a five-year period.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subject to the approval of the Board, on September 30, 2025, Mr. Schilling will be granted a number of RSUs having an approximate value on such date equivalent to 29,004 shares of Oracle Corporation (“Oracle”) common stock. These RSUs will represent the right to be issued an equivalent number of shares of Class A Common Stock of the Company upon vesting of the RSUs. This grant will immediately vest on the date of grant, subject to Mr. Schilling remaining employed by the Company through the date of grant.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Schilling and any other persons pursuant to which he was selected as Executive Vice President and Chief Commercial Officer. There are no family relationships between Mr. Schilling and any director or executive officer of the Company, and there are no transactions between Mr. Schilling and the Company that would be required to be reported under Item 404(a) of Regulation S-K.</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Mr. Schilling’s offer letter with the Company, which will be filed as an exhibit to the Company’s Quarterly Report on Form 10-Q for the fiscal quarter ending July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 Officer Transition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Schilling’s appointment, as of June 16, 2025, Mr. Schilling began supervising Alliances. In her role of managing Alliances, Merel Witteveen, our Senior Vice President, Operations, now reports to Mr. Schilling. Ms. Witteveen will continue to perform marketing responsibilities and continue to report to Mr. Siebel, our Chairman and Chief Executive Officer, with respect to these responsibilities.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60" w:lineRule="exact"/>
        <w:rPr>
          <w:sz w:val="20"/>
          <w:szCs w:val="20"/>
          <w:color w:val="auto"/>
        </w:rPr>
      </w:pPr>
    </w:p>
    <w:p>
      <w:pPr>
        <w:ind w:right="191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will be included in our definitive proxy statement for our 2025 annual meeting of stockholders, or our 2025 Proxy Statement, to be filed with the SEC within 120 days after the end of our fiscal year ended April 30, 2025, and is incorporated herein by reference.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section on our website, which is located at https://ir.c3.ai. We intend to satisfy the disclosure requirement under Item 5.05 of Form 8-K regarding amendment to, or waiver from, a provision of our code of conduct by posting such information in the investor relations section of our website.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Insider Trading Policy, employees, directors, and designated consultants, as well as immediate family members or others subject to the influence, direction or control of these individuals are prohibited from insider trading, hedging transactions, pledges, holding securities in margin accounts, short sales and transactions involving derivative securities, such as exchange-traded put or call options or swaps relating to our securities. A copy of our Insider Trading Policy has been filed as an exhibit to this report.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171"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Part II, Item 8 of this Annual Report on Form 10-K.</w:t>
      </w:r>
    </w:p>
    <w:p>
      <w:pPr>
        <w:spacing w:after="0" w:line="171"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w:t>
      </w:r>
    </w:p>
    <w:p>
      <w:pPr>
        <w:spacing w:after="0" w:line="171"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as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jc w:val="right"/>
              <w:ind w:right="400"/>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gridSpan w:val="4"/>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Certificate of Incorporation of the</w:t>
              </w:r>
            </w:hyperlink>
          </w:p>
        </w:tc>
        <w:tc>
          <w:tcPr>
            <w:tcW w:w="10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001-39744</w:t>
            </w:r>
          </w:p>
        </w:tc>
        <w:tc>
          <w:tcPr>
            <w:tcW w:w="100" w:type="dxa"/>
            <w:vAlign w:val="bottom"/>
          </w:tcPr>
          <w:p>
            <w:pPr>
              <w:spacing w:after="0"/>
              <w:rPr>
                <w:sz w:val="17"/>
                <w:szCs w:val="17"/>
                <w:color w:val="auto"/>
              </w:rPr>
            </w:pPr>
          </w:p>
        </w:tc>
        <w:tc>
          <w:tcPr>
            <w:tcW w:w="1060" w:type="dxa"/>
            <w:vAlign w:val="bottom"/>
          </w:tcPr>
          <w:p>
            <w:pPr>
              <w:jc w:val="right"/>
              <w:ind w:right="339"/>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Registrant.</w:t>
              </w:r>
            </w:hyperlink>
          </w:p>
        </w:tc>
        <w:tc>
          <w:tcPr>
            <w:tcW w:w="9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420"/>
        <w:spacing w:after="0"/>
        <w:tabs>
          <w:tab w:leader="none" w:pos="1140" w:val="left"/>
        </w:tabs>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77">
        <w:r>
          <w:rPr>
            <w:rFonts w:ascii="Times New Roman" w:cs="Times New Roman" w:eastAsia="Times New Roman" w:hAnsi="Times New Roman"/>
            <w:sz w:val="17"/>
            <w:szCs w:val="17"/>
            <w:u w:val="single" w:color="auto"/>
            <w:color w:val="0000FF"/>
          </w:rPr>
          <w:t>Amended and Restated Bylaws of the Registrant.</w:t>
        </w:r>
      </w:hyperlink>
    </w:p>
    <w:p>
      <w:pPr>
        <w:spacing w:after="0" w:line="63" w:lineRule="exact"/>
        <w:rPr>
          <w:sz w:val="20"/>
          <w:szCs w:val="20"/>
          <w:color w:val="auto"/>
        </w:rPr>
      </w:pPr>
    </w:p>
    <w:p>
      <w:pPr>
        <w:ind w:left="420"/>
        <w:spacing w:after="0"/>
        <w:tabs>
          <w:tab w:leader="none" w:pos="1140" w:val="left"/>
        </w:tabs>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78">
        <w:r>
          <w:rPr>
            <w:rFonts w:ascii="Times New Roman" w:cs="Times New Roman" w:eastAsia="Times New Roman" w:hAnsi="Times New Roman"/>
            <w:sz w:val="17"/>
            <w:szCs w:val="17"/>
            <w:u w:val="single" w:color="auto"/>
            <w:color w:val="0000FF"/>
          </w:rPr>
          <w:t>Form of Class A common stock certificate of the Registrant.</w:t>
        </w:r>
      </w:hyperlink>
    </w:p>
    <w:p>
      <w:pPr>
        <w:spacing w:after="0" w:line="63" w:lineRule="exact"/>
        <w:rPr>
          <w:sz w:val="20"/>
          <w:szCs w:val="20"/>
          <w:color w:val="auto"/>
        </w:rPr>
      </w:pPr>
    </w:p>
    <w:p>
      <w:pPr>
        <w:ind w:left="1160" w:hanging="744"/>
        <w:spacing w:after="0" w:line="266" w:lineRule="auto"/>
        <w:tabs>
          <w:tab w:leader="none" w:pos="1140" w:val="left"/>
        </w:tabs>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79">
        <w:r>
          <w:rPr>
            <w:rFonts w:ascii="Times New Roman" w:cs="Times New Roman" w:eastAsia="Times New Roman" w:hAnsi="Times New Roman"/>
            <w:sz w:val="18"/>
            <w:szCs w:val="18"/>
            <w:u w:val="single" w:color="auto"/>
            <w:color w:val="0000FF"/>
          </w:rPr>
          <w:t>Amended and Restated Registration Rights Agreement by and</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among the Registrant and certain of its stockholders, dated August</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15, 2019.</w:t>
        </w:r>
      </w:hyperlink>
    </w:p>
    <w:p>
      <w:pPr>
        <w:spacing w:after="0" w:line="14" w:lineRule="exact"/>
        <w:rPr>
          <w:rFonts w:ascii="Times New Roman" w:cs="Times New Roman" w:eastAsia="Times New Roman" w:hAnsi="Times New Roman"/>
          <w:sz w:val="18"/>
          <w:szCs w:val="18"/>
          <w:u w:val="single" w:color="auto"/>
          <w:color w:val="0000FF"/>
        </w:rPr>
      </w:pPr>
    </w:p>
    <w:p>
      <w:pPr>
        <w:ind w:left="1160" w:right="140" w:hanging="811"/>
        <w:spacing w:after="0" w:line="266" w:lineRule="auto"/>
        <w:tabs>
          <w:tab w:leader="none" w:pos="1140" w:val="left"/>
        </w:tabs>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4.2.1</w:t>
        </w:r>
      </w:hyperlink>
      <w:r>
        <w:rPr>
          <w:rFonts w:ascii="Times New Roman" w:cs="Times New Roman" w:eastAsia="Times New Roman" w:hAnsi="Times New Roman"/>
          <w:sz w:val="18"/>
          <w:szCs w:val="18"/>
          <w:u w:val="single" w:color="auto"/>
          <w:color w:val="0000FF"/>
        </w:rPr>
        <w:tab/>
      </w:r>
      <w:hyperlink r:id="rId180">
        <w:r>
          <w:rPr>
            <w:rFonts w:ascii="Times New Roman" w:cs="Times New Roman" w:eastAsia="Times New Roman" w:hAnsi="Times New Roman"/>
            <w:sz w:val="18"/>
            <w:szCs w:val="18"/>
            <w:u w:val="single" w:color="auto"/>
            <w:color w:val="0000FF"/>
          </w:rPr>
          <w:t>Amendment to Registration Rights Agreement and Waiver of</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Registration Rights and Notice by and among the Registrant and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certain of its stockholders, dated December 3,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27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27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23, 2020</w:t>
            </w:r>
          </w:p>
        </w:tc>
      </w:tr>
      <w:tr>
        <w:trPr>
          <w:trHeight w:val="702"/>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4.2.1</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June 25, 2021</w:t>
            </w:r>
          </w:p>
        </w:tc>
      </w:tr>
    </w:tbl>
    <w:p>
      <w:pPr>
        <w:spacing w:after="0" w:line="45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940" w:space="540"/>
            <w:col w:w="4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40" w:type="dxa"/>
            <w:vAlign w:val="bottom"/>
            <w:gridSpan w:val="4"/>
          </w:tcPr>
          <w:p>
            <w:pPr>
              <w:jc w:val="center"/>
              <w:ind w:left="330"/>
              <w:spacing w:after="0"/>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gridSpan w:val="1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Voting Agreement by and among the Registrant, Thomas M. Siebel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and Patricia A. House, dated January 15, 2015.</w:t>
              </w:r>
            </w:hyperlink>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0" w:type="dxa"/>
            <w:vAlign w:val="bottom"/>
            <w:gridSpan w:val="4"/>
          </w:tcPr>
          <w:p>
            <w:pPr>
              <w:jc w:val="center"/>
              <w:ind w:left="330"/>
              <w:spacing w:after="0"/>
              <w:rPr>
                <w:rFonts w:ascii="Times New Roman" w:cs="Times New Roman" w:eastAsia="Times New Roman" w:hAnsi="Times New Roman"/>
                <w:sz w:val="18"/>
                <w:szCs w:val="18"/>
                <w:color w:val="0000FF"/>
                <w:w w:val="97"/>
              </w:rPr>
            </w:pPr>
            <w:hyperlink r:id="rId18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Description of Capital Stock of the Registrant.</w:t>
              </w:r>
            </w:hyperlink>
          </w:p>
        </w:tc>
        <w:tc>
          <w:tcPr>
            <w:tcW w:w="1700" w:type="dxa"/>
            <w:vAlign w:val="bottom"/>
            <w:gridSpan w:val="7"/>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001-39744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June 25,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001-39744</w:t>
            </w: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5"/>
          </w:tcPr>
          <w:p>
            <w:pPr>
              <w:jc w:val="center"/>
              <w:ind w:left="23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80" w:type="dxa"/>
            <w:vAlign w:val="bottom"/>
            <w:gridSpan w:val="1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Equity Incentive Plan, as amended, and forms</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vMerge w:val="continue"/>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7, 2023</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0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thereunder.</w:t>
              </w:r>
            </w:hyperlink>
          </w:p>
        </w:tc>
        <w:tc>
          <w:tcPr>
            <w:tcW w:w="5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5"/>
          </w:tcPr>
          <w:p>
            <w:pPr>
              <w:jc w:val="center"/>
              <w:ind w:left="23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80" w:type="dxa"/>
            <w:vAlign w:val="bottom"/>
            <w:gridSpan w:val="1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Employee Stock Purchase Plan.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5"/>
          </w:tcPr>
          <w:p>
            <w:pPr>
              <w:jc w:val="center"/>
              <w:ind w:left="23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80" w:type="dxa"/>
            <w:vAlign w:val="bottom"/>
            <w:gridSpan w:val="1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Revised Offer Letter by and between the Registrant and Edward 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Abbo, dated July 15, 2011.</w:t>
              </w:r>
            </w:hyperlink>
          </w:p>
        </w:tc>
        <w:tc>
          <w:tcPr>
            <w:tcW w:w="2880" w:type="dxa"/>
            <w:vAlign w:val="bottom"/>
            <w:tcBorders>
              <w:top w:val="single" w:sz="8" w:color="0000FF"/>
            </w:tcBorders>
            <w:gridSpan w:val="8"/>
          </w:tcPr>
          <w:p>
            <w:pPr>
              <w:spacing w:after="0"/>
              <w:rPr>
                <w:sz w:val="17"/>
                <w:szCs w:val="17"/>
                <w:color w:val="auto"/>
              </w:rPr>
            </w:pPr>
          </w:p>
        </w:tc>
        <w:tc>
          <w:tcPr>
            <w:tcW w:w="2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Special Advisor Agreement by and between the Registrant and Jim</w:t>
            </w: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Hagemann Snabe, dated March 31, 2025</w:t>
            </w:r>
          </w:p>
        </w:tc>
        <w:tc>
          <w:tcPr>
            <w:tcW w:w="1900" w:type="dxa"/>
            <w:vAlign w:val="bottom"/>
            <w:tcBorders>
              <w:top w:val="single" w:sz="8" w:color="0000FF"/>
            </w:tcBorders>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0" w:type="dxa"/>
            <w:vAlign w:val="bottom"/>
            <w:gridSpan w:val="6"/>
          </w:tcPr>
          <w:p>
            <w:pPr>
              <w:jc w:val="center"/>
              <w:ind w:left="19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380" w:type="dxa"/>
            <w:vAlign w:val="bottom"/>
          </w:tcPr>
          <w:p>
            <w:pPr>
              <w:spacing w:after="0"/>
              <w:rPr>
                <w:sz w:val="21"/>
                <w:szCs w:val="21"/>
                <w:color w:val="auto"/>
              </w:rPr>
            </w:pPr>
          </w:p>
        </w:tc>
        <w:tc>
          <w:tcPr>
            <w:tcW w:w="5080" w:type="dxa"/>
            <w:vAlign w:val="bottom"/>
            <w:gridSpan w:val="1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Indemnification Agreement between the Registrant and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333-253944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5, 2021</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2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each of its directors and executive officers.</w:t>
              </w:r>
            </w:hyperlink>
          </w:p>
        </w:tc>
        <w:tc>
          <w:tcPr>
            <w:tcW w:w="46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Borders>
              <w:top w:val="single" w:sz="8" w:color="0000FF"/>
            </w:tcBorders>
            <w:gridSpan w:val="4"/>
          </w:tcPr>
          <w:p>
            <w:pPr>
              <w:spacing w:after="0"/>
              <w:rPr>
                <w:sz w:val="24"/>
                <w:szCs w:val="24"/>
                <w:color w:val="auto"/>
              </w:rPr>
            </w:pP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3" w:name="page134"/>
    <w:bookmarkEnd w:id="133"/>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7"/>
          </w:tcPr>
          <w:p>
            <w:pPr>
              <w:jc w:val="center"/>
              <w:spacing w:after="0"/>
              <w:rPr>
                <w:rFonts w:ascii="Times New Roman" w:cs="Times New Roman" w:eastAsia="Times New Roman" w:hAnsi="Times New Roman"/>
                <w:sz w:val="18"/>
                <w:szCs w:val="18"/>
                <w:color w:val="0000FF"/>
                <w:w w:val="95"/>
              </w:rPr>
            </w:pPr>
            <w:hyperlink r:id="rId18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Lease by and between the Registrant and Google LLC (as successor-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in-interest to VII Pac Shores Investors, LLC), dated October 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89">
              <w:r>
                <w:rPr>
                  <w:rFonts w:ascii="Times New Roman" w:cs="Times New Roman" w:eastAsia="Times New Roman" w:hAnsi="Times New Roman"/>
                  <w:sz w:val="18"/>
                  <w:szCs w:val="18"/>
                  <w:color w:val="0000FF"/>
                  <w:w w:val="93"/>
                </w:rPr>
                <w:t>2011.</w:t>
              </w:r>
            </w:hyperlink>
          </w:p>
        </w:tc>
        <w:tc>
          <w:tcPr>
            <w:tcW w:w="7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gridSpan w:val="2"/>
          </w:tcPr>
          <w:p>
            <w:pPr>
              <w:spacing w:after="0"/>
              <w:rPr>
                <w:sz w:val="21"/>
                <w:szCs w:val="21"/>
                <w:color w:val="auto"/>
              </w:rPr>
            </w:pPr>
          </w:p>
        </w:tc>
        <w:tc>
          <w:tcPr>
            <w:tcW w:w="460" w:type="dxa"/>
            <w:vAlign w:val="bottom"/>
            <w:gridSpan w:val="6"/>
          </w:tcPr>
          <w:p>
            <w:pPr>
              <w:jc w:val="cente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6.1</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First Amendment to Lease by and between the Registrant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4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Google LLC, dated April 4, 2017.</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gridSpan w:val="2"/>
          </w:tcPr>
          <w:p>
            <w:pPr>
              <w:spacing w:after="0"/>
              <w:rPr>
                <w:sz w:val="21"/>
                <w:szCs w:val="21"/>
                <w:color w:val="auto"/>
              </w:rPr>
            </w:pPr>
          </w:p>
        </w:tc>
        <w:tc>
          <w:tcPr>
            <w:tcW w:w="460" w:type="dxa"/>
            <w:vAlign w:val="bottom"/>
            <w:tcBorders>
              <w:bottom w:val="single" w:sz="8" w:color="0000FF"/>
            </w:tcBorders>
            <w:gridSpan w:val="6"/>
          </w:tcPr>
          <w:p>
            <w:pPr>
              <w:jc w:val="cente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6.2</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Second Amendment to Lease by and between the Registrant and</w:t>
              </w:r>
            </w:hyperlink>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Google LLC, dated November 7, 2017.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gridSpan w:val="9"/>
          </w:tcPr>
          <w:p>
            <w:pPr>
              <w:jc w:val="cente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6.3</w:t>
              </w:r>
            </w:hyperlink>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Third Amendment to Lease by and between the Registrant and</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10"/>
          </w:tcPr>
          <w:p>
            <w:pPr>
              <w:spacing w:after="0" w:line="163"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Google LLC, dated August 25, 2021.</w:t>
              </w:r>
            </w:hyperlink>
          </w:p>
        </w:tc>
        <w:tc>
          <w:tcPr>
            <w:tcW w:w="184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gridSpan w:val="2"/>
          </w:tcPr>
          <w:p>
            <w:pPr>
              <w:spacing w:after="0"/>
              <w:rPr>
                <w:sz w:val="21"/>
                <w:szCs w:val="21"/>
                <w:color w:val="auto"/>
              </w:rPr>
            </w:pPr>
          </w:p>
        </w:tc>
        <w:tc>
          <w:tcPr>
            <w:tcW w:w="460" w:type="dxa"/>
            <w:vAlign w:val="bottom"/>
            <w:tcBorders>
              <w:bottom w:val="single" w:sz="8" w:color="0000FF"/>
            </w:tcBorders>
            <w:gridSpan w:val="6"/>
          </w:tcPr>
          <w:p>
            <w:pPr>
              <w:jc w:val="cente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6.4</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Fourth Amendment to Lease by and between the Registrant and</w:t>
              </w:r>
            </w:hyperlink>
          </w:p>
        </w:tc>
        <w:tc>
          <w:tcPr>
            <w:tcW w:w="3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Google LLC, dated April 6,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gridSpan w:val="2"/>
          </w:tcPr>
          <w:p>
            <w:pPr>
              <w:spacing w:after="0"/>
              <w:rPr>
                <w:sz w:val="21"/>
                <w:szCs w:val="21"/>
                <w:color w:val="auto"/>
              </w:rPr>
            </w:pPr>
          </w:p>
        </w:tc>
        <w:tc>
          <w:tcPr>
            <w:tcW w:w="460" w:type="dxa"/>
            <w:vAlign w:val="bottom"/>
            <w:tcBorders>
              <w:bottom w:val="single" w:sz="8" w:color="0000FF"/>
            </w:tcBorders>
            <w:gridSpan w:val="6"/>
          </w:tcPr>
          <w:p>
            <w:pPr>
              <w:jc w:val="cente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6.5</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Sublease by and between the Registrant and First Virtual Group,</w:t>
              </w:r>
            </w:hyperlink>
          </w:p>
        </w:tc>
        <w:tc>
          <w:tcPr>
            <w:tcW w:w="3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 dated February 21, 2023.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7"/>
          </w:tcPr>
          <w:p>
            <w:pPr>
              <w:jc w:val="cente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Joint Venture Agreement by and between the Registrant and Baker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Hughes Holdings LLC, dated June 6, 2019.</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0000FF"/>
            </w:tcBorders>
            <w:gridSpan w:val="10"/>
          </w:tcPr>
          <w:p>
            <w:pPr>
              <w:jc w:val="cente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7.1#</w:t>
            </w:r>
          </w:p>
        </w:tc>
        <w:tc>
          <w:tcPr>
            <w:tcW w:w="360" w:type="dxa"/>
            <w:vAlign w:val="bottom"/>
          </w:tcPr>
          <w:p>
            <w:pPr>
              <w:spacing w:after="0"/>
              <w:rPr>
                <w:sz w:val="21"/>
                <w:szCs w:val="21"/>
                <w:color w:val="auto"/>
              </w:rPr>
            </w:pPr>
          </w:p>
        </w:tc>
        <w:tc>
          <w:tcPr>
            <w:tcW w:w="47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First Amendment to Joint Venture Agreement by and between the</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Registrant and Baker Hughes Holdings LLC, dated September 26,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96">
              <w:r>
                <w:rPr>
                  <w:rFonts w:ascii="Times New Roman" w:cs="Times New Roman" w:eastAsia="Times New Roman" w:hAnsi="Times New Roman"/>
                  <w:sz w:val="18"/>
                  <w:szCs w:val="18"/>
                  <w:color w:val="0000FF"/>
                  <w:w w:val="93"/>
                </w:rPr>
                <w:t>2019.</w:t>
              </w:r>
            </w:hyperlink>
          </w:p>
        </w:tc>
        <w:tc>
          <w:tcPr>
            <w:tcW w:w="7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gridSpan w:val="10"/>
          </w:tcPr>
          <w:p>
            <w:pPr>
              <w:jc w:val="cente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7.2#</w:t>
            </w:r>
          </w:p>
        </w:tc>
        <w:tc>
          <w:tcPr>
            <w:tcW w:w="360" w:type="dxa"/>
            <w:vAlign w:val="bottom"/>
          </w:tcPr>
          <w:p>
            <w:pPr>
              <w:spacing w:after="0"/>
              <w:rPr>
                <w:sz w:val="21"/>
                <w:szCs w:val="21"/>
                <w:color w:val="auto"/>
              </w:rPr>
            </w:pPr>
          </w:p>
        </w:tc>
        <w:tc>
          <w:tcPr>
            <w:tcW w:w="49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Second Amendment to Joint Venture Agreement by and between the</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gridSpan w:val="34"/>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Registrant and Baker Hughes Holdings LLC, dated June 1, 2020.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00" w:type="dxa"/>
            <w:vAlign w:val="bottom"/>
            <w:gridSpan w:val="8"/>
          </w:tcPr>
          <w:p>
            <w:pPr>
              <w:jc w:val="cente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7.3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Third Amendment to Joint Venture Agreement by and between the</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0" w:type="dxa"/>
            <w:vAlign w:val="bottom"/>
            <w:tcBorders>
              <w:top w:val="single" w:sz="8" w:color="0000FF"/>
            </w:tcBorders>
            <w:gridSpan w:val="30"/>
          </w:tcPr>
          <w:p>
            <w:pPr>
              <w:spacing w:after="0" w:line="163"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Registrant and Baker Hughes Holdings LLC, dated October 31,</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98">
              <w:r>
                <w:rPr>
                  <w:rFonts w:ascii="Times New Roman" w:cs="Times New Roman" w:eastAsia="Times New Roman" w:hAnsi="Times New Roman"/>
                  <w:sz w:val="18"/>
                  <w:szCs w:val="18"/>
                  <w:color w:val="0000FF"/>
                  <w:w w:val="93"/>
                </w:rPr>
                <w:t>2021.</w:t>
              </w:r>
            </w:hyperlink>
          </w:p>
        </w:tc>
        <w:tc>
          <w:tcPr>
            <w:tcW w:w="7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0" w:type="dxa"/>
            <w:vAlign w:val="bottom"/>
            <w:gridSpan w:val="7"/>
          </w:tcPr>
          <w:p>
            <w:pPr>
              <w:jc w:val="cente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Office Lease by and between the Registrant and DWF IV 1400-1500</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2"/>
          </w:tcPr>
          <w:p>
            <w:pPr>
              <w:spacing w:after="0" w:line="163"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Seaport Blvd. LLC dated August 25, 2021.</w:t>
              </w:r>
            </w:hyperlink>
          </w:p>
        </w:tc>
        <w:tc>
          <w:tcPr>
            <w:tcW w:w="18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80" w:type="dxa"/>
            <w:vAlign w:val="bottom"/>
            <w:gridSpan w:val="7"/>
          </w:tcPr>
          <w:p>
            <w:pPr>
              <w:jc w:val="cente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7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Offer Letter by and between the Company and Hitesh Lath, dated</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1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720" w:type="dxa"/>
            <w:vAlign w:val="bottom"/>
            <w:gridSpan w:val="26"/>
          </w:tcPr>
          <w:p>
            <w:pPr>
              <w:spacing w:after="0" w:line="136" w:lineRule="exact"/>
              <w:rPr>
                <w:rFonts w:ascii="Times New Roman" w:cs="Times New Roman" w:eastAsia="Times New Roman" w:hAnsi="Times New Roman"/>
                <w:sz w:val="15"/>
                <w:szCs w:val="15"/>
                <w:color w:val="0000FF"/>
              </w:rPr>
            </w:pPr>
            <w:hyperlink r:id="rId200">
              <w:r>
                <w:rPr>
                  <w:rFonts w:ascii="Times New Roman" w:cs="Times New Roman" w:eastAsia="Times New Roman" w:hAnsi="Times New Roman"/>
                  <w:sz w:val="15"/>
                  <w:szCs w:val="15"/>
                  <w:color w:val="0000FF"/>
                </w:rPr>
                <w:t>February 28,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gridSpan w:val="9"/>
          </w:tcPr>
          <w:p>
            <w:pPr>
              <w:jc w:val="center"/>
              <w:spacing w:after="0"/>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Offer Letter by and between the Company and Merel Witteven,</w:t>
              </w:r>
            </w:hyperlink>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Borders>
              <w:top w:val="single" w:sz="8" w:color="0000FF"/>
              <w:bottom w:val="single" w:sz="8" w:color="0000FF"/>
            </w:tcBorders>
            <w:gridSpan w:val="5"/>
          </w:tcPr>
          <w:p>
            <w:pPr>
              <w:spacing w:after="0" w:line="136" w:lineRule="exact"/>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dated August 8, 2024</w:t>
              </w:r>
            </w:hyperlink>
          </w:p>
        </w:tc>
        <w:tc>
          <w:tcPr>
            <w:tcW w:w="3040" w:type="dxa"/>
            <w:vAlign w:val="bottom"/>
            <w:tcBorders>
              <w:top w:val="single" w:sz="8" w:color="0000FF"/>
            </w:tcBorders>
            <w:gridSpan w:val="15"/>
          </w:tcPr>
          <w:p>
            <w:pPr>
              <w:spacing w:after="0"/>
              <w:rPr>
                <w:sz w:val="11"/>
                <w:szCs w:val="11"/>
                <w:color w:val="auto"/>
              </w:rPr>
            </w:pPr>
          </w:p>
        </w:tc>
        <w:tc>
          <w:tcPr>
            <w:tcW w:w="16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Insider Trading Policy (as Amended and Restated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0000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340" w:type="dxa"/>
            <w:vAlign w:val="bottom"/>
            <w:tcBorders>
              <w:top w:val="single" w:sz="8" w:color="0000FF"/>
            </w:tcBorders>
            <w:gridSpan w:val="15"/>
          </w:tcPr>
          <w:p>
            <w:pPr>
              <w:spacing w:after="0" w:line="136" w:lineRule="exact"/>
              <w:rPr>
                <w:sz w:val="20"/>
                <w:szCs w:val="20"/>
                <w:color w:val="auto"/>
              </w:rPr>
            </w:pPr>
            <w:r>
              <w:rPr>
                <w:rFonts w:ascii="Times New Roman" w:cs="Times New Roman" w:eastAsia="Times New Roman" w:hAnsi="Times New Roman"/>
                <w:sz w:val="15"/>
                <w:szCs w:val="15"/>
                <w:color w:val="0000FF"/>
              </w:rPr>
              <w:t>February 17, 2025)</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60" w:type="dxa"/>
            <w:vAlign w:val="bottom"/>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400" w:type="dxa"/>
            <w:vAlign w:val="bottom"/>
            <w:tcBorders>
              <w:bottom w:val="single" w:sz="8" w:color="0000FF"/>
            </w:tcBorders>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4"/>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740" w:type="dxa"/>
            <w:vAlign w:val="bottom"/>
            <w:tcBorders>
              <w:top w:val="single" w:sz="8" w:color="0000FF"/>
            </w:tcBorders>
            <w:gridSpan w:val="27"/>
          </w:tcPr>
          <w:p>
            <w:pPr>
              <w:spacing w:after="0" w:line="136" w:lineRule="exact"/>
              <w:rPr>
                <w:sz w:val="20"/>
                <w:szCs w:val="20"/>
                <w:color w:val="auto"/>
              </w:rPr>
            </w:pPr>
            <w:r>
              <w:rPr>
                <w:rFonts w:ascii="Times New Roman" w:cs="Times New Roman" w:eastAsia="Times New Roman" w:hAnsi="Times New Roman"/>
                <w:sz w:val="15"/>
                <w:szCs w:val="15"/>
                <w:color w:val="0000FF"/>
              </w:rPr>
              <w:t>accounting firm.</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4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0000FF"/>
            </w:tcBorders>
            <w:gridSpan w:val="4"/>
          </w:tcPr>
          <w:p>
            <w:pPr>
              <w:spacing w:after="0" w:line="20" w:lineRule="exact"/>
              <w:rPr>
                <w:sz w:val="1"/>
                <w:szCs w:val="1"/>
                <w:color w:val="auto"/>
              </w:rPr>
            </w:pPr>
          </w:p>
        </w:tc>
        <w:tc>
          <w:tcPr>
            <w:tcW w:w="1180" w:type="dxa"/>
            <w:vAlign w:val="bottom"/>
            <w:tcBorders>
              <w:bottom w:val="single" w:sz="8" w:color="0000FF"/>
            </w:tcBorders>
            <w:gridSpan w:val="4"/>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 Act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780" w:type="dxa"/>
            <w:vAlign w:val="bottom"/>
            <w:tcBorders>
              <w:top w:val="single" w:sz="8" w:color="0000FF"/>
              <w:bottom w:val="single" w:sz="8" w:color="0000FF"/>
            </w:tcBorders>
            <w:gridSpan w:val="29"/>
          </w:tcPr>
          <w:p>
            <w:pPr>
              <w:spacing w:after="0" w:line="136" w:lineRule="exact"/>
              <w:rPr>
                <w:sz w:val="20"/>
                <w:szCs w:val="20"/>
                <w:color w:val="auto"/>
              </w:rPr>
            </w:pPr>
            <w:r>
              <w:rPr>
                <w:rFonts w:ascii="Times New Roman" w:cs="Times New Roman" w:eastAsia="Times New Roman" w:hAnsi="Times New Roman"/>
                <w:sz w:val="15"/>
                <w:szCs w:val="15"/>
                <w:color w:val="0000FF"/>
              </w:rPr>
              <w:t>Rules 13a-14(a) and 15d-14(a), as adopted pursuant to Section 302</w:t>
            </w:r>
          </w:p>
        </w:tc>
        <w:tc>
          <w:tcPr>
            <w:tcW w:w="40" w:type="dxa"/>
            <w:vAlign w:val="bottom"/>
            <w:tcBorders>
              <w:bottom w:val="single" w:sz="8" w:color="0000FF"/>
            </w:tcBorders>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260" w:type="dxa"/>
            <w:vAlign w:val="bottom"/>
            <w:gridSpan w:val="23"/>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6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 Act</w:t>
            </w:r>
          </w:p>
        </w:tc>
        <w:tc>
          <w:tcPr>
            <w:tcW w:w="2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980" w:type="dxa"/>
            <w:vAlign w:val="bottom"/>
            <w:gridSpan w:val="34"/>
          </w:tcPr>
          <w:p>
            <w:pPr>
              <w:spacing w:after="0" w:line="136" w:lineRule="exact"/>
              <w:rPr>
                <w:sz w:val="20"/>
                <w:szCs w:val="20"/>
                <w:color w:val="auto"/>
              </w:rPr>
            </w:pPr>
            <w:r>
              <w:rPr>
                <w:rFonts w:ascii="Times New Roman" w:cs="Times New Roman" w:eastAsia="Times New Roman" w:hAnsi="Times New Roman"/>
                <w:sz w:val="15"/>
                <w:szCs w:val="15"/>
                <w:color w:val="0000FF"/>
              </w:rPr>
              <w:t>Rules 13a-14(a) and 15d-14(a), as adopted pursuant to Section 302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260" w:type="dxa"/>
            <w:vAlign w:val="bottom"/>
            <w:tcBorders>
              <w:top w:val="single" w:sz="8" w:color="0000FF"/>
            </w:tcBorders>
            <w:gridSpan w:val="23"/>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18 U.S.C.</w:t>
            </w:r>
          </w:p>
        </w:tc>
        <w:tc>
          <w:tcPr>
            <w:tcW w:w="280" w:type="dxa"/>
            <w:vAlign w:val="bottom"/>
            <w:gridSpan w:val="10"/>
          </w:tcPr>
          <w:p>
            <w:pPr>
              <w:spacing w:after="0"/>
              <w:rPr>
                <w:sz w:val="19"/>
                <w:szCs w:val="19"/>
                <w:color w:val="auto"/>
              </w:rPr>
            </w:pPr>
          </w:p>
        </w:tc>
        <w:tc>
          <w:tcPr>
            <w:tcW w:w="2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980" w:type="dxa"/>
            <w:vAlign w:val="bottom"/>
            <w:gridSpan w:val="34"/>
          </w:tcPr>
          <w:p>
            <w:pPr>
              <w:spacing w:after="0" w:line="136" w:lineRule="exact"/>
              <w:rPr>
                <w:sz w:val="20"/>
                <w:szCs w:val="20"/>
                <w:color w:val="auto"/>
              </w:rPr>
            </w:pPr>
            <w:r>
              <w:rPr>
                <w:rFonts w:ascii="Times New Roman" w:cs="Times New Roman" w:eastAsia="Times New Roman" w:hAnsi="Times New Roman"/>
                <w:sz w:val="15"/>
                <w:szCs w:val="15"/>
                <w:color w:val="0000FF"/>
              </w:rPr>
              <w:t>Section 1350, as adopted pursuant to Section 906 of the Sarbanes-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9"/>
          </w:tcPr>
          <w:p>
            <w:pPr>
              <w:jc w:val="center"/>
              <w:spacing w:after="0" w:line="19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1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980" w:type="dxa"/>
            <w:vAlign w:val="bottom"/>
            <w:gridSpan w:val="34"/>
          </w:tcPr>
          <w:p>
            <w:pPr>
              <w:spacing w:after="0" w:line="136" w:lineRule="exact"/>
              <w:rPr>
                <w:sz w:val="20"/>
                <w:szCs w:val="20"/>
                <w:color w:val="auto"/>
              </w:rPr>
            </w:pPr>
            <w:r>
              <w:rPr>
                <w:rFonts w:ascii="Times New Roman" w:cs="Times New Roman" w:eastAsia="Times New Roman" w:hAnsi="Times New Roman"/>
                <w:sz w:val="15"/>
                <w:szCs w:val="15"/>
                <w:color w:val="0000FF"/>
              </w:rPr>
              <w:t>Section 1350, as adopted pursuant to Section 906 of the Sarbanes-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9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gridSpan w:val="3"/>
          </w:tcPr>
          <w:p>
            <w:pPr>
              <w:spacing w:after="0"/>
              <w:rPr>
                <w:sz w:val="19"/>
                <w:szCs w:val="19"/>
                <w:color w:val="auto"/>
              </w:rPr>
            </w:pPr>
          </w:p>
        </w:tc>
        <w:tc>
          <w:tcPr>
            <w:tcW w:w="420" w:type="dxa"/>
            <w:vAlign w:val="bottom"/>
            <w:tcBorders>
              <w:bottom w:val="single" w:sz="8" w:color="0000FF"/>
            </w:tcBorders>
            <w:gridSpan w:val="4"/>
          </w:tcPr>
          <w:p>
            <w:pPr>
              <w:jc w:val="cente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gridSpan w:val="34"/>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Incentive Compensation Recoupment Policy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702"/>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45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3, 2023</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702"/>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662"/>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45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41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September 5,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920" w:val="left"/>
          <w:tab w:leader="none" w:pos="2380" w:val="left"/>
          <w:tab w:leader="none" w:pos="344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001-39744</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June 18, 2024</w:t>
      </w:r>
    </w:p>
    <w:p>
      <w:pPr>
        <w:spacing w:after="0" w:line="227" w:lineRule="exact"/>
        <w:rPr>
          <w:sz w:val="20"/>
          <w:szCs w:val="20"/>
          <w:color w:val="auto"/>
        </w:rPr>
      </w:pPr>
    </w:p>
    <w:p>
      <w:pPr>
        <w:sectPr>
          <w:pgSz w:w="11900" w:h="16838" w:orient="portrait"/>
          <w:cols w:equalWidth="0" w:num="2">
            <w:col w:w="5860" w:space="400"/>
            <w:col w:w="4680"/>
          </w:cols>
          <w:pgMar w:left="580" w:top="1440" w:right="3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175895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80" w:top="1440" w:right="379" w:bottom="1440" w:gutter="0" w:footer="0" w:header="0"/>
          <w:type w:val="continuous"/>
        </w:sectPr>
      </w:pPr>
    </w:p>
    <w:bookmarkStart w:id="134" w:name="page135"/>
    <w:bookmarkEnd w:id="134"/>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101.INS*</w:t>
      </w:r>
    </w:p>
    <w:p>
      <w:pPr>
        <w:spacing w:after="0" w:line="387" w:lineRule="exact"/>
        <w:rPr>
          <w:sz w:val="20"/>
          <w:szCs w:val="20"/>
          <w:color w:val="auto"/>
        </w:rPr>
      </w:pPr>
    </w:p>
    <w:p>
      <w:pPr>
        <w:jc w:val="center"/>
        <w:ind w:left="160"/>
        <w:spacing w:after="0" w:line="341" w:lineRule="auto"/>
        <w:rPr>
          <w:sz w:val="20"/>
          <w:szCs w:val="20"/>
          <w:color w:val="auto"/>
        </w:rPr>
      </w:pPr>
      <w:r>
        <w:rPr>
          <w:rFonts w:ascii="Times New Roman" w:cs="Times New Roman" w:eastAsia="Times New Roman" w:hAnsi="Times New Roman"/>
          <w:sz w:val="17"/>
          <w:szCs w:val="17"/>
          <w:color w:val="auto"/>
        </w:rPr>
        <w:t>101.SCH* 101.CAL* 101.DEF* 101.LAB* 101.PRE*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w:t>
      </w:r>
    </w:p>
    <w:p>
      <w:pPr>
        <w:spacing w:after="0" w:line="219" w:lineRule="auto"/>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p>
      <w:pPr>
        <w:spacing w:after="0"/>
        <w:rPr>
          <w:sz w:val="20"/>
          <w:szCs w:val="20"/>
          <w:color w:val="auto"/>
        </w:rPr>
      </w:pPr>
      <w:r>
        <w:rPr>
          <w:rFonts w:ascii="Times New Roman" w:cs="Times New Roman" w:eastAsia="Times New Roman" w:hAnsi="Times New Roman"/>
          <w:sz w:val="18"/>
          <w:szCs w:val="18"/>
          <w:color w:val="auto"/>
        </w:rPr>
        <w:t>within the Inline XBRL document.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8"/>
          <w:szCs w:val="18"/>
          <w:color w:val="auto"/>
        </w:rPr>
        <w:t>contained in Exhibits 101).</w:t>
      </w:r>
    </w:p>
    <w:p>
      <w:pPr>
        <w:spacing w:after="0" w:line="200" w:lineRule="exact"/>
        <w:rPr>
          <w:sz w:val="20"/>
          <w:szCs w:val="20"/>
          <w:color w:val="auto"/>
        </w:rPr>
      </w:pPr>
    </w:p>
    <w:p>
      <w:pPr>
        <w:sectPr>
          <w:pgSz w:w="11900" w:h="16838" w:orient="portrait"/>
          <w:cols w:equalWidth="0" w:num="2">
            <w:col w:w="920" w:space="260"/>
            <w:col w:w="10060"/>
          </w:cols>
          <w:pgMar w:left="320" w:top="1440" w:right="33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00" w:hanging="292"/>
        <w:spacing w:after="0"/>
        <w:tabs>
          <w:tab w:leader="none" w:pos="3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jc w:val="both"/>
        <w:ind w:left="340" w:hanging="332"/>
        <w:spacing w:after="0" w:line="261" w:lineRule="auto"/>
        <w:tabs>
          <w:tab w:leader="none" w:pos="31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that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irrespective of</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any general incorporation language contained in such filing.</w:t>
      </w:r>
    </w:p>
    <w:p>
      <w:pPr>
        <w:spacing w:after="0" w:line="15" w:lineRule="exact"/>
        <w:rPr>
          <w:sz w:val="20"/>
          <w:szCs w:val="20"/>
          <w:color w:val="auto"/>
        </w:rPr>
      </w:pPr>
    </w:p>
    <w:p>
      <w:pPr>
        <w:ind w:left="300" w:hanging="292"/>
        <w:spacing w:after="0"/>
        <w:tabs>
          <w:tab w:leader="none" w:pos="3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4" w:lineRule="exact"/>
        <w:rPr>
          <w:sz w:val="20"/>
          <w:szCs w:val="20"/>
          <w:color w:val="auto"/>
        </w:rPr>
      </w:pPr>
    </w:p>
    <w:p>
      <w:pPr>
        <w:ind w:left="340" w:right="20" w:hanging="332"/>
        <w:spacing w:after="0" w:line="278" w:lineRule="auto"/>
        <w:tabs>
          <w:tab w:leader="none" w:pos="3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24" w:lineRule="exact"/>
        <w:rPr>
          <w:sz w:val="20"/>
          <w:szCs w:val="20"/>
          <w:color w:val="auto"/>
        </w:rPr>
      </w:pPr>
    </w:p>
    <w:p>
      <w:pPr>
        <w:ind w:left="20"/>
        <w:spacing w:after="0"/>
        <w:tabs>
          <w:tab w:leader="none" w:pos="5660" w:val="left"/>
          <w:tab w:leader="none" w:pos="6120" w:val="left"/>
        </w:tabs>
        <w:rPr>
          <w:sz w:val="20"/>
          <w:szCs w:val="20"/>
          <w:color w:val="auto"/>
        </w:rPr>
      </w:pPr>
      <w:r>
        <w:rPr>
          <w:rFonts w:ascii="Times New Roman" w:cs="Times New Roman" w:eastAsia="Times New Roman" w:hAnsi="Times New Roman"/>
          <w:sz w:val="18"/>
          <w:szCs w:val="18"/>
          <w:color w:val="auto"/>
        </w:rPr>
        <w:t>Date: June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Thomas M. Siebel</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Thomas M. Siebel and Hitesh Lath, and each one of them, as his or her true and lawful attorney-in-fact and agent, with the power of substitution and re-substitution, for him or her and in their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each of said attorneys-in-fact, or his or her substitute or substitutes, may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80"/>
        </w:trPr>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Siebel</w:t>
            </w:r>
          </w:p>
        </w:tc>
        <w:tc>
          <w:tcPr>
            <w:tcW w:w="14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M. Siebel</w:t>
            </w:r>
          </w:p>
        </w:tc>
        <w:tc>
          <w:tcPr>
            <w:tcW w:w="140" w:type="dxa"/>
            <w:vAlign w:val="bottom"/>
          </w:tcPr>
          <w:p>
            <w:pPr>
              <w:spacing w:after="0"/>
              <w:rPr>
                <w:sz w:val="18"/>
                <w:szCs w:val="18"/>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300" w:type="dxa"/>
            <w:vAlign w:val="bottom"/>
          </w:tcPr>
          <w:p>
            <w:pPr>
              <w:spacing w:after="0"/>
              <w:rPr>
                <w:sz w:val="20"/>
                <w:szCs w:val="20"/>
                <w:color w:val="auto"/>
              </w:rPr>
            </w:pPr>
          </w:p>
        </w:tc>
      </w:tr>
      <w:tr>
        <w:trPr>
          <w:trHeight w:val="49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Hitesh Lath</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Hitesh Lath</w:t>
            </w:r>
          </w:p>
        </w:tc>
        <w:tc>
          <w:tcPr>
            <w:tcW w:w="140" w:type="dxa"/>
            <w:vAlign w:val="bottom"/>
          </w:tcPr>
          <w:p>
            <w:pPr>
              <w:spacing w:after="0"/>
              <w:rPr>
                <w:sz w:val="18"/>
                <w:szCs w:val="18"/>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300" w:type="dxa"/>
            <w:vAlign w:val="bottom"/>
          </w:tcPr>
          <w:p>
            <w:pPr>
              <w:spacing w:after="0"/>
              <w:rPr>
                <w:sz w:val="20"/>
                <w:szCs w:val="20"/>
                <w:color w:val="auto"/>
              </w:rPr>
            </w:pPr>
          </w:p>
        </w:tc>
      </w:tr>
      <w:tr>
        <w:trPr>
          <w:trHeight w:val="49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A. Davis</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A. Davis</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C. Levin</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C. Levin</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 McCaffery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 McCaffery</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Murray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Murray</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Condoleezza Rice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Condoleezza Rice</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Sewell</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Sewell</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 H. Snabe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H. Snabe</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 Sridhar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 Sridhar</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M. Ward, Jr.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M. Ward, Jr.</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General John Hyten, Ret.</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John Hyten, Ret.</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A. Goldman</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A. Goldman</w:t>
            </w:r>
          </w:p>
        </w:tc>
        <w:tc>
          <w:tcPr>
            <w:tcW w:w="140" w:type="dxa"/>
            <w:vAlign w:val="bottom"/>
          </w:tcPr>
          <w:p>
            <w:pPr>
              <w:spacing w:after="0"/>
              <w:rPr>
                <w:sz w:val="19"/>
                <w:szCs w:val="19"/>
                <w:color w:val="auto"/>
              </w:rPr>
            </w:pPr>
          </w:p>
        </w:tc>
        <w:tc>
          <w:tcPr>
            <w:tcW w:w="4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40"/>
          </w:cols>
          <w:pgMar w:left="320" w:top="158" w:right="639" w:bottom="1440" w:gutter="0" w:footer="0" w:header="0"/>
        </w:sectPr>
      </w:pPr>
    </w:p>
    <w:bookmarkStart w:id="137" w:name="page138"/>
    <w:bookmarkEnd w:id="137"/>
    <w:p>
      <w:pPr>
        <w:ind w:left="10040"/>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A0A0A"/>
        </w:rPr>
        <w:t>SPECIAL ADVISOR AGREEMENT</w:t>
      </w:r>
    </w:p>
    <w:p>
      <w:pPr>
        <w:spacing w:after="0" w:line="229" w:lineRule="exact"/>
        <w:rPr>
          <w:sz w:val="20"/>
          <w:szCs w:val="20"/>
          <w:color w:val="auto"/>
        </w:rPr>
      </w:pPr>
    </w:p>
    <w:p>
      <w:pPr>
        <w:ind w:firstLine="149"/>
        <w:spacing w:after="0" w:line="266" w:lineRule="auto"/>
        <w:rPr>
          <w:sz w:val="20"/>
          <w:szCs w:val="20"/>
          <w:color w:val="auto"/>
        </w:rPr>
      </w:pPr>
      <w:r>
        <w:rPr>
          <w:rFonts w:ascii="Times New Roman" w:cs="Times New Roman" w:eastAsia="Times New Roman" w:hAnsi="Times New Roman"/>
          <w:sz w:val="18"/>
          <w:szCs w:val="18"/>
          <w:color w:val="0A0A0A"/>
        </w:rPr>
        <w:t xml:space="preserve">Effective as of March 31, 2025 ("Effective Date"), </w:t>
      </w:r>
      <w:r>
        <w:rPr>
          <w:rFonts w:ascii="Times New Roman" w:cs="Times New Roman" w:eastAsia="Times New Roman" w:hAnsi="Times New Roman"/>
          <w:sz w:val="18"/>
          <w:szCs w:val="18"/>
          <w:color w:val="000000"/>
        </w:rPr>
        <w:t>James Snabe</w:t>
      </w:r>
      <w:r>
        <w:rPr>
          <w:rFonts w:ascii="Times New Roman" w:cs="Times New Roman" w:eastAsia="Times New Roman" w:hAnsi="Times New Roman"/>
          <w:sz w:val="18"/>
          <w:szCs w:val="18"/>
          <w:color w:val="0A0A0A"/>
        </w:rPr>
        <w:t xml:space="preserve"> ("Advisor"), and C3.ai, Inc. (“C3 AI” or the "Company"), having a place of business at 1400 Seaport Blvd, Redwood City, CA 94063 agree as follows:</w:t>
      </w:r>
    </w:p>
    <w:p>
      <w:pPr>
        <w:spacing w:after="0" w:line="194" w:lineRule="exact"/>
        <w:rPr>
          <w:sz w:val="20"/>
          <w:szCs w:val="20"/>
          <w:color w:val="auto"/>
        </w:rPr>
      </w:pPr>
    </w:p>
    <w:p>
      <w:pPr>
        <w:jc w:val="both"/>
        <w:ind w:firstLine="743"/>
        <w:spacing w:after="0" w:line="256"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0A0A0A"/>
        </w:rPr>
        <w:t>Services</w:t>
      </w:r>
      <w:r>
        <w:rPr>
          <w:rFonts w:ascii="Times New Roman" w:cs="Times New Roman" w:eastAsia="Times New Roman" w:hAnsi="Times New Roman"/>
          <w:sz w:val="17"/>
          <w:szCs w:val="17"/>
          <w:color w:val="0A0A0A"/>
        </w:rPr>
        <w:t>. Under the terms and conditions of this Special Advisor Agreement (“Agreement”), Advisor will perform the role of Special Advisor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0A0A0A"/>
        </w:rPr>
        <w:t xml:space="preserve">to the CEO, </w:t>
      </w:r>
      <w:r>
        <w:rPr>
          <w:rFonts w:ascii="Times New Roman" w:cs="Times New Roman" w:eastAsia="Times New Roman" w:hAnsi="Times New Roman"/>
          <w:sz w:val="17"/>
          <w:szCs w:val="17"/>
          <w:color w:val="000000"/>
        </w:rPr>
        <w:t>to assist the CEO and the Company’s senior leadership from time to time, where and as needed,</w:t>
      </w:r>
      <w:r>
        <w:rPr>
          <w:rFonts w:ascii="Times New Roman" w:cs="Times New Roman" w:eastAsia="Times New Roman" w:hAnsi="Times New Roman"/>
          <w:sz w:val="17"/>
          <w:szCs w:val="17"/>
          <w:color w:val="0A0A0A"/>
        </w:rPr>
        <w:t xml:space="preserve"> on matters including the following (collectively, the "Services"):</w:t>
      </w:r>
    </w:p>
    <w:p>
      <w:pPr>
        <w:spacing w:after="0" w:line="227" w:lineRule="exact"/>
        <w:rPr>
          <w:sz w:val="20"/>
          <w:szCs w:val="20"/>
          <w:color w:val="auto"/>
        </w:rPr>
      </w:pPr>
    </w:p>
    <w:p>
      <w:pPr>
        <w:ind w:left="640" w:hanging="308"/>
        <w:spacing w:after="0"/>
        <w:tabs>
          <w:tab w:leader="none" w:pos="64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18"/>
          <w:szCs w:val="18"/>
          <w:color w:val="auto"/>
        </w:rPr>
        <w:t>Assist the CEO and the Company’s senior leadership in actively managing the business of the Company;</w:t>
      </w:r>
    </w:p>
    <w:p>
      <w:pPr>
        <w:spacing w:after="0" w:line="14" w:lineRule="exact"/>
        <w:rPr>
          <w:rFonts w:ascii="Arial" w:cs="Arial" w:eastAsia="Arial" w:hAnsi="Arial"/>
          <w:sz w:val="20"/>
          <w:szCs w:val="20"/>
          <w:color w:val="auto"/>
        </w:rPr>
      </w:pPr>
    </w:p>
    <w:p>
      <w:pPr>
        <w:ind w:left="620" w:hanging="288"/>
        <w:spacing w:after="0" w:line="229" w:lineRule="auto"/>
        <w:tabs>
          <w:tab w:leader="none" w:pos="6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18"/>
          <w:szCs w:val="18"/>
          <w:color w:val="auto"/>
        </w:rPr>
        <w:t>Provide strategic and growth advice to the CEO and the Company’s senior leadership; and</w:t>
      </w:r>
    </w:p>
    <w:p>
      <w:pPr>
        <w:spacing w:after="0" w:line="1" w:lineRule="exact"/>
        <w:rPr>
          <w:rFonts w:ascii="Arial" w:cs="Arial" w:eastAsia="Arial" w:hAnsi="Arial"/>
          <w:sz w:val="20"/>
          <w:szCs w:val="20"/>
          <w:color w:val="auto"/>
        </w:rPr>
      </w:pPr>
    </w:p>
    <w:p>
      <w:pPr>
        <w:ind w:left="660" w:right="40" w:hanging="328"/>
        <w:spacing w:after="0" w:line="228" w:lineRule="auto"/>
        <w:tabs>
          <w:tab w:leader="none" w:pos="621" w:val="left"/>
        </w:tabs>
        <w:numPr>
          <w:ilvl w:val="0"/>
          <w:numId w:val="72"/>
        </w:numPr>
        <w:rPr>
          <w:rFonts w:ascii="Arial" w:cs="Arial" w:eastAsia="Arial" w:hAnsi="Arial"/>
          <w:sz w:val="20"/>
          <w:szCs w:val="20"/>
          <w:color w:val="auto"/>
        </w:rPr>
      </w:pPr>
      <w:r>
        <w:rPr>
          <w:rFonts w:ascii="Times New Roman" w:cs="Times New Roman" w:eastAsia="Times New Roman" w:hAnsi="Times New Roman"/>
          <w:sz w:val="18"/>
          <w:szCs w:val="18"/>
          <w:color w:val="auto"/>
        </w:rPr>
        <w:t>Consult and work with and advise the CEO and the Company’s senior leadership on matters relating to the Company’s actual or potential business, technology, and products.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0A0A0A"/>
        </w:rPr>
        <w:t>Advisor will report directly to the CEO while preforming his duties. Advisor shall determine the time, place, methods, details and means of performing</w:t>
      </w:r>
    </w:p>
    <w:p>
      <w:pPr>
        <w:spacing w:after="0" w:line="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0A0A0A"/>
        </w:rPr>
        <w:t>the Services. Advisor may travel to other locations as necessary in the performance of the Services, as requested by the CEO. Reasonable travel and entertainment expenses to be reimbursed consistent with standard Company policies.</w:t>
      </w:r>
    </w:p>
    <w:p>
      <w:pPr>
        <w:spacing w:after="0" w:line="230" w:lineRule="exact"/>
        <w:rPr>
          <w:sz w:val="20"/>
          <w:szCs w:val="20"/>
          <w:color w:val="auto"/>
        </w:rPr>
      </w:pPr>
    </w:p>
    <w:p>
      <w:pPr>
        <w:jc w:val="both"/>
        <w:ind w:left="660" w:hanging="328"/>
        <w:spacing w:after="0" w:line="239" w:lineRule="auto"/>
        <w:tabs>
          <w:tab w:leader="none" w:pos="663" w:val="left"/>
        </w:tabs>
        <w:numPr>
          <w:ilvl w:val="0"/>
          <w:numId w:val="73"/>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Consideration</w:t>
      </w:r>
      <w:r>
        <w:rPr>
          <w:rFonts w:ascii="Times New Roman" w:cs="Times New Roman" w:eastAsia="Times New Roman" w:hAnsi="Times New Roman"/>
          <w:sz w:val="18"/>
          <w:szCs w:val="18"/>
          <w:color w:val="0A0A0A"/>
        </w:rPr>
        <w:t xml:space="preserve">. In consideration in full for the Services, </w:t>
      </w:r>
      <w:r>
        <w:rPr>
          <w:rFonts w:ascii="Times New Roman" w:cs="Times New Roman" w:eastAsia="Times New Roman" w:hAnsi="Times New Roman"/>
          <w:sz w:val="18"/>
          <w:szCs w:val="18"/>
          <w:color w:val="000000"/>
        </w:rPr>
        <w:t>subject to the approval of the Board of Directors of C3 AI, Advisor will be awarded</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360,000 restricted stock units (RSUs), representing the right to be issued an equivalent number of shares of Class A Common Stock of C3 AI upon vesting of the RSUs (the “Grant”). The Grant will be subject to vesting in accordance with the C3.ai, Inc. International RSU Award Grant Notice to James Snabe dated March 31, 2025, attached as </w:t>
      </w:r>
      <w:r>
        <w:rPr>
          <w:rFonts w:ascii="Times New Roman" w:cs="Times New Roman" w:eastAsia="Times New Roman" w:hAnsi="Times New Roman"/>
          <w:sz w:val="21"/>
          <w:szCs w:val="21"/>
          <w:u w:val="single" w:color="auto"/>
          <w:color w:val="000000"/>
        </w:rPr>
        <w:t>Exhibit A</w:t>
      </w:r>
      <w:r>
        <w:rPr>
          <w:rFonts w:ascii="Times New Roman" w:cs="Times New Roman" w:eastAsia="Times New Roman" w:hAnsi="Times New Roman"/>
          <w:sz w:val="18"/>
          <w:szCs w:val="18"/>
          <w:color w:val="000000"/>
        </w:rPr>
        <w:t xml:space="preserve">. In addition, Advisor may submit to the Company reasonable expenses for reimbursement according to the Company Travel and Entertainment Policy attached as </w:t>
      </w:r>
      <w:r>
        <w:rPr>
          <w:rFonts w:ascii="Times New Roman" w:cs="Times New Roman" w:eastAsia="Times New Roman" w:hAnsi="Times New Roman"/>
          <w:sz w:val="21"/>
          <w:szCs w:val="21"/>
          <w:u w:val="single" w:color="auto"/>
          <w:color w:val="000000"/>
        </w:rPr>
        <w:t>Exhibit B</w:t>
      </w:r>
      <w:r>
        <w:rPr>
          <w:rFonts w:ascii="Times New Roman" w:cs="Times New Roman" w:eastAsia="Times New Roman" w:hAnsi="Times New Roman"/>
          <w:sz w:val="18"/>
          <w:szCs w:val="18"/>
          <w:color w:val="000000"/>
        </w:rPr>
        <w:t xml:space="preserve"> (the "Travel and Entertainment Policy").</w:t>
      </w:r>
    </w:p>
    <w:p>
      <w:pPr>
        <w:spacing w:after="0" w:line="241" w:lineRule="exact"/>
        <w:rPr>
          <w:sz w:val="20"/>
          <w:szCs w:val="20"/>
          <w:color w:val="auto"/>
        </w:rPr>
      </w:pPr>
    </w:p>
    <w:p>
      <w:pPr>
        <w:jc w:val="both"/>
        <w:ind w:left="660" w:hanging="328"/>
        <w:spacing w:after="0" w:line="238" w:lineRule="auto"/>
        <w:tabs>
          <w:tab w:leader="none" w:pos="663" w:val="left"/>
        </w:tabs>
        <w:numPr>
          <w:ilvl w:val="0"/>
          <w:numId w:val="74"/>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Confidentiality</w:t>
      </w:r>
      <w:r>
        <w:rPr>
          <w:rFonts w:ascii="Times New Roman" w:cs="Times New Roman" w:eastAsia="Times New Roman" w:hAnsi="Times New Roman"/>
          <w:sz w:val="18"/>
          <w:szCs w:val="18"/>
          <w:color w:val="0A0A0A"/>
        </w:rPr>
        <w:t xml:space="preserve">. Advisor’s engagement with the Company is also subject to Advisor’s compliance with C3 AI’s Confidential Information and Inventions Assignment and Arbitration Agreement (attached </w:t>
      </w:r>
      <w:r>
        <w:rPr>
          <w:rFonts w:ascii="Times New Roman" w:cs="Times New Roman" w:eastAsia="Times New Roman" w:hAnsi="Times New Roman"/>
          <w:sz w:val="21"/>
          <w:szCs w:val="21"/>
          <w:u w:val="single" w:color="auto"/>
          <w:color w:val="0A0A0A"/>
        </w:rPr>
        <w:t>as Exhibit C</w:t>
      </w:r>
      <w:r>
        <w:rPr>
          <w:rFonts w:ascii="Times New Roman" w:cs="Times New Roman" w:eastAsia="Times New Roman" w:hAnsi="Times New Roman"/>
          <w:sz w:val="18"/>
          <w:szCs w:val="18"/>
          <w:color w:val="0A0A0A"/>
        </w:rPr>
        <w:t xml:space="preserve"> (the “</w:t>
      </w:r>
      <w:r>
        <w:rPr>
          <w:rFonts w:ascii="Times New Roman" w:cs="Times New Roman" w:eastAsia="Times New Roman" w:hAnsi="Times New Roman"/>
          <w:sz w:val="21"/>
          <w:szCs w:val="21"/>
          <w:u w:val="single" w:color="auto"/>
          <w:color w:val="0A0A0A"/>
        </w:rPr>
        <w:t>CIIA</w:t>
      </w:r>
      <w:r>
        <w:rPr>
          <w:rFonts w:ascii="Times New Roman" w:cs="Times New Roman" w:eastAsia="Times New Roman" w:hAnsi="Times New Roman"/>
          <w:sz w:val="18"/>
          <w:szCs w:val="18"/>
          <w:color w:val="0A0A0A"/>
        </w:rPr>
        <w:t>”)). The CIIA, among other obligations, prohibits unauthorized use or disclosure of C3 AI proprietary information, prohibits solicitation of C3 AI’s employees, independent contractors and Advisors for the period of Advisor’s continued engagement with C3 AI and for one (1) year thereafter, to or for any other person or entity, and requires agreement to arbitrate all engagement-related disputes.</w:t>
      </w:r>
    </w:p>
    <w:p>
      <w:pPr>
        <w:spacing w:after="0" w:line="253" w:lineRule="exact"/>
        <w:rPr>
          <w:sz w:val="20"/>
          <w:szCs w:val="20"/>
          <w:color w:val="auto"/>
        </w:rPr>
      </w:pPr>
    </w:p>
    <w:p>
      <w:pPr>
        <w:ind w:left="660" w:right="20" w:hanging="328"/>
        <w:spacing w:after="0" w:line="286" w:lineRule="auto"/>
        <w:tabs>
          <w:tab w:leader="none" w:pos="663" w:val="left"/>
        </w:tabs>
        <w:numPr>
          <w:ilvl w:val="0"/>
          <w:numId w:val="75"/>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Termination</w:t>
      </w:r>
      <w:r>
        <w:rPr>
          <w:rFonts w:ascii="Times New Roman" w:cs="Times New Roman" w:eastAsia="Times New Roman" w:hAnsi="Times New Roman"/>
          <w:sz w:val="18"/>
          <w:szCs w:val="18"/>
          <w:color w:val="0A0A0A"/>
        </w:rPr>
        <w:t>. Either party may terminate this Agreement at any time, for any reason. The confidentiality obligations under the CIIA shall continue in accordance with its terms. Sections 5 though 8 of this Agreement shall indefinitely survive any termination.</w:t>
      </w:r>
    </w:p>
    <w:p>
      <w:pPr>
        <w:spacing w:after="0" w:line="195" w:lineRule="exact"/>
        <w:rPr>
          <w:sz w:val="20"/>
          <w:szCs w:val="20"/>
          <w:color w:val="auto"/>
        </w:rPr>
      </w:pPr>
    </w:p>
    <w:p>
      <w:pPr>
        <w:jc w:val="both"/>
        <w:ind w:left="660" w:hanging="328"/>
        <w:spacing w:after="0" w:line="246" w:lineRule="auto"/>
        <w:tabs>
          <w:tab w:leader="none" w:pos="663" w:val="left"/>
        </w:tabs>
        <w:numPr>
          <w:ilvl w:val="0"/>
          <w:numId w:val="76"/>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Relationship of the Parties; No Conflicts</w:t>
      </w:r>
      <w:r>
        <w:rPr>
          <w:rFonts w:ascii="Times New Roman" w:cs="Times New Roman" w:eastAsia="Times New Roman" w:hAnsi="Times New Roman"/>
          <w:sz w:val="18"/>
          <w:szCs w:val="18"/>
          <w:color w:val="0A0A0A"/>
        </w:rPr>
        <w:t>. Notwithstanding any provision hereof, for all purposes of this Agreement, each party shall be and act as an independent contractor and not as a partner, joint venturer, agent or employee of the other, and shall have no authority to bind or attempt to bind the other party to any commitment, contract or otherwise. Accordingly, for performing the role of Special Advisor under this Agreement, Advisor shall not be entitled to any other benefits or compensation, including those provided to Company’s or its affiliates’ employees. Advisor represents and warrants that neither this Agreement nor the performance thereof will conflict with or violate any obligation of Advisor or right of any third party and, during the term, Advisor will not create a conflict of interest, including by providing services to a Company competitor, or competing or preparing to compete with Company's business or anticipated business or assisting others to do so. Any violation by Advisor of Sections 1 or 3 shall be deemed a material breach of this Agreement.</w:t>
      </w:r>
    </w:p>
    <w:p>
      <w:pPr>
        <w:sectPr>
          <w:pgSz w:w="11900" w:h="16838" w:orient="portrait"/>
          <w:cols w:equalWidth="0" w:num="1">
            <w:col w:w="11240"/>
          </w:cols>
          <w:pgMar w:left="320" w:top="124" w:right="339" w:bottom="1440" w:gutter="0" w:footer="0" w:header="0"/>
        </w:sectPr>
      </w:pPr>
    </w:p>
    <w:bookmarkStart w:id="138" w:name="page139"/>
    <w:bookmarkEnd w:id="138"/>
    <w:p>
      <w:pPr>
        <w:spacing w:after="0" w:line="5" w:lineRule="exact"/>
        <w:rPr>
          <w:sz w:val="20"/>
          <w:szCs w:val="20"/>
          <w:color w:val="auto"/>
        </w:rPr>
      </w:pPr>
    </w:p>
    <w:p>
      <w:pPr>
        <w:jc w:val="both"/>
        <w:ind w:left="660" w:hanging="328"/>
        <w:spacing w:after="0" w:line="238" w:lineRule="auto"/>
        <w:tabs>
          <w:tab w:leader="none" w:pos="663" w:val="left"/>
        </w:tabs>
        <w:numPr>
          <w:ilvl w:val="0"/>
          <w:numId w:val="77"/>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Taxes, Benefits and Licenses</w:t>
      </w:r>
      <w:r>
        <w:rPr>
          <w:rFonts w:ascii="Times New Roman" w:cs="Times New Roman" w:eastAsia="Times New Roman" w:hAnsi="Times New Roman"/>
          <w:sz w:val="18"/>
          <w:szCs w:val="18"/>
          <w:color w:val="0A0A0A"/>
        </w:rPr>
        <w:t>. Advisor is solely responsible for the following: (a) the payment of all federal, state, and local taxes and all appropriate deductions or withholdings; and (b) the payment or provision of any unemployment insurance benefits, state disability benefits, workers’ compensation insurance, vacation, overtime or holiday pay, health, medical, dental or group insurance or any pension or profit sharing.</w:t>
      </w:r>
    </w:p>
    <w:p>
      <w:pPr>
        <w:spacing w:after="0" w:line="252" w:lineRule="exact"/>
        <w:rPr>
          <w:sz w:val="20"/>
          <w:szCs w:val="20"/>
          <w:color w:val="auto"/>
        </w:rPr>
      </w:pPr>
    </w:p>
    <w:p>
      <w:pPr>
        <w:jc w:val="both"/>
        <w:ind w:left="660" w:hanging="328"/>
        <w:spacing w:after="0" w:line="243" w:lineRule="auto"/>
        <w:tabs>
          <w:tab w:leader="none" w:pos="663" w:val="left"/>
        </w:tabs>
        <w:numPr>
          <w:ilvl w:val="0"/>
          <w:numId w:val="78"/>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Ineligibility for Employee Benefit Plans</w:t>
      </w:r>
      <w:r>
        <w:rPr>
          <w:rFonts w:ascii="Times New Roman" w:cs="Times New Roman" w:eastAsia="Times New Roman" w:hAnsi="Times New Roman"/>
          <w:sz w:val="18"/>
          <w:szCs w:val="18"/>
          <w:color w:val="0A0A0A"/>
        </w:rPr>
        <w:t>. Advisor is not eligible to participate in any Employee Benefit Plan maintained by C3 AI. In recognition thereof, the fee payable to Advisor has been set at a rate which is higher than the rate paid to C3 AI employees who perform comparable services for C3 AI and who are eligible to participate in such plans. The reclassification of Advisor or its personnel by the Internal Revenue Service, or any other governmental agency, shall have no effect upon the rate of compensation payable to Advisor or Advisor’s continued lack of eligibility for participation in any Employee Benefit Plan maintained by C3 AI.</w:t>
      </w:r>
    </w:p>
    <w:p>
      <w:pPr>
        <w:spacing w:after="0" w:line="252" w:lineRule="exact"/>
        <w:rPr>
          <w:sz w:val="20"/>
          <w:szCs w:val="20"/>
          <w:color w:val="auto"/>
        </w:rPr>
      </w:pPr>
    </w:p>
    <w:p>
      <w:pPr>
        <w:ind w:left="660" w:right="20" w:hanging="328"/>
        <w:spacing w:after="0" w:line="239" w:lineRule="auto"/>
        <w:tabs>
          <w:tab w:leader="none" w:pos="663" w:val="left"/>
        </w:tabs>
        <w:numPr>
          <w:ilvl w:val="0"/>
          <w:numId w:val="79"/>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Compliance with C3’s Policies and Law</w:t>
      </w:r>
      <w:r>
        <w:rPr>
          <w:rFonts w:ascii="Times New Roman" w:cs="Times New Roman" w:eastAsia="Times New Roman" w:hAnsi="Times New Roman"/>
          <w:sz w:val="18"/>
          <w:szCs w:val="18"/>
          <w:color w:val="0A0A0A"/>
        </w:rPr>
        <w:t>. Advisor will observe and comply with applicable laws (including all privacy and data protection laws) and the C3 AI Core Values, rules and policies of C3 AI, as set forth in C3 AI’s employee handbook, as provided to the Advisor.</w:t>
      </w:r>
    </w:p>
    <w:p>
      <w:pPr>
        <w:spacing w:after="0" w:line="253" w:lineRule="exact"/>
        <w:rPr>
          <w:sz w:val="20"/>
          <w:szCs w:val="20"/>
          <w:color w:val="auto"/>
        </w:rPr>
      </w:pPr>
    </w:p>
    <w:p>
      <w:pPr>
        <w:jc w:val="both"/>
        <w:ind w:left="660" w:hanging="328"/>
        <w:spacing w:after="0" w:line="243" w:lineRule="auto"/>
        <w:tabs>
          <w:tab w:leader="none" w:pos="663" w:val="left"/>
        </w:tabs>
        <w:numPr>
          <w:ilvl w:val="0"/>
          <w:numId w:val="80"/>
        </w:numPr>
        <w:rPr>
          <w:rFonts w:ascii="Arial" w:cs="Arial" w:eastAsia="Arial" w:hAnsi="Arial"/>
          <w:sz w:val="20"/>
          <w:szCs w:val="20"/>
          <w:color w:val="auto"/>
        </w:rPr>
      </w:pPr>
      <w:r>
        <w:rPr>
          <w:rFonts w:ascii="Times New Roman" w:cs="Times New Roman" w:eastAsia="Times New Roman" w:hAnsi="Times New Roman"/>
          <w:sz w:val="18"/>
          <w:szCs w:val="18"/>
          <w:u w:val="single" w:color="auto"/>
          <w:color w:val="0A0A0A"/>
        </w:rPr>
        <w:t>Miscellaneous</w:t>
      </w:r>
      <w:r>
        <w:rPr>
          <w:rFonts w:ascii="Times New Roman" w:cs="Times New Roman" w:eastAsia="Times New Roman" w:hAnsi="Times New Roman"/>
          <w:sz w:val="18"/>
          <w:szCs w:val="18"/>
          <w:color w:val="0A0A0A"/>
        </w:rPr>
        <w:t>. This Agreement is personal to and nontransferable by Advisor, but is transferable by Company in the case of a change of control. This is the entire agreement between Company and Advisor with respect to the subject matter hereof and supersedes all prior or contemporaneous agreements, understandings, and proposals, whether written or oral, regarding such subject matter. No modifications or waivers to this Agreement shall be effective unless in writing and signed by both parties. If any provision of this Agreement is determined to be illegal or unenforceable, that provision shall be limited or eliminated to the minimum extent necessary so that this Agreement shall otherwise remain in full force and effect and enforceable. This Agreement shall be governed by and construed in accordance with the laws of the State of California without regard to the conflicts of law provisions thereof.</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Advisor </w:t>
            </w:r>
            <w:r>
              <w:rPr>
                <w:rFonts w:ascii="Times New Roman" w:cs="Times New Roman" w:eastAsia="Times New Roman" w:hAnsi="Times New Roman"/>
                <w:sz w:val="18"/>
                <w:szCs w:val="18"/>
                <w:color w:val="0A0A0A"/>
              </w:rPr>
              <w:t>C3.ai, Inc.</w:t>
            </w:r>
          </w:p>
        </w:tc>
        <w:tc>
          <w:tcPr>
            <w:tcW w:w="4660" w:type="dxa"/>
            <w:vAlign w:val="bottom"/>
          </w:tcPr>
          <w:p>
            <w:pPr>
              <w:spacing w:after="0"/>
              <w:rPr>
                <w:sz w:val="20"/>
                <w:szCs w:val="20"/>
                <w:color w:val="auto"/>
              </w:rPr>
            </w:pPr>
          </w:p>
        </w:tc>
      </w:tr>
      <w:tr>
        <w:trPr>
          <w:trHeight w:val="49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 Jim H. Snabe</w:t>
            </w:r>
          </w:p>
        </w:tc>
        <w:tc>
          <w:tcPr>
            <w:tcW w:w="4660" w:type="dxa"/>
            <w:vAlign w:val="bottom"/>
          </w:tcPr>
          <w:p>
            <w:pPr>
              <w:ind w:left="20"/>
              <w:spacing w:after="0"/>
              <w:rPr>
                <w:sz w:val="20"/>
                <w:szCs w:val="20"/>
                <w:color w:val="auto"/>
              </w:rPr>
            </w:pPr>
            <w:r>
              <w:rPr>
                <w:rFonts w:ascii="Arial" w:cs="Arial" w:eastAsia="Arial" w:hAnsi="Arial"/>
                <w:sz w:val="18"/>
                <w:szCs w:val="18"/>
                <w:color w:val="auto"/>
              </w:rPr>
              <w:t>/s/ Thomas M. Siebel</w:t>
            </w:r>
          </w:p>
        </w:tc>
      </w:tr>
      <w:tr>
        <w:trPr>
          <w:trHeight w:val="218"/>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Jim H. Snabe</w:t>
            </w:r>
          </w:p>
        </w:tc>
        <w:tc>
          <w:tcPr>
            <w:tcW w:w="3600" w:type="dxa"/>
            <w:vAlign w:val="bottom"/>
          </w:tcPr>
          <w:p>
            <w:pPr>
              <w:spacing w:after="0"/>
              <w:rPr>
                <w:sz w:val="18"/>
                <w:szCs w:val="18"/>
                <w:color w:val="auto"/>
              </w:rPr>
            </w:pPr>
          </w:p>
        </w:tc>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M. Siebel</w:t>
            </w:r>
          </w:p>
        </w:tc>
      </w:tr>
      <w:tr>
        <w:trPr>
          <w:trHeight w:val="23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540"/>
              <w:spacing w:after="0"/>
              <w:rPr>
                <w:sz w:val="20"/>
                <w:szCs w:val="20"/>
                <w:color w:val="auto"/>
              </w:rPr>
            </w:pPr>
            <w:r>
              <w:rPr>
                <w:rFonts w:ascii="Arial" w:cs="Arial" w:eastAsia="Arial" w:hAnsi="Arial"/>
                <w:sz w:val="18"/>
                <w:szCs w:val="18"/>
                <w:color w:val="auto"/>
              </w:rPr>
              <w:t>Chairman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C3.ai,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Confidential</w:t>
      </w:r>
    </w:p>
    <w:p>
      <w:pPr>
        <w:sectPr>
          <w:pgSz w:w="11900" w:h="16838" w:orient="portrait"/>
          <w:cols w:equalWidth="0" w:num="1">
            <w:col w:w="11240"/>
          </w:cols>
          <w:pgMar w:left="320" w:top="1440" w:right="339" w:bottom="1440" w:gutter="0" w:footer="0" w:header="0"/>
        </w:sectPr>
      </w:pPr>
    </w:p>
    <w:bookmarkStart w:id="139" w:name="page140"/>
    <w:bookmarkEnd w:id="139"/>
    <w:p>
      <w:pPr>
        <w:ind w:left="5280"/>
        <w:spacing w:after="0"/>
        <w:rPr>
          <w:sz w:val="20"/>
          <w:szCs w:val="20"/>
          <w:color w:val="auto"/>
        </w:rPr>
      </w:pPr>
      <w:r>
        <w:rPr>
          <w:rFonts w:ascii="Times New Roman" w:cs="Times New Roman" w:eastAsia="Times New Roman" w:hAnsi="Times New Roman"/>
          <w:sz w:val="18"/>
          <w:szCs w:val="18"/>
          <w:u w:val="single" w:color="auto"/>
          <w:color w:val="0A0A0A"/>
        </w:rPr>
        <w:t>Exhibit A</w:t>
      </w:r>
    </w:p>
    <w:p>
      <w:pPr>
        <w:spacing w:after="0" w:line="27"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u w:val="single" w:color="auto"/>
          <w:color w:val="0A0A0A"/>
        </w:rPr>
        <w:t>C3.ai, Inc. International RSU Award Grant Notice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C3.ai,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Confidential</w:t>
      </w:r>
    </w:p>
    <w:p>
      <w:pPr>
        <w:sectPr>
          <w:pgSz w:w="11900" w:h="16838" w:orient="portrait"/>
          <w:cols w:equalWidth="0" w:num="1">
            <w:col w:w="10139"/>
          </w:cols>
          <w:pgMar w:left="320" w:top="1404" w:right="1440" w:bottom="1440" w:gutter="0" w:footer="0" w:header="0"/>
        </w:sectPr>
      </w:pPr>
    </w:p>
    <w:bookmarkStart w:id="140" w:name="page141"/>
    <w:bookmarkEnd w:id="140"/>
    <w:p>
      <w:pPr>
        <w:ind w:left="3240"/>
        <w:spacing w:after="0"/>
        <w:rPr>
          <w:sz w:val="20"/>
          <w:szCs w:val="20"/>
          <w:color w:val="auto"/>
        </w:rPr>
      </w:pPr>
      <w:r>
        <w:rPr>
          <w:rFonts w:ascii="Times New Roman" w:cs="Times New Roman" w:eastAsia="Times New Roman" w:hAnsi="Times New Roman"/>
          <w:sz w:val="18"/>
          <w:szCs w:val="18"/>
          <w:u w:val="single" w:color="auto"/>
          <w:color w:val="0A0A0A"/>
        </w:rPr>
        <w:t>Exhibit B</w:t>
      </w:r>
    </w:p>
    <w:p>
      <w:pPr>
        <w:spacing w:after="0" w:line="16"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u w:val="single" w:color="auto"/>
          <w:color w:val="0A0A0A"/>
        </w:rPr>
        <w:t>Confidential Information and Inventions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C3.ai, Inc.</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Confidential</w:t>
      </w:r>
    </w:p>
    <w:p>
      <w:pPr>
        <w:sectPr>
          <w:pgSz w:w="11900" w:h="16838" w:orient="portrait"/>
          <w:cols w:equalWidth="0" w:num="1">
            <w:col w:w="10139"/>
          </w:cols>
          <w:pgMar w:left="320" w:top="1417" w:right="1440" w:bottom="1440" w:gutter="0" w:footer="0" w:header="0"/>
        </w:sectPr>
      </w:pPr>
    </w:p>
    <w:bookmarkStart w:id="141" w:name="page142"/>
    <w:bookmarkEnd w:id="141"/>
    <w:p>
      <w:pPr>
        <w:ind w:left="3240"/>
        <w:spacing w:after="0"/>
        <w:rPr>
          <w:sz w:val="20"/>
          <w:szCs w:val="20"/>
          <w:color w:val="auto"/>
        </w:rPr>
      </w:pPr>
      <w:r>
        <w:rPr>
          <w:rFonts w:ascii="Times New Roman" w:cs="Times New Roman" w:eastAsia="Times New Roman" w:hAnsi="Times New Roman"/>
          <w:sz w:val="18"/>
          <w:szCs w:val="18"/>
          <w:u w:val="single" w:color="auto"/>
          <w:color w:val="0A0A0A"/>
        </w:rPr>
        <w:t>Exhibit C</w:t>
      </w:r>
    </w:p>
    <w:p>
      <w:pPr>
        <w:spacing w:after="0" w:line="2" w:lineRule="exact"/>
        <w:rPr>
          <w:sz w:val="20"/>
          <w:szCs w:val="20"/>
          <w:color w:val="auto"/>
        </w:rPr>
      </w:pPr>
    </w:p>
    <w:p>
      <w:pPr>
        <w:jc w:val="right"/>
        <w:ind w:right="5199"/>
        <w:spacing w:after="0"/>
        <w:rPr>
          <w:sz w:val="20"/>
          <w:szCs w:val="20"/>
          <w:color w:val="auto"/>
        </w:rPr>
      </w:pPr>
      <w:r>
        <w:rPr>
          <w:rFonts w:ascii="Times New Roman" w:cs="Times New Roman" w:eastAsia="Times New Roman" w:hAnsi="Times New Roman"/>
          <w:sz w:val="18"/>
          <w:szCs w:val="18"/>
          <w:u w:val="single" w:color="auto"/>
          <w:color w:val="0A0A0A"/>
        </w:rPr>
        <w:t>Travel and Entertainment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C3.ai,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Confidential</w:t>
      </w:r>
    </w:p>
    <w:p>
      <w:pPr>
        <w:sectPr>
          <w:pgSz w:w="11900" w:h="16838" w:orient="portrait"/>
          <w:cols w:equalWidth="0" w:num="1">
            <w:col w:w="10139"/>
          </w:cols>
          <w:pgMar w:left="320" w:top="1404"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C3.ai, Inc. Insider Trading Policy</w:t>
      </w:r>
    </w:p>
    <w:p>
      <w:pPr>
        <w:spacing w:after="0" w:line="135"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Approved by the Board of Directors</w:t>
      </w:r>
    </w:p>
    <w:p>
      <w:pPr>
        <w:spacing w:after="0" w:line="243"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Adopted: November 12, 2020</w:t>
      </w:r>
    </w:p>
    <w:p>
      <w:pPr>
        <w:spacing w:after="0" w:line="202"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Amended and Restated: February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8255</wp:posOffset>
            </wp:positionV>
            <wp:extent cx="53746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Principles</w:t>
      </w:r>
    </w:p>
    <w:p>
      <w:pPr>
        <w:spacing w:after="0" w:line="270" w:lineRule="exact"/>
        <w:rPr>
          <w:sz w:val="20"/>
          <w:szCs w:val="20"/>
          <w:color w:val="auto"/>
        </w:rPr>
      </w:pPr>
    </w:p>
    <w:p>
      <w:pPr>
        <w:ind w:left="642" w:right="120" w:hanging="642"/>
        <w:spacing w:after="0" w:line="287" w:lineRule="auto"/>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Personnel of C3.ai, Inc. and its subsidiaries (together, “</w:t>
      </w:r>
      <w:r>
        <w:rPr>
          <w:rFonts w:ascii="Times New Roman" w:cs="Times New Roman" w:eastAsia="Times New Roman" w:hAnsi="Times New Roman"/>
          <w:sz w:val="20"/>
          <w:szCs w:val="20"/>
          <w:b w:val="1"/>
          <w:bCs w:val="1"/>
          <w:i w:val="1"/>
          <w:iCs w:val="1"/>
          <w:color w:val="auto"/>
        </w:rPr>
        <w:t>C3 AI</w:t>
      </w:r>
      <w:r>
        <w:rPr>
          <w:rFonts w:ascii="Times New Roman" w:cs="Times New Roman" w:eastAsia="Times New Roman" w:hAnsi="Times New Roman"/>
          <w:sz w:val="20"/>
          <w:szCs w:val="20"/>
          <w:color w:val="auto"/>
        </w:rPr>
        <w:t>”) are responsible for understanding the obligations that come with having access to material nonpublic information and wanting to transact in C3 securities.</w:t>
      </w:r>
    </w:p>
    <w:p>
      <w:pPr>
        <w:spacing w:after="0" w:line="155" w:lineRule="exact"/>
        <w:rPr>
          <w:rFonts w:ascii="Times New Roman" w:cs="Times New Roman" w:eastAsia="Times New Roman" w:hAnsi="Times New Roman"/>
          <w:sz w:val="20"/>
          <w:szCs w:val="20"/>
          <w:b w:val="1"/>
          <w:bCs w:val="1"/>
          <w:color w:val="auto"/>
        </w:rPr>
      </w:pPr>
    </w:p>
    <w:p>
      <w:pPr>
        <w:ind w:left="642" w:right="120" w:hanging="642"/>
        <w:spacing w:after="0" w:line="269" w:lineRule="auto"/>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AI personnel who are aware of material nonpublic information relating to C3 AI may not engage in transactions in C3 AI securities except as permitted by this policy and applicable law.</w:t>
      </w:r>
    </w:p>
    <w:p>
      <w:pPr>
        <w:spacing w:after="0" w:line="172" w:lineRule="exact"/>
        <w:rPr>
          <w:rFonts w:ascii="Times New Roman" w:cs="Times New Roman" w:eastAsia="Times New Roman" w:hAnsi="Times New Roman"/>
          <w:sz w:val="20"/>
          <w:szCs w:val="20"/>
          <w:b w:val="1"/>
          <w:bCs w:val="1"/>
          <w:color w:val="auto"/>
        </w:rPr>
      </w:pPr>
    </w:p>
    <w:p>
      <w:pPr>
        <w:ind w:left="642" w:right="120" w:hanging="642"/>
        <w:spacing w:after="0" w:line="269" w:lineRule="auto"/>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AI personnel may not disclose material nonpublic information outside of C3 AI unless the disclosure is made in accordance with a specific C3 policy that authorizes such disclosure.</w:t>
      </w:r>
    </w:p>
    <w:p>
      <w:pPr>
        <w:spacing w:after="0" w:line="172" w:lineRule="exact"/>
        <w:rPr>
          <w:rFonts w:ascii="Times New Roman" w:cs="Times New Roman" w:eastAsia="Times New Roman" w:hAnsi="Times New Roman"/>
          <w:sz w:val="20"/>
          <w:szCs w:val="20"/>
          <w:b w:val="1"/>
          <w:bCs w:val="1"/>
          <w:color w:val="auto"/>
        </w:rPr>
      </w:pPr>
    </w:p>
    <w:p>
      <w:pPr>
        <w:ind w:left="642" w:right="120" w:hanging="642"/>
        <w:spacing w:after="0" w:line="269" w:lineRule="auto"/>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AI personnel may not disclose material nonpublic information to persons within C3 AI whose jobs do not require them to have that information.</w:t>
      </w:r>
    </w:p>
    <w:p>
      <w:pPr>
        <w:spacing w:after="0" w:line="172"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AI personnel may not recommend the purchase or sale of any C3 AI securities.</w:t>
      </w:r>
    </w:p>
    <w:p>
      <w:pPr>
        <w:spacing w:after="0" w:line="229"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to this policy require approval by C3 AI’s Board of Directors or a duly appointed committee of the Board of Directors.</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Q&amp;A</w:t>
      </w:r>
    </w:p>
    <w:p>
      <w:pPr>
        <w:spacing w:after="0" w:line="2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Scope and Purpose</w:t>
      </w:r>
    </w:p>
    <w:p>
      <w:pPr>
        <w:spacing w:after="0" w:line="22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have an insider trading policy?</w:t>
      </w:r>
    </w:p>
    <w:p>
      <w:pPr>
        <w:spacing w:after="0" w:line="216" w:lineRule="exact"/>
        <w:rPr>
          <w:sz w:val="20"/>
          <w:szCs w:val="20"/>
          <w:color w:val="auto"/>
        </w:rPr>
      </w:pPr>
    </w:p>
    <w:p>
      <w:pPr>
        <w:ind w:left="642" w:right="120" w:hanging="642"/>
        <w:spacing w:after="0" w:line="258" w:lineRule="auto"/>
        <w:tabs>
          <w:tab w:leader="none" w:pos="39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C3 AI, you may receive material information that is not yet publicly available (“</w:t>
      </w:r>
      <w:r>
        <w:rPr>
          <w:rFonts w:ascii="Times New Roman" w:cs="Times New Roman" w:eastAsia="Times New Roman" w:hAnsi="Times New Roman"/>
          <w:sz w:val="20"/>
          <w:szCs w:val="20"/>
          <w:b w:val="1"/>
          <w:bCs w:val="1"/>
          <w:i w:val="1"/>
          <w:iCs w:val="1"/>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nonpublic information</w:t>
      </w:r>
      <w:r>
        <w:rPr>
          <w:rFonts w:ascii="Times New Roman" w:cs="Times New Roman" w:eastAsia="Times New Roman" w:hAnsi="Times New Roman"/>
          <w:sz w:val="20"/>
          <w:szCs w:val="20"/>
          <w:color w:val="auto"/>
        </w:rPr>
        <w:t>”) about C3 AI or other publicly traded companies with which C3 AI has business relationships. Material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nonpublic information may give you, or someone to whom you pass that information, a leg up over others when deciding whether to buy, sell, or otherwise transact in C3 AI securities or the securities of another publicly traded company. This policy sets forth guidelines with respect to transactions in C3 AI securities by persons subject to this policy.</w:t>
      </w:r>
    </w:p>
    <w:p>
      <w:pPr>
        <w:sectPr>
          <w:pgSz w:w="11900" w:h="16838" w:orient="portrait"/>
          <w:cols w:equalWidth="0" w:num="1">
            <w:col w:w="11102"/>
          </w:cols>
          <w:pgMar w:left="458" w:top="342"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subject to this policy?</w:t>
      </w:r>
    </w:p>
    <w:p>
      <w:pPr>
        <w:spacing w:after="0" w:line="274" w:lineRule="exact"/>
        <w:rPr>
          <w:sz w:val="20"/>
          <w:szCs w:val="20"/>
          <w:color w:val="auto"/>
        </w:rPr>
      </w:pPr>
    </w:p>
    <w:p>
      <w:pPr>
        <w:ind w:left="642" w:hanging="642"/>
        <w:spacing w:after="0" w:line="269" w:lineRule="auto"/>
        <w:tabs>
          <w:tab w:leader="none" w:pos="49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applies to you and all other employees, directors, and designated independent contractors and consultants (including advisors) of C3 AI and its subsidiaries. This policy also applies to members of your immediate family (meaning persons with whom you share a household, persons who are your economic dependents, or persons whose transactions in Company securities are directed by you or are subject to your influence or control) and, unless otherwise determined by C3 AI, any other individuals or entities whose transactions in securities you influence, direct, or control (including, e.g., a venture or other investment fund, if you influence, direct, or control transactions by the fund). The foregoing persons who are deemed subject to this policy are referred to in this policy as “</w:t>
      </w:r>
      <w:r>
        <w:rPr>
          <w:rFonts w:ascii="Times New Roman" w:cs="Times New Roman" w:eastAsia="Times New Roman" w:hAnsi="Times New Roman"/>
          <w:sz w:val="19"/>
          <w:szCs w:val="19"/>
          <w:b w:val="1"/>
          <w:bCs w:val="1"/>
          <w:i w:val="1"/>
          <w:iCs w:val="1"/>
          <w:color w:val="auto"/>
        </w:rPr>
        <w:t>Related Persons.</w:t>
      </w:r>
      <w:r>
        <w:rPr>
          <w:rFonts w:ascii="Times New Roman" w:cs="Times New Roman" w:eastAsia="Times New Roman" w:hAnsi="Times New Roman"/>
          <w:sz w:val="19"/>
          <w:szCs w:val="19"/>
          <w:color w:val="auto"/>
        </w:rPr>
        <w:t>” You are responsible for making sure that your Related Persons comply with this policy.</w:t>
      </w:r>
    </w:p>
    <w:p>
      <w:pPr>
        <w:spacing w:after="0" w:line="189" w:lineRule="exact"/>
        <w:rPr>
          <w:sz w:val="20"/>
          <w:szCs w:val="20"/>
          <w:color w:val="auto"/>
        </w:rPr>
      </w:pPr>
    </w:p>
    <w:p>
      <w:pPr>
        <w:jc w:val="both"/>
        <w:ind w:left="602"/>
        <w:spacing w:after="0"/>
        <w:rPr>
          <w:sz w:val="20"/>
          <w:szCs w:val="20"/>
          <w:color w:val="auto"/>
        </w:rPr>
      </w:pPr>
      <w:r>
        <w:rPr>
          <w:rFonts w:ascii="Times New Roman" w:cs="Times New Roman" w:eastAsia="Times New Roman" w:hAnsi="Times New Roman"/>
          <w:sz w:val="20"/>
          <w:szCs w:val="20"/>
          <w:color w:val="auto"/>
        </w:rPr>
        <w:t xml:space="preserve">In addition, if you are an officer, director, employee, or designated consultant or independent contractors of C3 AI identified on </w:t>
      </w:r>
      <w:r>
        <w:rPr>
          <w:rFonts w:ascii="Times New Roman" w:cs="Times New Roman" w:eastAsia="Times New Roman" w:hAnsi="Times New Roman"/>
          <w:sz w:val="20"/>
          <w:szCs w:val="20"/>
          <w:b w:val="1"/>
          <w:bCs w:val="1"/>
          <w:i w:val="1"/>
          <w:iCs w:val="1"/>
          <w:color w:val="auto"/>
        </w:rPr>
        <w:t>Appendix A (“Specified Personnel”)</w:t>
      </w:r>
      <w:r>
        <w:rPr>
          <w:rFonts w:ascii="Times New Roman" w:cs="Times New Roman" w:eastAsia="Times New Roman" w:hAnsi="Times New Roman"/>
          <w:sz w:val="20"/>
          <w:szCs w:val="20"/>
          <w:color w:val="auto"/>
        </w:rPr>
        <w:t>, you and your Related Persons are subject to the more restrictive quarterly trading blackout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periods described below.</w:t>
      </w:r>
    </w:p>
    <w:p>
      <w:pPr>
        <w:spacing w:after="0" w:line="184"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Whose responsibility is it to comply with this policy?</w:t>
      </w:r>
    </w:p>
    <w:p>
      <w:pPr>
        <w:spacing w:after="0" w:line="233" w:lineRule="exact"/>
        <w:rPr>
          <w:sz w:val="20"/>
          <w:szCs w:val="20"/>
          <w:color w:val="auto"/>
        </w:rPr>
      </w:pPr>
    </w:p>
    <w:p>
      <w:pPr>
        <w:ind w:left="642" w:right="120" w:hanging="642"/>
        <w:spacing w:after="0" w:line="251" w:lineRule="auto"/>
        <w:tabs>
          <w:tab w:leader="none" w:pos="40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C3 AI and to not engage in transactions in C3 AI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C3 AI or any employee or director of C3 AI pursuant to this policy (or otherwise) does not in any way constitute legal advice or insulate an individual from liability under applicable securities laws. You could be subject to severe legal penalties and disciplinary action by C3 AI for any conduct prohibited by this policy or applicable securities laws.</w:t>
      </w:r>
    </w:p>
    <w:p>
      <w:pPr>
        <w:spacing w:after="0" w:line="18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transactions are subject to this policy?</w:t>
      </w:r>
    </w:p>
    <w:p>
      <w:pPr>
        <w:spacing w:after="0" w:line="220" w:lineRule="exact"/>
        <w:rPr>
          <w:sz w:val="20"/>
          <w:szCs w:val="20"/>
          <w:color w:val="auto"/>
        </w:rPr>
      </w:pPr>
    </w:p>
    <w:p>
      <w:pPr>
        <w:ind w:left="642" w:right="120" w:hanging="642"/>
        <w:spacing w:after="0" w:line="253" w:lineRule="auto"/>
        <w:tabs>
          <w:tab w:leader="none" w:pos="3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transactions in securities issued by C3 AI, as well as derivative securities that are not issued by C3 AI, such as exchange-traded put or call options or swaps relating to C3 AI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our common stock in the public market but also any other purchases, sales, gifts,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296" w:lineRule="exact"/>
        <w:rPr>
          <w:sz w:val="20"/>
          <w:szCs w:val="20"/>
          <w:color w:val="auto"/>
        </w:rPr>
      </w:pPr>
    </w:p>
    <w:p>
      <w:pPr>
        <w:ind w:left="2"/>
        <w:spacing w:after="0"/>
        <w:tabs>
          <w:tab w:leader="none" w:pos="4942" w:val="left"/>
        </w:tabs>
        <w:rPr>
          <w:sz w:val="20"/>
          <w:szCs w:val="20"/>
          <w:color w:val="auto"/>
        </w:rPr>
      </w:pPr>
      <w:r>
        <w:rPr>
          <w:rFonts w:ascii="Times New Roman" w:cs="Times New Roman" w:eastAsia="Times New Roman" w:hAnsi="Times New Roman"/>
          <w:sz w:val="20"/>
          <w:szCs w:val="20"/>
          <w:b w:val="1"/>
          <w:bCs w:val="1"/>
          <w:color w:val="auto"/>
        </w:rPr>
        <w:t>Insider Trading and Material Nonpublic Information Q:</w:t>
      </w:r>
      <w:r>
        <w:rPr>
          <w:sz w:val="20"/>
          <w:szCs w:val="20"/>
          <w:color w:val="auto"/>
        </w:rPr>
        <w:tab/>
      </w:r>
      <w:r>
        <w:rPr>
          <w:rFonts w:ascii="Times New Roman" w:cs="Times New Roman" w:eastAsia="Times New Roman" w:hAnsi="Times New Roman"/>
          <w:sz w:val="19"/>
          <w:szCs w:val="19"/>
          <w:b w:val="1"/>
          <w:bCs w:val="1"/>
          <w:color w:val="auto"/>
        </w:rPr>
        <w:t>What is insider trading?</w:t>
      </w:r>
    </w:p>
    <w:p>
      <w:pPr>
        <w:sectPr>
          <w:pgSz w:w="11900" w:h="16838" w:orient="portrait"/>
          <w:cols w:equalWidth="0" w:num="1">
            <w:col w:w="11102"/>
          </w:cols>
          <w:pgMar w:left="458" w:top="34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80" w:right="120" w:hanging="642"/>
        <w:spacing w:after="0" w:line="253" w:lineRule="auto"/>
        <w:tabs>
          <w:tab w:leader="none" w:pos="63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speaking, insider trading is the trading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trade was influenced by the material nonpublic information, how many shares you trade, or whether it has an effect on the stock price. Bottom line: If you are aware of material nonpublic information about C3 AI or another publicly traded company that C3 AI has business relationships with and you trade in C3 AI or such other company’s securities, you have broken the law and violated our insider trading policy.</w:t>
      </w:r>
    </w:p>
    <w:p>
      <w:pPr>
        <w:spacing w:after="0" w:line="175" w:lineRule="exact"/>
        <w:rPr>
          <w:sz w:val="20"/>
          <w:szCs w:val="20"/>
          <w:color w:val="auto"/>
        </w:rPr>
      </w:pPr>
    </w:p>
    <w:p>
      <w:pPr>
        <w:ind w:left="140"/>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is insider trading illegal?</w:t>
      </w:r>
    </w:p>
    <w:p>
      <w:pPr>
        <w:spacing w:after="0" w:line="233" w:lineRule="exact"/>
        <w:rPr>
          <w:sz w:val="20"/>
          <w:szCs w:val="20"/>
          <w:color w:val="auto"/>
        </w:rPr>
      </w:pPr>
    </w:p>
    <w:p>
      <w:pPr>
        <w:ind w:left="780" w:right="120" w:hanging="642"/>
        <w:spacing w:after="0" w:line="261" w:lineRule="auto"/>
        <w:tabs>
          <w:tab w:leader="none" w:pos="66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90"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material nonpublic information?</w:t>
      </w:r>
    </w:p>
    <w:p>
      <w:pPr>
        <w:spacing w:after="0" w:line="233" w:lineRule="exact"/>
        <w:rPr>
          <w:rFonts w:ascii="Times New Roman" w:cs="Times New Roman" w:eastAsia="Times New Roman" w:hAnsi="Times New Roman"/>
          <w:sz w:val="20"/>
          <w:szCs w:val="20"/>
          <w:b w:val="1"/>
          <w:bCs w:val="1"/>
          <w:color w:val="auto"/>
        </w:rPr>
      </w:pPr>
    </w:p>
    <w:p>
      <w:pPr>
        <w:ind w:left="780" w:right="120" w:hanging="642"/>
        <w:spacing w:after="0" w:line="253" w:lineRule="auto"/>
        <w:tabs>
          <w:tab w:leader="none" w:pos="6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88" w:lineRule="exact"/>
        <w:rPr>
          <w:sz w:val="20"/>
          <w:szCs w:val="20"/>
          <w:color w:val="auto"/>
        </w:rPr>
      </w:pPr>
    </w:p>
    <w:p>
      <w:pPr>
        <w:ind w:left="140"/>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examples of material nonpublic information?</w:t>
      </w:r>
    </w:p>
    <w:p>
      <w:pPr>
        <w:spacing w:after="0" w:line="220" w:lineRule="exact"/>
        <w:rPr>
          <w:sz w:val="20"/>
          <w:szCs w:val="20"/>
          <w:color w:val="auto"/>
        </w:rPr>
      </w:pPr>
    </w:p>
    <w:p>
      <w:pPr>
        <w:ind w:left="780" w:right="120" w:hanging="642"/>
        <w:spacing w:after="0" w:line="257" w:lineRule="auto"/>
        <w:tabs>
          <w:tab w:leader="none" w:pos="65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213" w:lineRule="exact"/>
        <w:rPr>
          <w:rFonts w:ascii="Times New Roman" w:cs="Times New Roman" w:eastAsia="Times New Roman" w:hAnsi="Times New Roman"/>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results or forecasts;</w:t>
      </w:r>
    </w:p>
    <w:p>
      <w:pPr>
        <w:spacing w:after="0" w:line="241" w:lineRule="exact"/>
        <w:rPr>
          <w:rFonts w:ascii="Arial" w:cs="Arial" w:eastAsia="Arial" w:hAnsi="Arial"/>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 dispositions or other strategic transactions;</w:t>
      </w:r>
    </w:p>
    <w:p>
      <w:pPr>
        <w:spacing w:after="0" w:line="255" w:lineRule="exact"/>
        <w:rPr>
          <w:rFonts w:ascii="Arial" w:cs="Arial" w:eastAsia="Arial" w:hAnsi="Arial"/>
          <w:sz w:val="20"/>
          <w:szCs w:val="20"/>
          <w:color w:val="auto"/>
        </w:rPr>
      </w:pPr>
    </w:p>
    <w:p>
      <w:pPr>
        <w:ind w:left="1100" w:right="120" w:hanging="314"/>
        <w:spacing w:after="0" w:line="282" w:lineRule="auto"/>
        <w:tabs>
          <w:tab w:leader="none" w:pos="1088"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events regarding our securities (e.g., repurchase plans, stock splits, public or private equity or debt offerings, or changes in our dividend policies or amounts);</w:t>
      </w:r>
    </w:p>
    <w:p>
      <w:pPr>
        <w:spacing w:after="0" w:line="174" w:lineRule="exact"/>
        <w:rPr>
          <w:rFonts w:ascii="Arial" w:cs="Arial" w:eastAsia="Arial" w:hAnsi="Arial"/>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major contracts or contract cancellations;</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gain or loss of a significant customer;</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pricing changes;</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new product releases, features or processes;</w:t>
      </w:r>
    </w:p>
    <w:p>
      <w:pPr>
        <w:sectPr>
          <w:pgSz w:w="11900" w:h="16838" w:orient="portrait"/>
          <w:cols w:equalWidth="0" w:num="1">
            <w:col w:w="11240"/>
          </w:cols>
          <w:pgMar w:left="320" w:top="342"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product problems or security incidents; and</w:t>
      </w:r>
    </w:p>
    <w:p>
      <w:pPr>
        <w:spacing w:after="0" w:line="255"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top management or control changes;</w:t>
      </w:r>
    </w:p>
    <w:p>
      <w:pPr>
        <w:spacing w:after="0" w:line="255"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restatements or significant write-offs;</w:t>
      </w:r>
    </w:p>
    <w:p>
      <w:pPr>
        <w:spacing w:after="0" w:line="228"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employee layoffs;</w:t>
      </w:r>
    </w:p>
    <w:p>
      <w:pPr>
        <w:spacing w:after="0" w:line="255" w:lineRule="exact"/>
        <w:rPr>
          <w:rFonts w:ascii="Arial" w:cs="Arial" w:eastAsia="Arial" w:hAnsi="Arial"/>
          <w:sz w:val="20"/>
          <w:szCs w:val="20"/>
          <w:color w:val="auto"/>
        </w:rPr>
      </w:pPr>
    </w:p>
    <w:p>
      <w:pPr>
        <w:ind w:left="962" w:right="880" w:hanging="314"/>
        <w:spacing w:after="0" w:line="268" w:lineRule="auto"/>
        <w:tabs>
          <w:tab w:leader="none" w:pos="951"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a disruption in C3 AI’s operations or breach or unauthorized access of its property or assets, including its facilities or information technology infrastructure;</w:t>
      </w:r>
    </w:p>
    <w:p>
      <w:pPr>
        <w:spacing w:after="0" w:line="200"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tender offers or proxy fights;</w:t>
      </w:r>
    </w:p>
    <w:p>
      <w:pPr>
        <w:spacing w:after="0" w:line="255"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restatements;</w:t>
      </w:r>
    </w:p>
    <w:p>
      <w:pPr>
        <w:spacing w:after="0" w:line="242" w:lineRule="exact"/>
        <w:rPr>
          <w:rFonts w:ascii="Times New Roman" w:cs="Times New Roman" w:eastAsia="Times New Roman" w:hAnsi="Times New Roman"/>
          <w:sz w:val="20"/>
          <w:szCs w:val="20"/>
          <w:color w:val="auto"/>
        </w:rPr>
      </w:pPr>
    </w:p>
    <w:p>
      <w:pPr>
        <w:ind w:left="962" w:right="540" w:hanging="314"/>
        <w:spacing w:after="0" w:line="282" w:lineRule="auto"/>
        <w:tabs>
          <w:tab w:leader="none" w:pos="951"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threatened major litigation, SEC or other investigations, or a major development in or the resolution of any such litigation or investigation;</w:t>
      </w:r>
    </w:p>
    <w:p>
      <w:pPr>
        <w:spacing w:after="0" w:line="187"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impending bankruptcy;</w:t>
      </w:r>
    </w:p>
    <w:p>
      <w:pPr>
        <w:spacing w:after="0" w:line="228"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communications with government agencies; and</w:t>
      </w:r>
    </w:p>
    <w:p>
      <w:pPr>
        <w:spacing w:after="0" w:line="228" w:lineRule="exact"/>
        <w:rPr>
          <w:rFonts w:ascii="Arial" w:cs="Arial" w:eastAsia="Arial" w:hAnsi="Arial"/>
          <w:sz w:val="20"/>
          <w:szCs w:val="20"/>
          <w:color w:val="auto"/>
        </w:rPr>
      </w:pPr>
    </w:p>
    <w:p>
      <w:pPr>
        <w:ind w:left="962" w:hanging="314"/>
        <w:spacing w:after="0"/>
        <w:tabs>
          <w:tab w:leader="none" w:pos="962" w:val="left"/>
        </w:tabs>
        <w:numPr>
          <w:ilvl w:val="1"/>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notice of issuance of patents.</w:t>
      </w:r>
    </w:p>
    <w:p>
      <w:pPr>
        <w:spacing w:after="0" w:line="332" w:lineRule="exact"/>
        <w:rPr>
          <w:rFonts w:ascii="Arial" w:cs="Arial" w:eastAsia="Arial" w:hAnsi="Arial"/>
          <w:sz w:val="20"/>
          <w:szCs w:val="20"/>
          <w:color w:val="auto"/>
        </w:rPr>
      </w:pPr>
    </w:p>
    <w:p>
      <w:pPr>
        <w:ind w:left="422" w:hanging="422"/>
        <w:spacing w:after="0"/>
        <w:tabs>
          <w:tab w:leader="none" w:pos="422"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is information considered public?</w:t>
      </w:r>
    </w:p>
    <w:p>
      <w:pPr>
        <w:spacing w:after="0" w:line="233" w:lineRule="exact"/>
        <w:rPr>
          <w:sz w:val="20"/>
          <w:szCs w:val="20"/>
          <w:color w:val="auto"/>
        </w:rPr>
      </w:pPr>
    </w:p>
    <w:p>
      <w:pPr>
        <w:ind w:left="642" w:right="120" w:hanging="642"/>
        <w:spacing w:after="0" w:line="249" w:lineRule="auto"/>
        <w:tabs>
          <w:tab w:leader="none" w:pos="39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circumstances, C3 AI may determine that a longer or shorter waiting period should apply to the release of specific material nonpublic information. Any disclosure of nonpublic information, material or otherwise, must be done in accordance with C3 AI’s Corporate Disclosure Policy.</w:t>
      </w:r>
    </w:p>
    <w:p>
      <w:pPr>
        <w:spacing w:after="0" w:line="193"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can be guilty of insider trading?</w:t>
      </w:r>
    </w:p>
    <w:p>
      <w:pPr>
        <w:spacing w:after="0" w:line="220" w:lineRule="exact"/>
        <w:rPr>
          <w:sz w:val="20"/>
          <w:szCs w:val="20"/>
          <w:color w:val="auto"/>
        </w:rPr>
      </w:pPr>
    </w:p>
    <w:p>
      <w:pPr>
        <w:ind w:left="642" w:right="120" w:hanging="642"/>
        <w:spacing w:after="0" w:line="253" w:lineRule="auto"/>
        <w:tabs>
          <w:tab w:leader="none" w:pos="50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trades a security while aware of material nonpublic information, or provides material nonpublic information that someone else uses to trade a security, may be guilty of insider trading. This applies to all individuals, including officers, directors, and others who don’t even work at C3 AI. Regardless of who you are, if you know something material about the value of a security that not everyone knows and you trade (or convince someone else to trade) in that security, you may be found guilty of insider trading.</w:t>
      </w:r>
    </w:p>
    <w:p>
      <w:pPr>
        <w:sectPr>
          <w:pgSz w:w="11900" w:h="16838" w:orient="portrait"/>
          <w:cols w:equalWidth="0" w:num="1">
            <w:col w:w="11102"/>
          </w:cols>
          <w:pgMar w:left="458" w:top="342"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0" w:right="120" w:hanging="642"/>
        <w:spacing w:after="0" w:line="287" w:lineRule="auto"/>
        <w:tabs>
          <w:tab w:leader="none" w:pos="487"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am aware of material nonpublic information when I trade, but the reason I trade is because of something else, like to pay medical bills?</w:t>
      </w:r>
    </w:p>
    <w:p>
      <w:pPr>
        <w:spacing w:after="0" w:line="169" w:lineRule="exact"/>
        <w:rPr>
          <w:sz w:val="20"/>
          <w:szCs w:val="20"/>
          <w:color w:val="auto"/>
        </w:rPr>
      </w:pPr>
    </w:p>
    <w:p>
      <w:pPr>
        <w:ind w:left="700" w:hanging="642"/>
        <w:spacing w:after="0" w:line="244" w:lineRule="auto"/>
        <w:tabs>
          <w:tab w:leader="none" w:pos="52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C3 AI at the time of the transaction.</w:t>
      </w:r>
    </w:p>
    <w:p>
      <w:pPr>
        <w:spacing w:after="0" w:line="289" w:lineRule="exact"/>
        <w:rPr>
          <w:sz w:val="20"/>
          <w:szCs w:val="20"/>
          <w:color w:val="auto"/>
        </w:rPr>
      </w:pPr>
    </w:p>
    <w:p>
      <w:pPr>
        <w:ind w:left="420" w:right="140" w:hanging="647"/>
        <w:spacing w:after="0" w:line="273" w:lineRule="auto"/>
        <w:tabs>
          <w:tab w:leader="none" w:pos="400" w:val="left"/>
        </w:tabs>
        <w:rPr>
          <w:sz w:val="20"/>
          <w:szCs w:val="20"/>
          <w:color w:val="auto"/>
        </w:rPr>
      </w:pPr>
      <w:r>
        <w:rPr>
          <w:rFonts w:ascii="Times New Roman" w:cs="Times New Roman" w:eastAsia="Times New Roman" w:hAnsi="Times New Roman"/>
          <w:sz w:val="20"/>
          <w:szCs w:val="20"/>
          <w:b w:val="1"/>
          <w:bCs w:val="1"/>
          <w:color w:val="auto"/>
        </w:rPr>
        <w:t>Q:</w:t>
        <w:tab/>
        <w:t>Do the U.S. securities laws take into account mitigating circumstance, like avoiding a loss or planning a transaction before I had material nonpublic information?</w:t>
      </w:r>
    </w:p>
    <w:p>
      <w:pPr>
        <w:spacing w:after="0" w:line="196" w:lineRule="exact"/>
        <w:rPr>
          <w:sz w:val="20"/>
          <w:szCs w:val="20"/>
          <w:color w:val="auto"/>
        </w:rPr>
      </w:pPr>
    </w:p>
    <w:p>
      <w:pPr>
        <w:ind w:left="700" w:hanging="642"/>
        <w:spacing w:after="0" w:line="237" w:lineRule="auto"/>
        <w:tabs>
          <w:tab w:leader="none" w:pos="455"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 C3 AI’s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69" w:lineRule="exact"/>
        <w:rPr>
          <w:rFonts w:ascii="Times New Roman" w:cs="Times New Roman" w:eastAsia="Times New Roman" w:hAnsi="Times New Roman"/>
          <w:sz w:val="20"/>
          <w:szCs w:val="20"/>
          <w:color w:val="auto"/>
        </w:rPr>
      </w:pPr>
    </w:p>
    <w:p>
      <w:pPr>
        <w:ind w:left="420" w:hanging="411"/>
        <w:spacing w:after="0"/>
        <w:tabs>
          <w:tab w:leader="none" w:pos="4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don’t trade, but I tell someone else material nonpublic information and he or she trades?</w:t>
      </w:r>
    </w:p>
    <w:p>
      <w:pPr>
        <w:spacing w:after="0" w:line="246" w:lineRule="exact"/>
        <w:rPr>
          <w:rFonts w:ascii="Times New Roman" w:cs="Times New Roman" w:eastAsia="Times New Roman" w:hAnsi="Times New Roman"/>
          <w:sz w:val="20"/>
          <w:szCs w:val="20"/>
          <w:b w:val="1"/>
          <w:bCs w:val="1"/>
          <w:color w:val="auto"/>
        </w:rPr>
      </w:pPr>
    </w:p>
    <w:p>
      <w:pPr>
        <w:ind w:left="700" w:hanging="642"/>
        <w:spacing w:after="0" w:line="246" w:lineRule="auto"/>
        <w:tabs>
          <w:tab w:leader="none" w:pos="50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called “tipping.” You are the “tipper” and the other person is called the “tippee.” If the tippee trades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C3 AI, including spouses, family members, friends, or business associates (unless the disclosure is made in accordance with C3 AI’s policies regarding the protection or authorized external disclosure of information regarding C3 AI). This includes anonymous discussions on the internet about C3 AI or companies with which C3 AI does business.</w:t>
      </w:r>
    </w:p>
    <w:p>
      <w:pPr>
        <w:spacing w:after="0" w:line="199"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21"/>
          <w:szCs w:val="21"/>
          <w:b w:val="1"/>
          <w:bCs w:val="1"/>
          <w:i w:val="1"/>
          <w:iCs w:val="1"/>
          <w:color w:val="auto"/>
        </w:rPr>
        <w:t>For these and other reasons, no employee, director, or designated consultant/independent contractor of C3 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(or any other person subject to this policy) may either (a) recommend to another person that they buy, hold, or sell C3 AI securities at any time or (b) disclose material nonpublic information to persons within C3 AI whose jobs do not require them to have that material nonpublic information, or outside of C3 AI to other persons (unless the disclosure is made in accordance with C3 AI’s policies regarding the protection or authorized external disclosure of information regarding C3 AI).</w:t>
      </w:r>
    </w:p>
    <w:p>
      <w:pPr>
        <w:spacing w:after="0" w:line="172"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don’t tell someone inside information itself; I just tell him or her whether to trade?</w:t>
      </w:r>
    </w:p>
    <w:p>
      <w:pPr>
        <w:spacing w:after="0" w:line="233" w:lineRule="exact"/>
        <w:rPr>
          <w:sz w:val="20"/>
          <w:szCs w:val="20"/>
          <w:color w:val="auto"/>
        </w:rPr>
      </w:pPr>
    </w:p>
    <w:p>
      <w:pPr>
        <w:ind w:left="700" w:right="120" w:hanging="642"/>
        <w:spacing w:after="0" w:line="269" w:lineRule="auto"/>
        <w:tabs>
          <w:tab w:leader="none" w:pos="46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trade our common stock or any derivative security related to our common stock, since that could be a form of tipping.</w:t>
      </w:r>
    </w:p>
    <w:p>
      <w:pPr>
        <w:spacing w:after="0" w:line="169"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this policy or the insider trading laws apply to me if I work outside the U.S.?</w:t>
      </w:r>
    </w:p>
    <w:p>
      <w:pPr>
        <w:sectPr>
          <w:pgSz w:w="11900" w:h="16838" w:orient="portrait"/>
          <w:cols w:equalWidth="0" w:num="1">
            <w:col w:w="11160"/>
          </w:cols>
          <w:pgMar w:left="400" w:top="342"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2" w:right="120" w:hanging="642"/>
        <w:spacing w:after="0" w:line="253" w:lineRule="auto"/>
        <w:tabs>
          <w:tab w:leader="none" w:pos="4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designated independent contractors and consultants (including advisors). The Securities and Exchange Commission (the U.S. government agency in charge of investor protection,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the Financial Industry Regulatory Authority (a private regulator that oversees U.S. securities exchanges) routinely investigate trading in a company’s securities conducted by individuals and firms based abroad. In addition, as a C3 AI director, employee, or designated independent contractors and consultants (including advisors), our policies apply to you no matter where you work.</w:t>
      </w:r>
    </w:p>
    <w:p>
      <w:pPr>
        <w:spacing w:after="0" w:line="188"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restricted from trading securities of any companies other than C3 AI, for example a customer or competitor of C3 AI?</w:t>
      </w:r>
    </w:p>
    <w:p>
      <w:pPr>
        <w:spacing w:after="0" w:line="233" w:lineRule="exact"/>
        <w:rPr>
          <w:sz w:val="20"/>
          <w:szCs w:val="20"/>
          <w:color w:val="auto"/>
        </w:rPr>
      </w:pPr>
    </w:p>
    <w:p>
      <w:pPr>
        <w:ind w:left="642" w:right="120" w:hanging="642"/>
        <w:spacing w:after="0" w:line="253" w:lineRule="auto"/>
        <w:tabs>
          <w:tab w:leader="none" w:pos="39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C3 AI, you sometimes obtain sensitive, material information about other companies and their business dealings with C3 AI.</w:t>
      </w:r>
    </w:p>
    <w:p>
      <w:pPr>
        <w:spacing w:after="0" w:line="26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So when can I trade my C3 AI securities?</w:t>
      </w:r>
    </w:p>
    <w:p>
      <w:pPr>
        <w:spacing w:after="0" w:line="260" w:lineRule="exact"/>
        <w:rPr>
          <w:sz w:val="20"/>
          <w:szCs w:val="20"/>
          <w:color w:val="auto"/>
        </w:rPr>
      </w:pPr>
    </w:p>
    <w:p>
      <w:pPr>
        <w:ind w:left="642" w:hanging="642"/>
        <w:spacing w:after="0" w:line="236" w:lineRule="auto"/>
        <w:tabs>
          <w:tab w:leader="none" w:pos="41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trade C3 AI securities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cs="Times New Roman" w:eastAsia="Times New Roman" w:hAnsi="Times New Roman"/>
          <w:sz w:val="20"/>
          <w:szCs w:val="20"/>
          <w:b w:val="1"/>
          <w:bCs w:val="1"/>
          <w:color w:val="auto"/>
        </w:rPr>
        <w:t>Even if you are not aware of any 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nonpublic information, you may not trade C3 AI securities during any trading “blackout” period that applies to you</w:t>
      </w:r>
      <w:r>
        <w:rPr>
          <w:rFonts w:ascii="Times New Roman" w:cs="Times New Roman" w:eastAsia="Times New Roman" w:hAnsi="Times New Roman"/>
          <w:sz w:val="20"/>
          <w:szCs w:val="20"/>
          <w:color w:val="auto"/>
        </w:rPr>
        <w:t>.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insider trading policy describes the quarterly trading blackout period, and additional event-driven trading blackout periods (which may apply to you even if the quarterly trading blackout periods do not) may be announced by email.</w:t>
      </w: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2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a quarterly trading blackout period?</w:t>
      </w:r>
    </w:p>
    <w:p>
      <w:pPr>
        <w:spacing w:after="0" w:line="247" w:lineRule="exact"/>
        <w:rPr>
          <w:sz w:val="20"/>
          <w:szCs w:val="20"/>
          <w:color w:val="auto"/>
        </w:rPr>
      </w:pPr>
    </w:p>
    <w:p>
      <w:pPr>
        <w:ind w:left="642" w:hanging="642"/>
        <w:spacing w:after="0" w:line="236" w:lineRule="auto"/>
        <w:tabs>
          <w:tab w:leader="none" w:pos="3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minimize even the appearance of insider trading, we have established “quarterly trading blackout periods” during which all officers, directors, designated independent contractors and consultants (including advisors), Specified Personnel, and their Related Persons —regardless of whether they are aware of material nonpublic information or not—may not conduct any trades in C3 AI securities. That means that, except as described in this policy, all officers, directors, designated independent contractors and consultants (including advisors), Specified Personnel, and their Related Persons will be able to trade in C3 AI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two full trading days have has elapsed since the public dissemination of C3 AI’s annual or quarterly financial results and end at the beginning of the next quarterly trading blackout period. Of course, even during an open trading window period, you may not (unless an exception applies) conduct any trades in C3 AI securities if you are otherwise in possession of material nonpublic information.</w:t>
      </w:r>
    </w:p>
    <w:p>
      <w:pPr>
        <w:sectPr>
          <w:pgSz w:w="11900" w:h="16838" w:orient="portrait"/>
          <w:cols w:equalWidth="0" w:num="1">
            <w:col w:w="11102"/>
          </w:cols>
          <w:pgMar w:left="458" w:top="342"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C3 AI’s quarterly trading blackout periods?</w:t>
      </w:r>
    </w:p>
    <w:p>
      <w:pPr>
        <w:spacing w:after="0" w:line="260" w:lineRule="exact"/>
        <w:rPr>
          <w:sz w:val="20"/>
          <w:szCs w:val="20"/>
          <w:color w:val="auto"/>
        </w:rPr>
      </w:pPr>
    </w:p>
    <w:p>
      <w:pPr>
        <w:ind w:left="642" w:hanging="642"/>
        <w:spacing w:after="0" w:line="237" w:lineRule="auto"/>
        <w:tabs>
          <w:tab w:leader="none" w:pos="4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employees, directors, designated independent contractors and consultants (including advisors), and their Related Persons, other than the individuals identified as Specified Personnel, each quarterly trading blackout period will generally begin at the end of the day that is the 15th day of the third month of each fiscal quarter (i.e., January 15, April 15, July 15 and October 15) and end after two full trading days have elapsed since the public dissemination of C3 AI’s financial results for that quarter (e.g., time of the earnings call).</w:t>
      </w:r>
    </w:p>
    <w:p>
      <w:pPr>
        <w:spacing w:after="0" w:line="210" w:lineRule="exact"/>
        <w:rPr>
          <w:sz w:val="20"/>
          <w:szCs w:val="20"/>
          <w:color w:val="auto"/>
        </w:rPr>
      </w:pPr>
    </w:p>
    <w:p>
      <w:pPr>
        <w:jc w:val="both"/>
        <w:ind w:left="602"/>
        <w:spacing w:after="0" w:line="241" w:lineRule="auto"/>
        <w:rPr>
          <w:sz w:val="20"/>
          <w:szCs w:val="20"/>
          <w:color w:val="auto"/>
        </w:rPr>
      </w:pPr>
      <w:r>
        <w:rPr>
          <w:rFonts w:ascii="Times New Roman" w:cs="Times New Roman" w:eastAsia="Times New Roman" w:hAnsi="Times New Roman"/>
          <w:sz w:val="20"/>
          <w:szCs w:val="20"/>
          <w:color w:val="auto"/>
        </w:rPr>
        <w:t xml:space="preserve">The individuals identified as Specified Personnel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of this policy and their Related Persons are subject to a more restrictive quarterly trading blackout period that will generally begin at the end of the last day of the second month of each fiscal quarter (i.e., December 31, March 31, June 30 and September 30) and end after two full trading days have elapsed since the public dissemination of C3 AI’s financial results for that quarter (e.g., time of the earnings call)</w:t>
      </w:r>
    </w:p>
    <w:p>
      <w:pPr>
        <w:spacing w:after="0" w:line="183"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C3 AI’s quarterly trading blackout periods change?</w:t>
      </w:r>
    </w:p>
    <w:p>
      <w:pPr>
        <w:spacing w:after="0" w:line="260" w:lineRule="exact"/>
        <w:rPr>
          <w:sz w:val="20"/>
          <w:szCs w:val="20"/>
          <w:color w:val="auto"/>
        </w:rPr>
      </w:pPr>
    </w:p>
    <w:p>
      <w:pPr>
        <w:ind w:left="642" w:hanging="642"/>
        <w:spacing w:after="0" w:line="249" w:lineRule="auto"/>
        <w:tabs>
          <w:tab w:leader="none" w:pos="44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trading blackout period may commence early or may be extended if, in the judgment of the General Counsel, there exists undisclosed information that would make trades by C3 AI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C3 AI have blackout periods other than quarterly trading blackout periods?</w:t>
      </w:r>
    </w:p>
    <w:p>
      <w:pPr>
        <w:spacing w:after="0" w:line="260" w:lineRule="exact"/>
        <w:rPr>
          <w:sz w:val="20"/>
          <w:szCs w:val="20"/>
          <w:color w:val="auto"/>
        </w:rPr>
      </w:pPr>
    </w:p>
    <w:p>
      <w:pPr>
        <w:ind w:left="642" w:hanging="642"/>
        <w:spacing w:after="0" w:line="237" w:lineRule="auto"/>
        <w:tabs>
          <w:tab w:leader="none" w:pos="39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C3 AI and is known by only a few directors, officers, and/or employees. So long as the event remains material and nonpublic, the persons designated by the General Counsel may not trade in C3 AI securities. In that situation, C3 AI will notify the designated individuals that neither they nor their Related Persons may trade in the C3 AI securities. The existence of an event-specific trading blackout should also be considered material nonpublic information and should not be communicated to any other person.</w:t>
      </w:r>
    </w:p>
    <w:p>
      <w:pPr>
        <w:spacing w:after="0" w:line="183" w:lineRule="exact"/>
        <w:rPr>
          <w:sz w:val="20"/>
          <w:szCs w:val="20"/>
          <w:color w:val="auto"/>
        </w:rPr>
      </w:pPr>
    </w:p>
    <w:p>
      <w:pPr>
        <w:ind w:left="642" w:right="120" w:hanging="642"/>
        <w:spacing w:after="0" w:line="273" w:lineRule="auto"/>
        <w:tabs>
          <w:tab w:leader="none" w:pos="522"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I am subject to a blackout period and I have an open order to trade C3 AI securities on the date a blackout period commences, can I leave it to my broker to cancel the open order and avoid executing the trade?</w:t>
      </w:r>
    </w:p>
    <w:p>
      <w:pPr>
        <w:spacing w:after="0" w:line="210" w:lineRule="exact"/>
        <w:rPr>
          <w:sz w:val="20"/>
          <w:szCs w:val="20"/>
          <w:color w:val="auto"/>
        </w:rPr>
      </w:pPr>
    </w:p>
    <w:p>
      <w:pPr>
        <w:ind w:left="642" w:hanging="642"/>
        <w:spacing w:after="0" w:line="249" w:lineRule="auto"/>
        <w:tabs>
          <w:tab w:leader="none" w:pos="43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49"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subject to trading blackout periods if I am on an approved leave of absence?</w:t>
      </w:r>
    </w:p>
    <w:p>
      <w:pPr>
        <w:spacing w:after="0" w:line="233" w:lineRule="exact"/>
        <w:rPr>
          <w:sz w:val="20"/>
          <w:szCs w:val="20"/>
          <w:color w:val="auto"/>
        </w:rPr>
      </w:pPr>
    </w:p>
    <w:p>
      <w:pPr>
        <w:ind w:left="642" w:hanging="642"/>
        <w:spacing w:after="0" w:line="239" w:lineRule="auto"/>
        <w:tabs>
          <w:tab w:leader="none" w:pos="3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employee, designated independent contractors and consultants (including advisors) on an approved leave of absence is not subject to the Insider Trading Policy beginning at the opening of the next regularly scheduled open window period after the leave of absence begins. Each employee, independent contractor, or consultant will again become subject to the Insider Trading Policy immediately upon returning from leave of absence.</w:t>
      </w:r>
    </w:p>
    <w:p>
      <w:pPr>
        <w:sectPr>
          <w:pgSz w:w="11900" w:h="16838" w:orient="portrait"/>
          <w:cols w:equalWidth="0" w:num="1">
            <w:col w:w="11102"/>
          </w:cols>
          <w:pgMar w:left="458" w:top="342"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2" w:right="640" w:hanging="570"/>
        <w:spacing w:after="0" w:line="245" w:lineRule="auto"/>
        <w:tabs>
          <w:tab w:leader="none" w:pos="442" w:val="left"/>
        </w:tabs>
        <w:numPr>
          <w:ilvl w:val="1"/>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 I subject to trading blackout periods if I am no longer an employee, director, designated independent contractor or consultant/advisor of C3 AI?</w:t>
      </w:r>
    </w:p>
    <w:p>
      <w:pPr>
        <w:spacing w:after="0" w:line="195" w:lineRule="exact"/>
        <w:rPr>
          <w:rFonts w:ascii="Times New Roman" w:cs="Times New Roman" w:eastAsia="Times New Roman" w:hAnsi="Times New Roman"/>
          <w:sz w:val="20"/>
          <w:szCs w:val="20"/>
          <w:b w:val="1"/>
          <w:bCs w:val="1"/>
          <w:color w:val="auto"/>
        </w:rPr>
      </w:pPr>
    </w:p>
    <w:p>
      <w:pPr>
        <w:ind w:left="642" w:hanging="642"/>
        <w:spacing w:after="0" w:line="237" w:lineRule="auto"/>
        <w:tabs>
          <w:tab w:leader="none" w:pos="41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depends. If your employment with C3 AI ends during a trading blackout period, you will be subject to the remainder of that trading blackout period. If your employment with C3 AI ends on a day that the trading window is open, you will not be subject to the next trading blackout period. However, even if you are not subject to our trading blackout period after you leave C3 AI, you should not trade in C3 AI securities if you are aware of material nonpublic information. That restriction stays with you as long as the information you possess is material and not publicly disseminated within the meaning of our insider trading policy.</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Exceptions to this Policy</w:t>
      </w:r>
    </w:p>
    <w:p>
      <w:pPr>
        <w:spacing w:after="0" w:line="216"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there any exceptions to this policy?</w:t>
      </w:r>
    </w:p>
    <w:p>
      <w:pPr>
        <w:spacing w:after="0" w:line="193"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There are no exceptions to this policy, except as specifically noted below.</w:t>
      </w:r>
    </w:p>
    <w:p>
      <w:pPr>
        <w:spacing w:after="0" w:line="225" w:lineRule="exact"/>
        <w:rPr>
          <w:sz w:val="20"/>
          <w:szCs w:val="20"/>
          <w:color w:val="auto"/>
        </w:rPr>
      </w:pPr>
    </w:p>
    <w:p>
      <w:pPr>
        <w:ind w:left="642" w:right="140" w:hanging="642"/>
        <w:spacing w:after="0" w:line="273" w:lineRule="auto"/>
        <w:tabs>
          <w:tab w:leader="none" w:pos="474"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exercise options granted to me by C3 AI, or participate in a C3 AI employee stock purchase plan, during a trading blackout period or when I possess material nonpublic information?</w:t>
      </w:r>
    </w:p>
    <w:p>
      <w:pPr>
        <w:spacing w:after="0" w:line="169" w:lineRule="exact"/>
        <w:rPr>
          <w:sz w:val="20"/>
          <w:szCs w:val="20"/>
          <w:color w:val="auto"/>
        </w:rPr>
      </w:pPr>
    </w:p>
    <w:p>
      <w:pPr>
        <w:ind w:left="642" w:right="120" w:hanging="642"/>
        <w:spacing w:after="0" w:line="253" w:lineRule="auto"/>
        <w:tabs>
          <w:tab w:leader="none" w:pos="39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Yes. You may purchase shares by exercising your options or participating in a C3 AI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188"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2" w:right="120" w:hanging="642"/>
        <w:spacing w:after="0" w:line="254" w:lineRule="auto"/>
        <w:tabs>
          <w:tab w:leader="none" w:pos="49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the surrender of shares directly to C3 AI to satisfy tax withholding obligations as a result of the issuance of shares upon exercise of options or settlement of restricted stock units issued by C3 AI.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183"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mutual fund shares holding C3 AI common stock subject to the trading blackout periods?</w:t>
      </w:r>
    </w:p>
    <w:p>
      <w:pPr>
        <w:spacing w:after="0" w:line="220"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No. You may trade in mutual funds holding our common stock at any time.</w:t>
      </w:r>
    </w:p>
    <w:p>
      <w:pPr>
        <w:spacing w:after="0" w:line="225" w:lineRule="exact"/>
        <w:rPr>
          <w:sz w:val="20"/>
          <w:szCs w:val="20"/>
          <w:color w:val="auto"/>
        </w:rPr>
      </w:pPr>
    </w:p>
    <w:p>
      <w:pPr>
        <w:ind w:left="422" w:hanging="422"/>
        <w:spacing w:after="0"/>
        <w:tabs>
          <w:tab w:leader="none" w:pos="422"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are the rules that apply to 10b5-1 Automatic Trading Programs?</w:t>
      </w:r>
    </w:p>
    <w:p>
      <w:pPr>
        <w:spacing w:after="0" w:line="256" w:lineRule="exact"/>
        <w:rPr>
          <w:rFonts w:ascii="Times New Roman" w:cs="Times New Roman" w:eastAsia="Times New Roman" w:hAnsi="Times New Roman"/>
          <w:sz w:val="20"/>
          <w:szCs w:val="20"/>
          <w:b w:val="1"/>
          <w:bCs w:val="1"/>
          <w:color w:val="auto"/>
        </w:rPr>
      </w:pPr>
    </w:p>
    <w:p>
      <w:pPr>
        <w:ind w:left="682" w:hanging="650"/>
        <w:spacing w:after="0" w:line="249" w:lineRule="auto"/>
        <w:tabs>
          <w:tab w:leader="none" w:pos="49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C3 AI’s directors and executive officers, and, as permitted by the C3 AI, other C3 AI employees may establish a trading plan under which a broker is instructed to trade AI securities based on pre- determined criteria (a “</w:t>
      </w:r>
      <w:r>
        <w:rPr>
          <w:rFonts w:ascii="Times New Roman" w:cs="Times New Roman" w:eastAsia="Times New Roman" w:hAnsi="Times New Roman"/>
          <w:sz w:val="20"/>
          <w:szCs w:val="20"/>
          <w:b w:val="1"/>
          <w:bCs w:val="1"/>
          <w:i w:val="1"/>
          <w:iCs w:val="1"/>
          <w:color w:val="auto"/>
        </w:rPr>
        <w:t>10b5-1 Trading Plan</w:t>
      </w:r>
      <w:r>
        <w:rPr>
          <w:rFonts w:ascii="Times New Roman" w:cs="Times New Roman" w:eastAsia="Times New Roman" w:hAnsi="Times New Roman"/>
          <w:sz w:val="20"/>
          <w:szCs w:val="20"/>
          <w:color w:val="auto"/>
        </w:rPr>
        <w:t>”). So long as a 10b5-1 Trading Plan is properly</w:t>
      </w:r>
    </w:p>
    <w:p>
      <w:pPr>
        <w:sectPr>
          <w:pgSz w:w="11900" w:h="16838" w:orient="portrait"/>
          <w:cols w:equalWidth="0" w:num="1">
            <w:col w:w="11102"/>
          </w:cols>
          <w:pgMar w:left="458" w:top="34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82"/>
        <w:spacing w:after="0" w:line="237" w:lineRule="auto"/>
        <w:rPr>
          <w:sz w:val="20"/>
          <w:szCs w:val="20"/>
          <w:color w:val="auto"/>
        </w:rPr>
      </w:pPr>
      <w:r>
        <w:rPr>
          <w:rFonts w:ascii="Times New Roman" w:cs="Times New Roman" w:eastAsia="Times New Roman" w:hAnsi="Times New Roman"/>
          <w:sz w:val="20"/>
          <w:szCs w:val="20"/>
          <w:color w:val="auto"/>
        </w:rPr>
        <w:t>established, transactions in C3 AI securities pursuant to that 10b5-1 Trading Plan are not subject to this policy. To be properly established, an eligible person’s 10b5-1 Trading Plan must be established in compliance with the requirements of Rule 10b5-1 of the Exchange Act and C3.ai, Inc. Rule 10b5-1 Trading Plan Guidelines at a time when they were unaware of any material nonpublic information relating C3 AI and when you were not otherwise subject to a trading blackout period. Moreover, all 10b5-1 Trading Plans to be adopted by directors, officers, Specified Personnel and their Related Persons must be reviewed and approved by the General Counsel before being established to confirm that the 10b5-1 Trading Plan complies with all pertinent company policies and applicable securities laws.</w:t>
      </w:r>
    </w:p>
    <w:p>
      <w:pPr>
        <w:spacing w:after="0" w:line="175"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purchases of C3 AI securities in a 401(k) plan allowed by this policy?</w:t>
      </w:r>
    </w:p>
    <w:p>
      <w:pPr>
        <w:spacing w:after="0" w:line="256" w:lineRule="exact"/>
        <w:rPr>
          <w:sz w:val="20"/>
          <w:szCs w:val="20"/>
          <w:color w:val="auto"/>
        </w:rPr>
      </w:pPr>
    </w:p>
    <w:p>
      <w:pPr>
        <w:jc w:val="both"/>
        <w:ind w:left="482" w:right="120" w:hanging="647"/>
        <w:spacing w:after="0" w:line="248" w:lineRule="auto"/>
        <w:tabs>
          <w:tab w:leader="none" w:pos="462" w:val="left"/>
        </w:tabs>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policy does not apply to purchases of C3 AI securities in C3 AI’s 401(k) plan resulting from your periodic contribution of money to the plan pursuant to your payroll deduction election. This policy does apply, however, to certain elections you may make under the 401(k) plan, including:</w:t>
      </w:r>
    </w:p>
    <w:p>
      <w:pPr>
        <w:ind w:left="882" w:hanging="283"/>
        <w:spacing w:after="0" w:line="212" w:lineRule="auto"/>
        <w:tabs>
          <w:tab w:leader="none" w:pos="88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election to increase or decrease the percentage of your periodic contributions that will be allocated to the C3 AI stock fund;</w:t>
      </w:r>
    </w:p>
    <w:p>
      <w:pPr>
        <w:jc w:val="both"/>
        <w:ind w:left="602" w:hanging="3"/>
        <w:spacing w:after="0" w:line="216" w:lineRule="auto"/>
        <w:tabs>
          <w:tab w:leader="none" w:pos="8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election to make an intra-plan transfer of an existing account balance into or out of the C3 AI stock fund; (c) an election to borrow money against your 401(k) plan account if the loan will result in a liquidation of some or all of your C3 AI stock fund balance; and (d) an election to pre-pay a plan loan if the pre-payment will result in allocation of loan proceeds to the C3 AI stock fund.</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Margin Accounts, Pledging Shares, Hedging and Other Speculation in C3 AI Stock Q:</w:t>
      </w:r>
    </w:p>
    <w:p>
      <w:pPr>
        <w:spacing w:after="0" w:line="18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purchase C3 AI securities on margin or hold them in a margin account?</w:t>
      </w:r>
    </w:p>
    <w:p>
      <w:pPr>
        <w:spacing w:after="0" w:line="220" w:lineRule="exact"/>
        <w:rPr>
          <w:sz w:val="20"/>
          <w:szCs w:val="20"/>
          <w:color w:val="auto"/>
        </w:rPr>
      </w:pPr>
    </w:p>
    <w:p>
      <w:pPr>
        <w:ind w:left="642" w:right="120" w:hanging="642"/>
        <w:spacing w:after="0" w:line="261" w:lineRule="auto"/>
        <w:tabs>
          <w:tab w:leader="none" w:pos="39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common stock on margin or hold it in a margin account at any time.</w:t>
      </w:r>
    </w:p>
    <w:p>
      <w:pPr>
        <w:spacing w:after="0" w:line="164"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pledge my C3 AI shares as collateral for a loan?</w:t>
      </w:r>
    </w:p>
    <w:p>
      <w:pPr>
        <w:spacing w:after="0" w:line="193" w:lineRule="exact"/>
        <w:rPr>
          <w:sz w:val="20"/>
          <w:szCs w:val="20"/>
          <w:color w:val="auto"/>
        </w:rPr>
      </w:pPr>
    </w:p>
    <w:p>
      <w:pPr>
        <w:ind w:left="642" w:right="120" w:hanging="642"/>
        <w:spacing w:after="0" w:line="268" w:lineRule="auto"/>
        <w:tabs>
          <w:tab w:leader="none" w:pos="42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71"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problematic about margin accounts and pledged securities?</w:t>
      </w:r>
    </w:p>
    <w:p>
      <w:pPr>
        <w:spacing w:after="0" w:line="220" w:lineRule="exact"/>
        <w:rPr>
          <w:sz w:val="20"/>
          <w:szCs w:val="20"/>
          <w:color w:val="auto"/>
        </w:rPr>
      </w:pPr>
    </w:p>
    <w:p>
      <w:pPr>
        <w:ind w:left="642" w:right="120" w:hanging="642"/>
        <w:spacing w:after="0" w:line="253" w:lineRule="auto"/>
        <w:tabs>
          <w:tab w:leader="none" w:pos="43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C3 AI securities, C3 AI employees, directors, and designated consultants/independent contractors are prohibited from holding C3 AI securities in a margin account or otherwise pledging C3 AI securities as collateral for a loan.</w:t>
      </w:r>
    </w:p>
    <w:p>
      <w:pPr>
        <w:spacing w:after="0" w:line="175"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hedge my ownership position in C3 AI?</w:t>
      </w:r>
    </w:p>
    <w:p>
      <w:pPr>
        <w:spacing w:after="0" w:line="233" w:lineRule="exact"/>
        <w:rPr>
          <w:sz w:val="20"/>
          <w:szCs w:val="20"/>
          <w:color w:val="auto"/>
        </w:rPr>
      </w:pPr>
    </w:p>
    <w:p>
      <w:pPr>
        <w:ind w:left="642" w:right="120" w:hanging="642"/>
        <w:spacing w:after="0" w:line="261" w:lineRule="auto"/>
        <w:tabs>
          <w:tab w:leader="none" w:pos="5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our insider trading policy. Other examples include borrowing or other arrangements involving a non-</w:t>
      </w:r>
    </w:p>
    <w:p>
      <w:pPr>
        <w:sectPr>
          <w:pgSz w:w="11900" w:h="16838" w:orient="portrait"/>
          <w:cols w:equalWidth="0" w:num="1">
            <w:col w:w="11102"/>
          </w:cols>
          <w:pgMar w:left="458" w:top="34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700" w:right="120"/>
        <w:spacing w:after="0" w:line="257" w:lineRule="auto"/>
        <w:rPr>
          <w:sz w:val="20"/>
          <w:szCs w:val="20"/>
          <w:color w:val="auto"/>
        </w:rPr>
      </w:pPr>
      <w:r>
        <w:rPr>
          <w:rFonts w:ascii="Times New Roman" w:cs="Times New Roman" w:eastAsia="Times New Roman" w:hAnsi="Times New Roman"/>
          <w:sz w:val="20"/>
          <w:szCs w:val="20"/>
          <w:color w:val="auto"/>
        </w:rPr>
        <w:t>recourse pledge of Company securities and selling a security future that established a position that increases in value as the value of the underlying equity security decreases. Since such hedging transactions allow you to continue to own C3 AI securities obtained through employee benefit plans or otherwise, but without the full risks and rewards of ownership, you may no longer have the same objectives as C3 AI’s other stockholders. Therefore, our insider trading policy prohibits you from engaging in any such transactions.</w:t>
      </w:r>
    </w:p>
    <w:p>
      <w:pPr>
        <w:spacing w:after="0" w:line="169"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are hedging transactions prohibited?</w:t>
      </w:r>
    </w:p>
    <w:p>
      <w:pPr>
        <w:spacing w:after="0" w:line="233" w:lineRule="exact"/>
        <w:rPr>
          <w:sz w:val="20"/>
          <w:szCs w:val="20"/>
          <w:color w:val="auto"/>
        </w:rPr>
      </w:pPr>
    </w:p>
    <w:p>
      <w:pPr>
        <w:ind w:left="700" w:right="120" w:hanging="642"/>
        <w:spacing w:after="0" w:line="258" w:lineRule="auto"/>
        <w:tabs>
          <w:tab w:leader="none" w:pos="51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C3 AI securities obtained through employee benefit plans or otherwise, but without the full risks and rewards of ownership. When that occurs, the person may no longer have the same objectives as C3 AI's other stockholders. Therefore, all persons subject to this policy are prohibited from engaging in any such transactions.</w:t>
      </w:r>
    </w:p>
    <w:p>
      <w:pPr>
        <w:spacing w:after="0" w:line="16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allowed to trade derivative securities of C3 AI’s common stock?</w:t>
      </w:r>
    </w:p>
    <w:p>
      <w:pPr>
        <w:spacing w:after="0" w:line="233" w:lineRule="exact"/>
        <w:rPr>
          <w:sz w:val="20"/>
          <w:szCs w:val="20"/>
          <w:color w:val="auto"/>
        </w:rPr>
      </w:pPr>
    </w:p>
    <w:p>
      <w:pPr>
        <w:ind w:left="700" w:right="120" w:hanging="642"/>
        <w:spacing w:after="0" w:line="261" w:lineRule="auto"/>
        <w:tabs>
          <w:tab w:leader="none" w:pos="54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our common stock, which include publicly traded call and put options. In addition, you may not engage in short selling of our common stock or in any other inherently speculative transactions with respect to the Company's common stock at any time.</w:t>
      </w:r>
    </w:p>
    <w:p>
      <w:pPr>
        <w:spacing w:after="0" w:line="164"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derivative securities?</w:t>
      </w:r>
    </w:p>
    <w:p>
      <w:pPr>
        <w:spacing w:after="0" w:line="233" w:lineRule="exact"/>
        <w:rPr>
          <w:sz w:val="20"/>
          <w:szCs w:val="20"/>
          <w:color w:val="auto"/>
        </w:rPr>
      </w:pPr>
    </w:p>
    <w:p>
      <w:pPr>
        <w:jc w:val="both"/>
        <w:ind w:left="700" w:right="120" w:hanging="642"/>
        <w:spacing w:after="0" w:line="258" w:lineRule="auto"/>
        <w:tabs>
          <w:tab w:leader="none" w:pos="65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82" w:lineRule="exact"/>
        <w:rPr>
          <w:sz w:val="20"/>
          <w:szCs w:val="20"/>
          <w:color w:val="auto"/>
        </w:rPr>
      </w:pPr>
    </w:p>
    <w:p>
      <w:pPr>
        <w:ind w:left="480" w:hanging="422"/>
        <w:spacing w:after="0"/>
        <w:tabs>
          <w:tab w:leader="none" w:pos="480" w:val="left"/>
        </w:tabs>
        <w:numPr>
          <w:ilvl w:val="1"/>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short selling?</w:t>
      </w:r>
    </w:p>
    <w:p>
      <w:pPr>
        <w:spacing w:after="0" w:line="219" w:lineRule="exact"/>
        <w:rPr>
          <w:rFonts w:ascii="Times New Roman" w:cs="Times New Roman" w:eastAsia="Times New Roman" w:hAnsi="Times New Roman"/>
          <w:sz w:val="20"/>
          <w:szCs w:val="20"/>
          <w:b w:val="1"/>
          <w:bCs w:val="1"/>
          <w:color w:val="auto"/>
        </w:rPr>
      </w:pPr>
    </w:p>
    <w:p>
      <w:pPr>
        <w:ind w:left="740" w:right="120" w:hanging="731"/>
        <w:spacing w:after="0" w:line="261" w:lineRule="auto"/>
        <w:tabs>
          <w:tab w:leader="none" w:pos="51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7" w:lineRule="exact"/>
        <w:rPr>
          <w:rFonts w:ascii="Times New Roman" w:cs="Times New Roman" w:eastAsia="Times New Roman" w:hAnsi="Times New Roman"/>
          <w:sz w:val="20"/>
          <w:szCs w:val="20"/>
          <w:color w:val="auto"/>
        </w:rPr>
      </w:pPr>
    </w:p>
    <w:p>
      <w:pPr>
        <w:ind w:left="700" w:right="120" w:hanging="642"/>
        <w:spacing w:after="0" w:line="273" w:lineRule="auto"/>
        <w:tabs>
          <w:tab w:leader="none" w:pos="644" w:val="left"/>
        </w:tabs>
        <w:numPr>
          <w:ilvl w:val="1"/>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does C3 AI prohibit trading in derivative securities, short selling and engaging in other inherently speculative transactions?</w:t>
      </w:r>
    </w:p>
    <w:p>
      <w:pPr>
        <w:spacing w:after="0" w:line="169" w:lineRule="exact"/>
        <w:rPr>
          <w:sz w:val="20"/>
          <w:szCs w:val="20"/>
          <w:color w:val="auto"/>
        </w:rPr>
      </w:pPr>
    </w:p>
    <w:p>
      <w:pPr>
        <w:ind w:left="700" w:right="120" w:hanging="642"/>
        <w:spacing w:after="0" w:line="258" w:lineRule="auto"/>
        <w:tabs>
          <w:tab w:leader="none" w:pos="4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68"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purchased publicly traded options or other derivative securities before I became subject to this policy?</w:t>
      </w:r>
    </w:p>
    <w:p>
      <w:pPr>
        <w:sectPr>
          <w:pgSz w:w="11900" w:h="16838" w:orient="portrait"/>
          <w:cols w:equalWidth="0" w:num="1">
            <w:col w:w="11160"/>
          </w:cols>
          <w:pgMar w:left="400" w:top="342"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2" w:right="120" w:hanging="642"/>
        <w:spacing w:after="0" w:line="283" w:lineRule="auto"/>
        <w:tabs>
          <w:tab w:leader="none" w:pos="41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42"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concerns about standing and limit order</w:t>
      </w:r>
      <w:r>
        <w:rPr>
          <w:rFonts w:ascii="Times New Roman" w:cs="Times New Roman" w:eastAsia="Times New Roman" w:hAnsi="Times New Roman"/>
          <w:sz w:val="19"/>
          <w:szCs w:val="19"/>
          <w:color w:val="auto"/>
        </w:rPr>
        <w:t>s?</w:t>
      </w:r>
    </w:p>
    <w:p>
      <w:pPr>
        <w:spacing w:after="0" w:line="233" w:lineRule="exact"/>
        <w:rPr>
          <w:sz w:val="20"/>
          <w:szCs w:val="20"/>
          <w:color w:val="auto"/>
        </w:rPr>
      </w:pPr>
    </w:p>
    <w:p>
      <w:pPr>
        <w:ind w:left="642" w:right="120" w:hanging="642"/>
        <w:spacing w:after="0" w:line="252" w:lineRule="auto"/>
        <w:tabs>
          <w:tab w:leader="none" w:pos="52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and limit orders (except standing and limit orders under approved 10b5-1 Trading Plans, as discussed above) create heightened risks for insider trading violations similar to the use of margin accounts. There is no control over the timing of trades that result from standing instructions to a broker, and as a result the broker could execute a transaction when a C3 AI employee, director, or designated consultant/independent contractor (or advisor) is in possession of material nonpublic information. C3 AI therefore discourages placing standing or limit orders on C3 AI securities. If a person subject to this policy determines that they must use a standing order or limit order (other than under an approved 10b5-1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Pre-Clearance of Transactions in C3 AI Securities</w:t>
      </w:r>
    </w:p>
    <w:p>
      <w:pPr>
        <w:spacing w:after="0" w:line="21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33" w:lineRule="exact"/>
        <w:rPr>
          <w:sz w:val="20"/>
          <w:szCs w:val="20"/>
          <w:color w:val="auto"/>
        </w:rPr>
      </w:pPr>
    </w:p>
    <w:p>
      <w:pPr>
        <w:ind w:left="642" w:right="120" w:hanging="642"/>
        <w:spacing w:after="0" w:line="253" w:lineRule="auto"/>
        <w:tabs>
          <w:tab w:leader="none" w:pos="41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C3 AI securities without first obtaining pre-clearance of the transaction from the General Counsel or his or her designee at least two business days in advance of the proposed transaction. He or she will then determine whether the transaction may proceed. Pre-cleared transactions not completed within two business days will require new pre-clearance. C3 AI may choose to shorten this period.</w:t>
      </w:r>
    </w:p>
    <w:p>
      <w:pPr>
        <w:sectPr>
          <w:pgSz w:w="11900" w:h="16838" w:orient="portrait"/>
          <w:cols w:equalWidth="0" w:num="1">
            <w:col w:w="11102"/>
          </w:cols>
          <w:pgMar w:left="458" w:top="34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individuals subject to pre-clearance required to provide advanced notice of stock option exercises?</w:t>
      </w:r>
    </w:p>
    <w:p>
      <w:pPr>
        <w:spacing w:after="0" w:line="220" w:lineRule="exact"/>
        <w:rPr>
          <w:sz w:val="20"/>
          <w:szCs w:val="20"/>
          <w:color w:val="auto"/>
        </w:rPr>
      </w:pPr>
    </w:p>
    <w:p>
      <w:pPr>
        <w:ind w:left="642" w:right="120" w:hanging="642"/>
        <w:spacing w:after="0" w:line="258" w:lineRule="auto"/>
        <w:tabs>
          <w:tab w:leader="none" w:pos="4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Persons subject to pre-clearance must also give advance notice of their plans to exercise an outstanding stock option to the General Counsel or his or her designee. Once any transaction takes place, the officer, director, or applicable member of management must immediately notify C3 AI's General Counsel or his or her designee so that C3 AI may assist in any Section 16 reporting obligations.</w:t>
      </w:r>
    </w:p>
    <w:p>
      <w:pPr>
        <w:spacing w:after="0" w:line="168"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33" w:lineRule="exact"/>
        <w:rPr>
          <w:sz w:val="20"/>
          <w:szCs w:val="20"/>
          <w:color w:val="auto"/>
        </w:rPr>
      </w:pPr>
    </w:p>
    <w:p>
      <w:pPr>
        <w:ind w:left="642" w:right="120" w:hanging="642"/>
        <w:spacing w:after="0" w:line="258" w:lineRule="auto"/>
        <w:tabs>
          <w:tab w:leader="none" w:pos="4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2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happens if I violate our insider trading policy?</w:t>
      </w:r>
    </w:p>
    <w:p>
      <w:pPr>
        <w:spacing w:after="0" w:line="220" w:lineRule="exact"/>
        <w:rPr>
          <w:sz w:val="20"/>
          <w:szCs w:val="20"/>
          <w:color w:val="auto"/>
        </w:rPr>
      </w:pPr>
    </w:p>
    <w:p>
      <w:pPr>
        <w:ind w:left="642" w:right="120" w:hanging="642"/>
        <w:spacing w:after="0" w:line="283" w:lineRule="auto"/>
        <w:tabs>
          <w:tab w:leader="none" w:pos="46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our policies may result in disciplinary action, which may include termination of your employment or other relationship with C3 AI.</w:t>
      </w:r>
    </w:p>
    <w:p>
      <w:pPr>
        <w:spacing w:after="0" w:line="15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20" w:lineRule="exact"/>
        <w:rPr>
          <w:sz w:val="20"/>
          <w:szCs w:val="20"/>
          <w:color w:val="auto"/>
        </w:rPr>
      </w:pPr>
    </w:p>
    <w:p>
      <w:pPr>
        <w:ind w:left="642" w:right="120" w:hanging="642"/>
        <w:spacing w:after="0" w:line="253" w:lineRule="auto"/>
        <w:tabs>
          <w:tab w:leader="none" w:pos="42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C3 AI —which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8"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“loss avoided”?</w:t>
      </w:r>
    </w:p>
    <w:p>
      <w:pPr>
        <w:spacing w:after="0" w:line="220" w:lineRule="exact"/>
        <w:rPr>
          <w:sz w:val="20"/>
          <w:szCs w:val="20"/>
          <w:color w:val="auto"/>
        </w:rPr>
      </w:pPr>
    </w:p>
    <w:p>
      <w:pPr>
        <w:ind w:left="642" w:right="120" w:hanging="642"/>
        <w:spacing w:after="0" w:line="283" w:lineRule="auto"/>
        <w:tabs>
          <w:tab w:leader="none" w:pos="52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should I contact if I have questions about our insider trading policy or specific trades?</w:t>
      </w:r>
    </w:p>
    <w:p>
      <w:pPr>
        <w:spacing w:after="0" w:line="220"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You should contact our General Counsel.</w:t>
      </w:r>
    </w:p>
    <w:p>
      <w:pPr>
        <w:spacing w:after="0" w:line="225"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 changes to this policy require approval by C3 AI’s Board of Directors?</w:t>
      </w:r>
    </w:p>
    <w:p>
      <w:pPr>
        <w:spacing w:after="0" w:line="220"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Yes. Changes to this policy require approval by C3 AI’s Board of Directors or a duly appointed committee of the Board of Directors.</w:t>
      </w:r>
    </w:p>
    <w:p>
      <w:pPr>
        <w:sectPr>
          <w:pgSz w:w="11900" w:h="16838" w:orient="portrait"/>
          <w:cols w:equalWidth="0" w:num="1">
            <w:col w:w="11102"/>
          </w:cols>
          <w:pgMar w:left="458" w:top="342"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SPECIFIED PERSONNEL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All C3 AI Section 16 officers and members of the board of directors, and members of the Advisory </w:t>
      </w:r>
      <w:r>
        <w:rPr>
          <w:rFonts w:ascii="Times New Roman" w:cs="Times New Roman" w:eastAsia="Times New Roman" w:hAnsi="Times New Roman"/>
          <w:sz w:val="21"/>
          <w:szCs w:val="21"/>
          <w:color w:val="auto"/>
        </w:rPr>
        <w:t>Board.</w:t>
      </w:r>
    </w:p>
    <w:p>
      <w:pPr>
        <w:spacing w:after="0" w:line="26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All C3 AI employees with the title of General Manage/Vice President or above and working in the Strategy, Sales, Pre-Sales, Sales Operations, Customer Solutions, Customer Services, Alliances, Products, Engineering, or Customer Engineering groups.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C3 AI employees with the title Director or above working in the Information Technology or Information Security groups.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C3 AI employees with the title Director or above working in the Finance, Investor Relations, or Human Resources groups.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All C3 AI employees working in the Legal </w:t>
      </w:r>
      <w:r>
        <w:rPr>
          <w:rFonts w:ascii="Times New Roman" w:cs="Times New Roman" w:eastAsia="Times New Roman" w:hAnsi="Times New Roman"/>
          <w:sz w:val="21"/>
          <w:szCs w:val="21"/>
          <w:color w:val="auto"/>
        </w:rPr>
        <w:t>group.</w:t>
      </w:r>
    </w:p>
    <w:p>
      <w:pPr>
        <w:spacing w:after="0" w:line="23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Other personnel specified by the General Counsel, such as those deeply involved in quarterly budgeting / planning meetings, including but not limited to the following:</w:t>
      </w:r>
    </w:p>
    <w:p>
      <w:pPr>
        <w:spacing w:after="0" w:line="168" w:lineRule="exact"/>
        <w:rPr>
          <w:sz w:val="20"/>
          <w:szCs w:val="20"/>
          <w:color w:val="auto"/>
        </w:rPr>
      </w:pPr>
    </w:p>
    <w:p>
      <w:pPr>
        <w:ind w:left="640" w:hanging="308"/>
        <w:spacing w:after="0"/>
        <w:tabs>
          <w:tab w:leader="none" w:pos="64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Revenue and Finance Managers involved in budgeting and </w:t>
      </w:r>
      <w:r>
        <w:rPr>
          <w:rFonts w:ascii="Times New Roman" w:cs="Times New Roman" w:eastAsia="Times New Roman" w:hAnsi="Times New Roman"/>
          <w:sz w:val="21"/>
          <w:szCs w:val="21"/>
          <w:color w:val="auto"/>
        </w:rPr>
        <w:t>forecasting</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assistants to CEO, EVP, and </w:t>
      </w:r>
      <w:r>
        <w:rPr>
          <w:rFonts w:ascii="Times New Roman" w:cs="Times New Roman" w:eastAsia="Times New Roman" w:hAnsi="Times New Roman"/>
          <w:sz w:val="21"/>
          <w:szCs w:val="21"/>
          <w:color w:val="auto"/>
        </w:rPr>
        <w:t>CTO</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Designated independent contractors and consultants (including </w:t>
      </w:r>
      <w:r>
        <w:rPr>
          <w:rFonts w:ascii="Times New Roman" w:cs="Times New Roman" w:eastAsia="Times New Roman" w:hAnsi="Times New Roman"/>
          <w:sz w:val="21"/>
          <w:szCs w:val="21"/>
          <w:color w:val="auto"/>
        </w:rPr>
        <w:t>advisors)</w:t>
      </w:r>
    </w:p>
    <w:p>
      <w:pPr>
        <w:spacing w:after="0" w:line="21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All C3 AI employees, designated independent contractors/consultants (including advisors) not captured above with the title of Group Vice President or higher, including the following:</w:t>
      </w:r>
    </w:p>
    <w:p>
      <w:pPr>
        <w:spacing w:after="0" w:line="195"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CMO</w:t>
      </w:r>
    </w:p>
    <w:p>
      <w:pPr>
        <w:spacing w:after="0" w:line="14" w:lineRule="exact"/>
        <w:rPr>
          <w:rFonts w:ascii="Times New Roman" w:cs="Times New Roman" w:eastAsia="Times New Roman" w:hAnsi="Times New Roman"/>
          <w:sz w:val="22"/>
          <w:szCs w:val="22"/>
          <w:color w:val="auto"/>
        </w:rPr>
      </w:pPr>
    </w:p>
    <w:p>
      <w:pPr>
        <w:ind w:left="640" w:hanging="308"/>
        <w:spacing w:after="0" w:line="230" w:lineRule="auto"/>
        <w:tabs>
          <w:tab w:leader="none" w:pos="6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SVP</w:t>
      </w:r>
    </w:p>
    <w:p>
      <w:pPr>
        <w:ind w:left="640" w:hanging="308"/>
        <w:spacing w:after="0" w:line="230" w:lineRule="auto"/>
        <w:tabs>
          <w:tab w:leader="none" w:pos="6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EVP</w:t>
      </w:r>
    </w:p>
    <w:p>
      <w:pPr>
        <w:ind w:left="640" w:hanging="308"/>
        <w:spacing w:after="0"/>
        <w:tabs>
          <w:tab w:leader="none" w:pos="6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Chief of </w:t>
      </w:r>
      <w:r>
        <w:rPr>
          <w:rFonts w:ascii="Times New Roman" w:cs="Times New Roman" w:eastAsia="Times New Roman" w:hAnsi="Times New Roman"/>
          <w:sz w:val="21"/>
          <w:szCs w:val="21"/>
          <w:color w:val="auto"/>
        </w:rPr>
        <w:t>Staff</w:t>
      </w:r>
    </w:p>
    <w:p>
      <w:pPr>
        <w:sectPr>
          <w:pgSz w:w="11900" w:h="16838" w:orient="portrait"/>
          <w:cols w:equalWidth="0" w:num="1">
            <w:col w:w="11240"/>
          </w:cols>
          <w:pgMar w:left="320" w:top="342"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Subsidiaries of C3.ai, Inc.</w:t>
      </w:r>
    </w:p>
    <w:p>
      <w:pPr>
        <w:sectPr>
          <w:pgSz w:w="11900" w:h="16838" w:orient="portrait"/>
          <w:cols w:equalWidth="0" w:num="1">
            <w:col w:w="11240"/>
          </w:cols>
          <w:pgMar w:left="320" w:top="122" w:right="339" w:bottom="1440" w:gutter="0" w:footer="0" w:header="0"/>
        </w:sectPr>
      </w:pP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of Subsidiary</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Gov,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International,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AI Press,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IoT France S.A.S.</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UK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Energy Italy S.R.L.</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Belgium S.R.L.</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Japan K.K.</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Netherlands B.V.</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Australia Pty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Singapore Pte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México S. de R.L. de C.V.</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Jurisdiction of Organization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Netherlands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Mexico</w:t>
      </w:r>
    </w:p>
    <w:p>
      <w:pPr>
        <w:sectPr>
          <w:pgSz w:w="11900" w:h="16838" w:orient="portrait"/>
          <w:cols w:equalWidth="0" w:num="2">
            <w:col w:w="4700" w:space="720"/>
            <w:col w:w="5820"/>
          </w:cols>
          <w:pgMar w:left="320" w:top="122" w:right="339" w:bottom="1440"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333-251236, 333-253944, 333-257452, 333-265781, 333-272819 and 333-280307 on Form S-8 of our report dated June 23, 2025, relating to the consolidated financial statements of C3.ai, Inc. and subsidiaries (the “Company”) and the effectiveness of the Company's internal control over financial reporting, appearing in this Annual Report on Form 10-K for the year ended April 30,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23, 2025</w:t>
      </w:r>
    </w:p>
    <w:p>
      <w:pPr>
        <w:sectPr>
          <w:pgSz w:w="11900" w:h="16838" w:orient="portrait"/>
          <w:cols w:equalWidth="0" w:num="1">
            <w:col w:w="11240"/>
          </w:cols>
          <w:pgMar w:left="320" w:top="1409" w:right="339" w:bottom="1440" w:gutter="0" w:footer="0" w:header="0"/>
        </w:sectPr>
      </w:pPr>
    </w:p>
    <w:bookmarkStart w:id="157" w:name="page158"/>
    <w:bookmarkEnd w:id="15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 AND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 Siebel, certify that:</w:t>
      </w:r>
    </w:p>
    <w:p>
      <w:pPr>
        <w:spacing w:after="0" w:line="252"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158" w:name="page159"/>
    <w:bookmarkEnd w:id="158"/>
    <w:p>
      <w:pPr>
        <w:spacing w:after="0" w:line="288" w:lineRule="exact"/>
        <w:rPr>
          <w:sz w:val="20"/>
          <w:szCs w:val="20"/>
          <w:color w:val="auto"/>
        </w:rPr>
      </w:pPr>
    </w:p>
    <w:p>
      <w:pPr>
        <w:spacing w:after="0"/>
        <w:tabs>
          <w:tab w:leader="none" w:pos="4000" w:val="left"/>
          <w:tab w:leader="none" w:pos="4720" w:val="left"/>
        </w:tabs>
        <w:rPr>
          <w:sz w:val="20"/>
          <w:szCs w:val="20"/>
          <w:color w:val="auto"/>
        </w:rPr>
      </w:pPr>
      <w:r>
        <w:rPr>
          <w:rFonts w:ascii="Times New Roman" w:cs="Times New Roman" w:eastAsia="Times New Roman" w:hAnsi="Times New Roman"/>
          <w:sz w:val="18"/>
          <w:szCs w:val="18"/>
          <w:color w:val="auto"/>
        </w:rPr>
        <w:t>Date: June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26035</wp:posOffset>
            </wp:positionV>
            <wp:extent cx="41230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Thomas M. Siebel</w:t>
      </w:r>
    </w:p>
    <w:p>
      <w:pPr>
        <w:spacing w:after="0" w:line="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59" w:name="page160"/>
    <w:bookmarkEnd w:id="15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 AND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Hitesh Lath, certify that:</w:t>
      </w:r>
    </w:p>
    <w:p>
      <w:pPr>
        <w:spacing w:after="0" w:line="252"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288" w:lineRule="exact"/>
        <w:rPr>
          <w:sz w:val="20"/>
          <w:szCs w:val="20"/>
          <w:color w:val="auto"/>
        </w:rPr>
      </w:pPr>
    </w:p>
    <w:p>
      <w:pPr>
        <w:spacing w:after="0"/>
        <w:tabs>
          <w:tab w:leader="none" w:pos="4000" w:val="left"/>
          <w:tab w:leader="none" w:pos="4720" w:val="left"/>
        </w:tabs>
        <w:rPr>
          <w:sz w:val="20"/>
          <w:szCs w:val="20"/>
          <w:color w:val="auto"/>
        </w:rPr>
      </w:pPr>
      <w:r>
        <w:rPr>
          <w:rFonts w:ascii="Times New Roman" w:cs="Times New Roman" w:eastAsia="Times New Roman" w:hAnsi="Times New Roman"/>
          <w:sz w:val="18"/>
          <w:szCs w:val="18"/>
          <w:color w:val="auto"/>
        </w:rPr>
        <w:t>Date: June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26035</wp:posOffset>
            </wp:positionV>
            <wp:extent cx="41230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Hitesh Lath</w:t>
      </w:r>
    </w:p>
    <w:p>
      <w:pPr>
        <w:spacing w:after="0" w:line="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119"/>
          </w:cols>
          <w:pgMar w:left="340" w:top="1440"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Thomas M. Siebel, Chairman and Chief Executive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60" w:hanging="328"/>
        <w:spacing w:after="0" w:line="282" w:lineRule="auto"/>
        <w:tabs>
          <w:tab w:leader="none" w:pos="65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2025, to which this Certification is attached as Exhibit 32.1 (the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020" w:val="left"/>
          <w:tab w:leader="none" w:pos="4740" w:val="left"/>
        </w:tabs>
        <w:rPr>
          <w:sz w:val="20"/>
          <w:szCs w:val="20"/>
          <w:color w:val="auto"/>
        </w:rPr>
      </w:pPr>
      <w:r>
        <w:rPr>
          <w:rFonts w:ascii="Times New Roman" w:cs="Times New Roman" w:eastAsia="Times New Roman" w:hAnsi="Times New Roman"/>
          <w:sz w:val="18"/>
          <w:szCs w:val="18"/>
          <w:color w:val="auto"/>
        </w:rPr>
        <w:t>Date: June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26035</wp:posOffset>
            </wp:positionV>
            <wp:extent cx="41230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Thomas M. Siebel</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Hitesh Lath, Senior Vice President and Chief Financial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60" w:hanging="328"/>
        <w:spacing w:after="0" w:line="282" w:lineRule="auto"/>
        <w:tabs>
          <w:tab w:leader="none" w:pos="65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2025, to which this Certification is attached as Exhibit 32.2 (the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020" w:val="left"/>
          <w:tab w:leader="none" w:pos="4740" w:val="left"/>
        </w:tabs>
        <w:rPr>
          <w:sz w:val="20"/>
          <w:szCs w:val="20"/>
          <w:color w:val="auto"/>
        </w:rPr>
      </w:pPr>
      <w:r>
        <w:rPr>
          <w:rFonts w:ascii="Times New Roman" w:cs="Times New Roman" w:eastAsia="Times New Roman" w:hAnsi="Times New Roman"/>
          <w:sz w:val="18"/>
          <w:szCs w:val="18"/>
          <w:color w:val="auto"/>
        </w:rPr>
        <w:t>Date: June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26035</wp:posOffset>
            </wp:positionV>
            <wp:extent cx="41230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Hitesh Lath</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lvl w:ilvl="1">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lvl w:ilvl="1">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1"/>
      <w:numFmt w:val="bullet"/>
      <w:start w:val="1"/>
    </w:lvl>
  </w:abstractNum>
  <w:abstractNum w:abstractNumId="31">
    <w:nsid w:val="6EB5BD4"/>
    <w:multiLevelType w:val="hybridMultilevel"/>
    <w:lvl w:ilvl="0">
      <w:lvlJc w:val="left"/>
      <w:lvlText w:val="2"/>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lvl w:ilvl="1">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lvl w:ilvl="1">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lvl w:ilvl="1">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lvl w:ilvl="1">
      <w:lvlJc w:val="left"/>
      <w:lvlText w:val="◦"/>
      <w:numFmt w:val="bullet"/>
      <w:start w:val="1"/>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1)"/>
      <w:numFmt w:val="decimal"/>
      <w:start w:val="1"/>
    </w:lvl>
  </w:abstractNum>
  <w:abstractNum w:abstractNumId="59">
    <w:nsid w:val="7672BD23"/>
    <w:multiLevelType w:val="hybridMultilevel"/>
    <w:lvl w:ilvl="0">
      <w:lvlJc w:val="left"/>
      <w:lvlText w:val="%1."/>
      <w:numFmt w:val="decimal"/>
      <w:start w:val="3"/>
    </w:lvl>
  </w:abstractNum>
  <w:abstractNum w:abstractNumId="60">
    <w:nsid w:val="6FC75AF8"/>
    <w:multiLevelType w:val="hybridMultilevel"/>
    <w:lvl w:ilvl="0">
      <w:lvlJc w:val="left"/>
      <w:lvlText w:val="%1."/>
      <w:numFmt w:val="decimal"/>
      <w:start w:val="4"/>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1."/>
      <w:numFmt w:val="decimal"/>
      <w:start w:val="6"/>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1."/>
      <w:numFmt w:val="decimal"/>
      <w:start w:val="2"/>
    </w:lvl>
  </w:abstractNum>
  <w:abstractNum w:abstractNumId="66">
    <w:nsid w:val="555C55B5"/>
    <w:multiLevelType w:val="hybridMultilevel"/>
    <w:lvl w:ilvl="0">
      <w:lvlJc w:val="left"/>
      <w:lvlText w:val="%1."/>
      <w:numFmt w:val="decimal"/>
      <w:start w:val="3"/>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1"/>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decimal"/>
      <w:start w:val="1"/>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1."/>
      <w:numFmt w:val="decimal"/>
      <w:start w:val="1"/>
    </w:lvl>
  </w:abstractNum>
  <w:abstractNum w:abstractNumId="80">
    <w:nsid w:val="97E1B4E"/>
    <w:multiLevelType w:val="hybridMultilevel"/>
    <w:lvl w:ilvl="0">
      <w:lvlJc w:val="left"/>
      <w:lvlText w:val="%1."/>
      <w:numFmt w:val="decimal"/>
      <w:start w:val="1"/>
    </w:lvl>
  </w:abstractNum>
  <w:abstractNum w:abstractNumId="81">
    <w:nsid w:val="51088277"/>
    <w:multiLevelType w:val="hybridMultilevel"/>
    <w:lvl w:ilvl="0">
      <w:lvlJc w:val="left"/>
      <w:lvlText w:val="%1:"/>
      <w:numFmt w:val="upperLetter"/>
      <w:start w:val="1"/>
    </w:lvl>
  </w:abstractNum>
  <w:abstractNum w:abstractNumId="82">
    <w:nsid w:val="1CA0C5FA"/>
    <w:multiLevelType w:val="hybridMultilevel"/>
    <w:lvl w:ilvl="0">
      <w:lvlJc w:val="left"/>
      <w:lvlText w:val="%1:"/>
      <w:numFmt w:val="upperLetter"/>
      <w:start w:val="1"/>
    </w:lvl>
  </w:abstractNum>
  <w:abstractNum w:abstractNumId="83">
    <w:nsid w:val="53584BCB"/>
    <w:multiLevelType w:val="hybridMultilevel"/>
    <w:lvl w:ilvl="0">
      <w:lvlJc w:val="left"/>
      <w:lvlText w:val="%1:"/>
      <w:numFmt w:val="upperLetter"/>
      <w:start w:val="1"/>
    </w:lvl>
  </w:abstractNum>
  <w:abstractNum w:abstractNumId="84">
    <w:nsid w:val="415E286C"/>
    <w:multiLevelType w:val="hybridMultilevel"/>
    <w:lvl w:ilvl="0">
      <w:lvlJc w:val="left"/>
      <w:lvlText w:val="%1:"/>
      <w:numFmt w:val="upperLetter"/>
      <w:start w:val="1"/>
    </w:lvl>
  </w:abstractNum>
  <w:abstractNum w:abstractNumId="85">
    <w:nsid w:val="7C58FD05"/>
    <w:multiLevelType w:val="hybridMultilevel"/>
    <w:lvl w:ilvl="0">
      <w:lvlJc w:val="left"/>
      <w:lvlText w:val="%1:"/>
      <w:numFmt w:val="upperLetter"/>
      <w:start w:val="1"/>
    </w:lvl>
  </w:abstractNum>
  <w:abstractNum w:abstractNumId="86">
    <w:nsid w:val="23D86AAC"/>
    <w:multiLevelType w:val="hybridMultilevel"/>
    <w:lvl w:ilvl="0">
      <w:lvlJc w:val="left"/>
      <w:lvlText w:val="%1"/>
      <w:numFmt w:val="upperLetter"/>
      <w:start w:val="1"/>
    </w:lvl>
    <w:lvl w:ilvl="1">
      <w:lvlJc w:val="left"/>
      <w:lvlText w:val="%2:"/>
      <w:numFmt w:val="upperLetter"/>
      <w:start w:val="1"/>
    </w:lvl>
  </w:abstractNum>
  <w:abstractNum w:abstractNumId="87">
    <w:nsid w:val="45E6D486"/>
    <w:multiLevelType w:val="hybridMultilevel"/>
    <w:lvl w:ilvl="0">
      <w:lvlJc w:val="left"/>
      <w:lvlText w:val="%1:"/>
      <w:numFmt w:val="upperLetter"/>
      <w:start w:val="17"/>
    </w:lvl>
    <w:lvl w:ilvl="1">
      <w:lvlJc w:val="left"/>
      <w:lvlText w:val="%2:"/>
      <w:numFmt w:val="upperLetter"/>
      <w:start w:val="1"/>
    </w:lvl>
  </w:abstractNum>
  <w:abstractNum w:abstractNumId="88">
    <w:nsid w:val="5C10FE21"/>
    <w:multiLevelType w:val="hybridMultilevel"/>
    <w:lvl w:ilvl="0">
      <w:lvlJc w:val="left"/>
      <w:lvlText w:val="%1:"/>
      <w:numFmt w:val="upperLetter"/>
      <w:start w:val="1"/>
    </w:lvl>
    <w:lvl w:ilvl="1">
      <w:lvlJc w:val="left"/>
      <w:lvlText w:val="•"/>
      <w:numFmt w:val="bullet"/>
      <w:start w:val="1"/>
    </w:lvl>
  </w:abstractNum>
  <w:abstractNum w:abstractNumId="89">
    <w:nsid w:val="E7FFA2B"/>
    <w:multiLevelType w:val="hybridMultilevel"/>
    <w:lvl w:ilvl="0">
      <w:lvlJc w:val="left"/>
      <w:lvlText w:val="%1:"/>
      <w:numFmt w:val="upperLetter"/>
      <w:start w:val="16"/>
    </w:lvl>
    <w:lvl w:ilvl="1">
      <w:lvlJc w:val="left"/>
      <w:lvlText w:val="•"/>
      <w:numFmt w:val="bullet"/>
      <w:start w:val="1"/>
    </w:lvl>
  </w:abstractNum>
  <w:abstractNum w:abstractNumId="90">
    <w:nsid w:val="3C5991AA"/>
    <w:multiLevelType w:val="hybridMultilevel"/>
    <w:lvl w:ilvl="0">
      <w:lvlJc w:val="left"/>
      <w:lvlText w:val="%1:"/>
      <w:numFmt w:val="upperLetter"/>
      <w:start w:val="1"/>
    </w:lvl>
  </w:abstractNum>
  <w:abstractNum w:abstractNumId="91">
    <w:nsid w:val="4BD8591A"/>
    <w:multiLevelType w:val="hybridMultilevel"/>
    <w:lvl w:ilvl="0">
      <w:lvlJc w:val="left"/>
      <w:lvlText w:val="%1:"/>
      <w:numFmt w:val="upperLetter"/>
      <w:start w:val="1"/>
    </w:lvl>
  </w:abstractNum>
  <w:abstractNum w:abstractNumId="92">
    <w:nsid w:val="78DF6A55"/>
    <w:multiLevelType w:val="hybridMultilevel"/>
    <w:lvl w:ilvl="0">
      <w:lvlJc w:val="left"/>
      <w:lvlText w:val="%1:"/>
      <w:numFmt w:val="upperLetter"/>
      <w:start w:val="17"/>
    </w:lvl>
  </w:abstractNum>
  <w:abstractNum w:abstractNumId="93">
    <w:nsid w:val="39B7AAA2"/>
    <w:multiLevelType w:val="hybridMultilevel"/>
    <w:lvl w:ilvl="0">
      <w:lvlJc w:val="left"/>
      <w:lvlText w:val="%1:"/>
      <w:numFmt w:val="upperLetter"/>
      <w:start w:val="1"/>
    </w:lvl>
  </w:abstractNum>
  <w:abstractNum w:abstractNumId="94">
    <w:nsid w:val="2B0D8DBE"/>
    <w:multiLevelType w:val="hybridMultilevel"/>
    <w:lvl w:ilvl="0">
      <w:lvlJc w:val="left"/>
      <w:lvlText w:val="%1"/>
      <w:numFmt w:val="upperLetter"/>
      <w:start w:val="1"/>
    </w:lvl>
    <w:lvl w:ilvl="1">
      <w:lvlJc w:val="left"/>
      <w:lvlText w:val="%2:"/>
      <w:numFmt w:val="upperLetter"/>
      <w:start w:val="1"/>
    </w:lvl>
  </w:abstractNum>
  <w:abstractNum w:abstractNumId="95">
    <w:nsid w:val="6C80EC70"/>
    <w:multiLevelType w:val="hybridMultilevel"/>
    <w:lvl w:ilvl="0">
      <w:lvlJc w:val="left"/>
      <w:lvlText w:val="%1:"/>
      <w:numFmt w:val="upperLetter"/>
      <w:start w:val="17"/>
    </w:lvl>
    <w:lvl w:ilvl="1">
      <w:lvlJc w:val="left"/>
      <w:lvlText w:val="%2:"/>
      <w:numFmt w:val="upperLetter"/>
      <w:start w:val="1"/>
    </w:lvl>
  </w:abstractNum>
  <w:abstractNum w:abstractNumId="96">
    <w:nsid w:val="379E21B5"/>
    <w:multiLevelType w:val="hybridMultilevel"/>
    <w:lvl w:ilvl="0">
      <w:lvlJc w:val="left"/>
      <w:lvlText w:val="%1:"/>
      <w:numFmt w:val="upperLetter"/>
      <w:start w:val="1"/>
    </w:lvl>
  </w:abstractNum>
  <w:abstractNum w:abstractNumId="97">
    <w:nsid w:val="69E373"/>
    <w:multiLevelType w:val="hybridMultilevel"/>
    <w:lvl w:ilvl="0">
      <w:lvlJc w:val="left"/>
      <w:lvlText w:val="%1:"/>
      <w:numFmt w:val="upperLetter"/>
      <w:start w:val="1"/>
    </w:lvl>
  </w:abstractNum>
  <w:abstractNum w:abstractNumId="98">
    <w:nsid w:val="2C27173B"/>
    <w:multiLevelType w:val="hybridMultilevel"/>
    <w:lvl w:ilvl="0">
      <w:lvlJc w:val="left"/>
      <w:lvlText w:val="%1:"/>
      <w:numFmt w:val="upperLetter"/>
      <w:start w:val="1"/>
    </w:lvl>
  </w:abstractNum>
  <w:abstractNum w:abstractNumId="99">
    <w:nsid w:val="4C9B0904"/>
    <w:multiLevelType w:val="hybridMultilevel"/>
    <w:lvl w:ilvl="0">
      <w:lvlJc w:val="left"/>
      <w:lvlText w:val="%1:"/>
      <w:numFmt w:val="upperLetter"/>
      <w:start w:val="1"/>
    </w:lvl>
  </w:abstractNum>
  <w:abstractNum w:abstractNumId="100">
    <w:nsid w:val="6AA7B75C"/>
    <w:multiLevelType w:val="hybridMultilevel"/>
    <w:lvl w:ilvl="0">
      <w:lvlJc w:val="left"/>
      <w:lvlText w:val="%1:"/>
      <w:numFmt w:val="upperLetter"/>
      <w:start w:val="1"/>
    </w:lvl>
  </w:abstractNum>
  <w:abstractNum w:abstractNumId="101">
    <w:nsid w:val="1DF029D3"/>
    <w:multiLevelType w:val="hybridMultilevel"/>
    <w:lvl w:ilvl="0">
      <w:lvlJc w:val="left"/>
      <w:lvlText w:val="%1:"/>
      <w:numFmt w:val="upperLetter"/>
      <w:start w:val="1"/>
    </w:lvl>
  </w:abstractNum>
  <w:abstractNum w:abstractNumId="102">
    <w:nsid w:val="5675FF36"/>
    <w:multiLevelType w:val="hybridMultilevel"/>
    <w:lvl w:ilvl="0">
      <w:lvlJc w:val="left"/>
      <w:lvlText w:val="%1."/>
      <w:numFmt w:val="upperLetter"/>
      <w:start w:val="1"/>
    </w:lvl>
  </w:abstractNum>
  <w:abstractNum w:abstractNumId="103">
    <w:nsid w:val="3DD15094"/>
    <w:multiLevelType w:val="hybridMultilevel"/>
    <w:lvl w:ilvl="0">
      <w:lvlJc w:val="left"/>
      <w:lvlText w:val="%1:"/>
      <w:numFmt w:val="upperLetter"/>
      <w:start w:val="1"/>
    </w:lvl>
  </w:abstractNum>
  <w:abstractNum w:abstractNumId="104">
    <w:nsid w:val="3DB012B3"/>
    <w:multiLevelType w:val="hybridMultilevel"/>
    <w:lvl w:ilvl="0">
      <w:lvlJc w:val="left"/>
      <w:lvlText w:val="%1:"/>
      <w:numFmt w:val="upperLetter"/>
      <w:start w:val="17"/>
    </w:lvl>
  </w:abstractNum>
  <w:abstractNum w:abstractNumId="105">
    <w:nsid w:val="2708C9AF"/>
    <w:multiLevelType w:val="hybridMultilevel"/>
    <w:lvl w:ilvl="0">
      <w:lvlJc w:val="left"/>
      <w:lvlText w:val="%1:"/>
      <w:numFmt w:val="upperLetter"/>
      <w:start w:val="1"/>
    </w:lvl>
  </w:abstractNum>
  <w:abstractNum w:abstractNumId="106">
    <w:nsid w:val="5B25ACE2"/>
    <w:multiLevelType w:val="hybridMultilevel"/>
    <w:lvl w:ilvl="0">
      <w:lvlJc w:val="left"/>
      <w:lvlText w:val="%1:"/>
      <w:numFmt w:val="upperLetter"/>
      <w:start w:val="1"/>
    </w:lvl>
  </w:abstractNum>
  <w:abstractNum w:abstractNumId="107">
    <w:nsid w:val="175DFCF0"/>
    <w:multiLevelType w:val="hybridMultilevel"/>
    <w:lvl w:ilvl="0">
      <w:lvlJc w:val="left"/>
      <w:lvlText w:val="%1"/>
      <w:numFmt w:val="upperLetter"/>
      <w:start w:val="1"/>
    </w:lvl>
    <w:lvl w:ilvl="1">
      <w:lvlJc w:val="left"/>
      <w:lvlText w:val="%2:"/>
      <w:numFmt w:val="upperLetter"/>
      <w:start w:val="17"/>
    </w:lvl>
  </w:abstractNum>
  <w:abstractNum w:abstractNumId="108">
    <w:nsid w:val="4F97E3E4"/>
    <w:multiLevelType w:val="hybridMultilevel"/>
    <w:lvl w:ilvl="0">
      <w:lvlJc w:val="left"/>
      <w:lvlText w:val="%1:"/>
      <w:numFmt w:val="upperLetter"/>
      <w:start w:val="1"/>
    </w:lvl>
    <w:lvl w:ilvl="1">
      <w:lvlJc w:val="left"/>
      <w:lvlText w:val="%2"/>
      <w:numFmt w:val="upperLetter"/>
      <w:start w:val="1"/>
    </w:lvl>
  </w:abstractNum>
  <w:abstractNum w:abstractNumId="109">
    <w:nsid w:val="53B0A9E"/>
    <w:multiLevelType w:val="hybridMultilevel"/>
    <w:lvl w:ilvl="0">
      <w:lvlJc w:val="left"/>
      <w:lvlText w:val="%1:"/>
      <w:numFmt w:val="upperLetter"/>
      <w:start w:val="17"/>
    </w:lvl>
  </w:abstractNum>
  <w:abstractNum w:abstractNumId="110">
    <w:nsid w:val="34FD6B4F"/>
    <w:multiLevelType w:val="hybridMultilevel"/>
    <w:lvl w:ilvl="0">
      <w:lvlJc w:val="left"/>
      <w:lvlText w:val="%1:"/>
      <w:numFmt w:val="upperLetter"/>
      <w:start w:val="1"/>
    </w:lvl>
  </w:abstractNum>
  <w:abstractNum w:abstractNumId="111">
    <w:nsid w:val="5915FF32"/>
    <w:multiLevelType w:val="hybridMultilevel"/>
    <w:lvl w:ilvl="0">
      <w:lvlJc w:val="left"/>
      <w:lvlText w:val="%1:"/>
      <w:numFmt w:val="upperLetter"/>
      <w:start w:val="1"/>
    </w:lvl>
  </w:abstractNum>
  <w:abstractNum w:abstractNumId="112">
    <w:nsid w:val="56438D15"/>
    <w:multiLevelType w:val="hybridMultilevel"/>
    <w:lvl w:ilvl="0">
      <w:lvlJc w:val="left"/>
      <w:lvlText w:val="%1:"/>
      <w:numFmt w:val="upperLetter"/>
      <w:start w:val="17"/>
    </w:lvl>
    <w:lvl w:ilvl="1">
      <w:lvlJc w:val="left"/>
      <w:lvlText w:val="%2:"/>
      <w:numFmt w:val="upperLetter"/>
      <w:start w:val="1"/>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upperLetter"/>
      <w:start w:val="1"/>
    </w:lvl>
  </w:abstractNum>
  <w:abstractNum w:abstractNumId="115">
    <w:nsid w:val="17A1B582"/>
    <w:multiLevelType w:val="hybridMultilevel"/>
    <w:lvl w:ilvl="0">
      <w:lvlJc w:val="left"/>
      <w:lvlText w:val="%1:"/>
      <w:numFmt w:val="upperLetter"/>
      <w:start w:val="1"/>
    </w:lvl>
  </w:abstractNum>
  <w:abstractNum w:abstractNumId="116">
    <w:nsid w:val="4DF72E4E"/>
    <w:multiLevelType w:val="hybridMultilevel"/>
    <w:lvl w:ilvl="0">
      <w:lvlJc w:val="left"/>
      <w:lvlText w:val="%1:"/>
      <w:numFmt w:val="upperLetter"/>
      <w:start w:val="1"/>
    </w:lvl>
  </w:abstractNum>
  <w:abstractNum w:abstractNumId="117">
    <w:nsid w:val="5046B5A9"/>
    <w:multiLevelType w:val="hybridMultilevel"/>
    <w:lvl w:ilvl="0">
      <w:lvlJc w:val="left"/>
      <w:lvlText w:val="%1:"/>
      <w:numFmt w:val="upperLetter"/>
      <w:start w:val="1"/>
    </w:lvl>
  </w:abstractNum>
  <w:abstractNum w:abstractNumId="118">
    <w:nsid w:val="5D888A08"/>
    <w:multiLevelType w:val="hybridMultilevel"/>
    <w:lvl w:ilvl="0">
      <w:lvlJc w:val="left"/>
      <w:lvlText w:val="%1:"/>
      <w:numFmt w:val="upperLetter"/>
      <w:start w:val="1"/>
    </w:lvl>
  </w:abstractNum>
  <w:abstractNum w:abstractNumId="119">
    <w:nsid w:val="2A082C70"/>
    <w:multiLevelType w:val="hybridMultilevel"/>
    <w:lvl w:ilvl="0">
      <w:lvlJc w:val="left"/>
      <w:lvlText w:val="%1:"/>
      <w:numFmt w:val="upperLetter"/>
      <w:start w:val="1"/>
    </w:lvl>
  </w:abstractNum>
  <w:abstractNum w:abstractNumId="120">
    <w:nsid w:val="5EC6AFD4"/>
    <w:multiLevelType w:val="hybridMultilevel"/>
    <w:lvl w:ilvl="0">
      <w:lvlJc w:val="left"/>
      <w:lvlText w:val="%1:"/>
      <w:numFmt w:val="upperLetter"/>
      <w:start w:val="1"/>
    </w:lvl>
  </w:abstractNum>
  <w:abstractNum w:abstractNumId="121">
    <w:nsid w:val="19E21BB2"/>
    <w:multiLevelType w:val="hybridMultilevel"/>
    <w:lvl w:ilvl="0">
      <w:lvlJc w:val="left"/>
      <w:lvlText w:val="%1"/>
      <w:numFmt w:val="upperLetter"/>
      <w:start w:val="1"/>
    </w:lvl>
    <w:lvl w:ilvl="1">
      <w:lvlJc w:val="left"/>
      <w:lvlText w:val="%2:"/>
      <w:numFmt w:val="upperLetter"/>
      <w:start w:val="17"/>
    </w:lvl>
  </w:abstractNum>
  <w:abstractNum w:abstractNumId="122">
    <w:nsid w:val="75E0858A"/>
    <w:multiLevelType w:val="hybridMultilevel"/>
    <w:lvl w:ilvl="0">
      <w:lvlJc w:val="left"/>
      <w:lvlText w:val="%1:"/>
      <w:numFmt w:val="upperLetter"/>
      <w:start w:val="1"/>
    </w:lvl>
    <w:lvl w:ilvl="1">
      <w:lvlJc w:val="left"/>
      <w:lvlText w:val="%2:"/>
      <w:numFmt w:val="upperLetter"/>
      <w:start w:val="17"/>
    </w:lvl>
  </w:abstractNum>
  <w:abstractNum w:abstractNumId="123">
    <w:nsid w:val="57A61A29"/>
    <w:multiLevelType w:val="hybridMultilevel"/>
    <w:lvl w:ilvl="0">
      <w:lvlJc w:val="left"/>
      <w:lvlText w:val="%1:"/>
      <w:numFmt w:val="upperLetter"/>
      <w:start w:val="1"/>
    </w:lvl>
  </w:abstractNum>
  <w:abstractNum w:abstractNumId="124">
    <w:nsid w:val="5399C654"/>
    <w:multiLevelType w:val="hybridMultilevel"/>
    <w:lvl w:ilvl="0">
      <w:lvlJc w:val="left"/>
      <w:lvlText w:val="%1:"/>
      <w:numFmt w:val="upperLetter"/>
      <w:start w:val="1"/>
    </w:lvl>
  </w:abstractNum>
  <w:abstractNum w:abstractNumId="125">
    <w:nsid w:val="20EE1348"/>
    <w:multiLevelType w:val="hybridMultilevel"/>
    <w:lvl w:ilvl="0">
      <w:lvlJc w:val="left"/>
      <w:lvlText w:val="%1:"/>
      <w:numFmt w:val="upperLetter"/>
      <w:start w:val="1"/>
    </w:lvl>
  </w:abstractNum>
  <w:abstractNum w:abstractNumId="126">
    <w:nsid w:val="4427069A"/>
    <w:multiLevelType w:val="hybridMultilevel"/>
    <w:lvl w:ilvl="0">
      <w:lvlJc w:val="left"/>
      <w:lvlText w:val="%1:"/>
      <w:numFmt w:val="upperLetter"/>
      <w:start w:val="1"/>
    </w:lvl>
  </w:abstractNum>
  <w:abstractNum w:abstractNumId="127">
    <w:nsid w:val="B37E80A"/>
    <w:multiLevelType w:val="hybridMultilevel"/>
    <w:lvl w:ilvl="0">
      <w:lvlJc w:val="left"/>
      <w:lvlText w:val="%1:"/>
      <w:numFmt w:val="upperLetter"/>
      <w:start w:val="1"/>
    </w:lvl>
  </w:abstractNum>
  <w:abstractNum w:abstractNumId="128">
    <w:nsid w:val="2157F6BC"/>
    <w:multiLevelType w:val="hybridMultilevel"/>
    <w:lvl w:ilvl="0">
      <w:lvlJc w:val="left"/>
      <w:lvlText w:val="%1:"/>
      <w:numFmt w:val="upperLetter"/>
      <w:start w:val="1"/>
    </w:lvl>
  </w:abstractNum>
  <w:abstractNum w:abstractNumId="129">
    <w:nsid w:val="704E1DD5"/>
    <w:multiLevelType w:val="hybridMultilevel"/>
    <w:lvl w:ilvl="0">
      <w:lvlJc w:val="left"/>
      <w:lvlText w:val="%1:"/>
      <w:numFmt w:val="upperLetter"/>
      <w:start w:val="1"/>
    </w:lvl>
  </w:abstractNum>
  <w:abstractNum w:abstractNumId="130">
    <w:nsid w:val="57D2F10E"/>
    <w:multiLevelType w:val="hybridMultilevel"/>
    <w:lvl w:ilvl="0">
      <w:lvlJc w:val="left"/>
      <w:lvlText w:val="%1:"/>
      <w:numFmt w:val="upperLetter"/>
      <w:start w:val="1"/>
    </w:lvl>
  </w:abstractNum>
  <w:abstractNum w:abstractNumId="131">
    <w:nsid w:val="BFFAE18"/>
    <w:multiLevelType w:val="hybridMultilevel"/>
    <w:lvl w:ilvl="0">
      <w:lvlJc w:val="left"/>
      <w:lvlText w:val="%1:"/>
      <w:numFmt w:val="upperLetter"/>
      <w:start w:val="1"/>
    </w:lvl>
  </w:abstractNum>
  <w:abstractNum w:abstractNumId="132">
    <w:nsid w:val="E3E47A8"/>
    <w:multiLevelType w:val="hybridMultilevel"/>
    <w:lvl w:ilvl="0">
      <w:lvlJc w:val="left"/>
      <w:lvlText w:val="•"/>
      <w:numFmt w:val="bullet"/>
      <w:start w:val="1"/>
    </w:lvl>
  </w:abstractNum>
  <w:abstractNum w:abstractNumId="133">
    <w:nsid w:val="2E48F044"/>
    <w:multiLevelType w:val="hybridMultilevel"/>
    <w:lvl w:ilvl="0">
      <w:lvlJc w:val="left"/>
      <w:lvlText w:val="•"/>
      <w:numFmt w:val="bullet"/>
      <w:start w:val="1"/>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jpe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85" Type="http://schemas.openxmlformats.org/officeDocument/2006/relationships/hyperlink" Target="https://www.sec.gov/ix?doc=/Archives/edgar/data/1577526/000162828022017829/ai-20220430.htm" TargetMode="External"/><Relationship Id="rId176" Type="http://schemas.openxmlformats.org/officeDocument/2006/relationships/hyperlink" Target="https://www.sec.gov/Archives/edgar/data/0001577526/000162828020017407/exhibit31-8xk.htm" TargetMode="External"/><Relationship Id="rId177" Type="http://schemas.openxmlformats.org/officeDocument/2006/relationships/hyperlink" Target="https://www.sec.gov/Archives/edgar/data/1577526/000162828020016868/exhibit34-sx1a2.htm" TargetMode="External"/><Relationship Id="rId178" Type="http://schemas.openxmlformats.org/officeDocument/2006/relationships/hyperlink" Target="https://www.sec.gov/Archives/edgar/data/1577526/000162828020016868/exhibit41-sx1a2.htm" TargetMode="External"/><Relationship Id="rId179" Type="http://schemas.openxmlformats.org/officeDocument/2006/relationships/hyperlink" Target="https://www.sec.gov/Archives/edgar/data/1577526/000162828020016726/exhibit42-sx1a1.htm" TargetMode="External"/><Relationship Id="rId180" Type="http://schemas.openxmlformats.org/officeDocument/2006/relationships/hyperlink" Target="https://www.sec.gov/Archives/edgar/data/1577526/000162828021012990/exhibit421.htm" TargetMode="External"/><Relationship Id="rId181" Type="http://schemas.openxmlformats.org/officeDocument/2006/relationships/hyperlink" Target="https://www.sec.gov/Archives/edgar/data/1577526/000162828020016443/exhibit43s-1.htm" TargetMode="External"/><Relationship Id="rId182" Type="http://schemas.openxmlformats.org/officeDocument/2006/relationships/hyperlink" Target="https://www.sec.gov/Archives/edgar/data/1577526/000162828021012990/exhibit44.htm" TargetMode="External"/><Relationship Id="rId183" Type="http://schemas.openxmlformats.org/officeDocument/2006/relationships/hyperlink" Target="https://www.sec.gov/Archives/edgar/data/1577526/000162828023040969/ex101-c3aixamended2020equi.htm" TargetMode="External"/><Relationship Id="rId184" Type="http://schemas.openxmlformats.org/officeDocument/2006/relationships/hyperlink" Target="https://www.sec.gov/Archives/edgar/data/1577526/000162828020016868/exhibit103-sx1a2.htm" TargetMode="External"/><Relationship Id="rId185" Type="http://schemas.openxmlformats.org/officeDocument/2006/relationships/hyperlink" Target="https://www.sec.gov/Archives/edgar/data/1577526/000162828020016443/exhibit106-sx1.htm" TargetMode="External"/><Relationship Id="rId186" Type="http://schemas.openxmlformats.org/officeDocument/2006/relationships/hyperlink" Target="https://www.sec.gov/Archives/edgar/data/0001577526/000119312521071595/d116036dex101.htm" TargetMode="External"/><Relationship Id="rId189" Type="http://schemas.openxmlformats.org/officeDocument/2006/relationships/hyperlink" Target="https://www.sec.gov/Archives/edgar/data/1577526/000162828020016443/exhibit107-sx1.htm" TargetMode="External"/><Relationship Id="rId190" Type="http://schemas.openxmlformats.org/officeDocument/2006/relationships/hyperlink" Target="https://www.sec.gov/Archives/edgar/data/1577526/000162828020016443/exhibit108-sx1.htm" TargetMode="External"/><Relationship Id="rId191" Type="http://schemas.openxmlformats.org/officeDocument/2006/relationships/hyperlink" Target="https://www.sec.gov/Archives/edgar/data/1577526/000162828020016443/exhibit109-sx1.htm" TargetMode="External"/><Relationship Id="rId192" Type="http://schemas.openxmlformats.org/officeDocument/2006/relationships/hyperlink" Target="https://www.sec.gov/Archives/edgar/data/1577526/000162828021024342/exhibit101.htm" TargetMode="External"/><Relationship Id="rId193" Type="http://schemas.openxmlformats.org/officeDocument/2006/relationships/hyperlink" Target="https://www.sec.gov/Archives/edgar/data/1577526/000162828022017829/fy22exhibit1094.htm" TargetMode="External"/><Relationship Id="rId194" Type="http://schemas.openxmlformats.org/officeDocument/2006/relationships/hyperlink" Target="https://www.sec.gov/Archives/edgar/data/1577526/000162828023006164/exhibit-101.htm" TargetMode="External"/><Relationship Id="rId195" Type="http://schemas.openxmlformats.org/officeDocument/2006/relationships/hyperlink" Target="https://www.sec.gov/Archives/edgar/data/1577526/000162828020016443/exhibit1010-sx1.htm" TargetMode="External"/><Relationship Id="rId196" Type="http://schemas.openxmlformats.org/officeDocument/2006/relationships/hyperlink" Target="https://www.sec.gov/Archives/edgar/data/1577526/000162828020016443/exhibit1011-sx1.htm" TargetMode="External"/><Relationship Id="rId197" Type="http://schemas.openxmlformats.org/officeDocument/2006/relationships/hyperlink" Target="https://www.sec.gov/Archives/edgar/data/1577526/000162828020016443/exhibit1012-sx1.htm" TargetMode="External"/><Relationship Id="rId198" Type="http://schemas.openxmlformats.org/officeDocument/2006/relationships/hyperlink" Target="https://www.sec.gov/Archives/edgar/data/1577526/000162828021024342/exhibit104.htm" TargetMode="External"/><Relationship Id="rId199" Type="http://schemas.openxmlformats.org/officeDocument/2006/relationships/hyperlink" Target="https://www.sec.gov/Archives/edgar/data/1577526/000162828021024342/exhibit102.htm" TargetMode="External"/><Relationship Id="rId200" Type="http://schemas.openxmlformats.org/officeDocument/2006/relationships/hyperlink" Target="https://www.sec.gov/Archives/edgar/data/1577526/000162828024007744/exhibit101-offerletterbyan.htm" TargetMode="External"/><Relationship Id="rId201" Type="http://schemas.openxmlformats.org/officeDocument/2006/relationships/hyperlink" Target="https://www.sec.gov/Archives/edgar/data/1577526/000162828024039467/exhibit101merelsvpopsletter.htm" TargetMode="External"/><Relationship Id="rId202" Type="http://schemas.openxmlformats.org/officeDocument/2006/relationships/hyperlink" Target="https://www.sec.gov/Archives/edgar/data/1577526/000162828024028786/exhibit971-c3aiincincenti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2025-06-23T15:19:29Z</dcterms:created>
  <dcterms:modified xsi:type="dcterms:W3CDTF">2025-06-23T15:19:29Z</dcterms:modified>
</cp:coreProperties>
</file>