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231F20"/>
          <w:sz w:val="22"/>
        </w:rPr>
      </w:pPr>
      <w:r>
        <w:rPr>
          <w:rFonts w:ascii="Times New Roman;serif" w:hAnsi="Times New Roman;serif"/>
          <w:b/>
          <w:color w:val="231F20"/>
          <w:sz w:val="22"/>
        </w:rPr>
        <w:t>CURRENT REPORT</w:t>
      </w:r>
    </w:p>
    <w:p>
      <w:pPr>
        <w:pStyle w:val="TextBody"/>
        <w:bidi w:val="0"/>
        <w:spacing w:lineRule="auto" w:line="288" w:before="0" w:after="0"/>
        <w:jc w:val="center"/>
        <w:rPr>
          <w:rFonts w:ascii="Times New Roman;serif" w:hAnsi="Times New Roman;serif"/>
          <w:b/>
          <w:color w:val="231F20"/>
          <w:sz w:val="22"/>
        </w:rPr>
      </w:pPr>
      <w:r>
        <w:rPr>
          <w:rFonts w:ascii="Times New Roman;serif" w:hAnsi="Times New Roman;serif"/>
          <w:b/>
          <w:color w:val="231F20"/>
          <w:sz w:val="22"/>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September 2, 2026</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 xml:space="preserve">C3.AI,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Delaware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1400 Seaport Blvd</w:t>
      </w:r>
    </w:p>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Redwood City, CA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001-39744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26-3999357</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p>
      <w:pPr>
        <w:pStyle w:val="TextBody"/>
        <w:bidi w:val="0"/>
        <w:spacing w:lineRule="auto" w:line="288" w:before="640" w:after="283"/>
        <w:jc w:val="center"/>
        <w:rPr>
          <w:rFonts w:ascii="Times New Roman;serif" w:hAnsi="Times New Roman;serif"/>
          <w:b/>
          <w:color w:val="000000"/>
          <w:sz w:val="22"/>
        </w:rPr>
      </w:pPr>
      <w:r>
        <w:rPr>
          <w:rFonts w:ascii="Times New Roman;serif" w:hAnsi="Times New Roman;serif"/>
          <w:b/>
          <w:color w:val="000000"/>
          <w:sz w:val="22"/>
        </w:rPr>
        <w:t>94063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(650) 503-2200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Not Applicable </w:t>
      </w:r>
    </w:p>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(Former Name or Former Address, if Changed Since Last Report)</w:t>
      </w:r>
    </w:p>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Check the appropriate box below if the Form 8-K filing is intended to simultaneously satisfy the filing obligation of the registrant under any of the following provisions (</w:t>
      </w:r>
      <w:r>
        <w:rPr>
          <w:rFonts w:ascii="Times New Roman;serif" w:hAnsi="Times New Roman;serif"/>
          <w:b w:val="false"/>
          <w:color w:val="000000"/>
          <w:sz w:val="22"/>
          <w:u w:val="single"/>
        </w:rPr>
        <w:t>see</w:t>
      </w:r>
      <w:r>
        <w:rPr>
          <w:color w:val="000000"/>
        </w:rPr>
        <w:t xml:space="preserve"> </w:t>
      </w:r>
      <w:r>
        <w:rPr>
          <w:rFonts w:ascii="Times New Roman;serif" w:hAnsi="Times New Roman;serif"/>
          <w:b w:val="false"/>
          <w:color w:val="000000"/>
          <w:sz w:val="22"/>
        </w:rPr>
        <w:t>General Instruction A.2. below):</w:t>
      </w:r>
    </w:p>
    <w:p>
      <w:pPr>
        <w:pStyle w:val="TextBody"/>
        <w:bidi w:val="0"/>
        <w:spacing w:lineRule="auto" w:line="288" w:before="0" w:after="0"/>
        <w:ind w:left="0" w:right="0" w:hanging="450"/>
        <w:jc w:val="both"/>
        <w:rPr>
          <w:color w:val="000000"/>
        </w:rPr>
      </w:pPr>
      <w:r>
        <w:rPr>
          <w:color w:val="000000"/>
        </w:rPr>
        <w:t>☐    </w:t>
      </w:r>
      <w:r>
        <w:rPr>
          <w:rFonts w:ascii="Times New Roman;serif" w:hAnsi="Times New Roman;serif"/>
          <w:b w:val="false"/>
          <w:color w:val="000000"/>
          <w:sz w:val="22"/>
        </w:rPr>
        <w:t>Written communications pursuant to Rule 425 under the Securities Act (17 CFR 230.425)</w:t>
      </w:r>
    </w:p>
    <w:p>
      <w:pPr>
        <w:pStyle w:val="TextBody"/>
        <w:bidi w:val="0"/>
        <w:spacing w:lineRule="auto" w:line="288" w:before="0" w:after="0"/>
        <w:ind w:left="0" w:right="0" w:hanging="450"/>
        <w:jc w:val="both"/>
        <w:rPr/>
      </w:pPr>
      <w:r>
        <w:rPr>
          <w:color w:val="000000"/>
        </w:rPr>
        <w:t>☐    </w:t>
      </w:r>
      <w:r>
        <w:rPr>
          <w:rFonts w:ascii="Times New Roman;serif" w:hAnsi="Times New Roman;serif"/>
          <w:b w:val="false"/>
          <w:color w:val="231F20"/>
          <w:sz w:val="22"/>
        </w:rPr>
        <w:t xml:space="preserve">Soliciting material pursuant to Rule 14a-12 under the Exchange Act (17 CFR 240.14a-12) </w:t>
      </w:r>
    </w:p>
    <w:p>
      <w:pPr>
        <w:pStyle w:val="TextBody"/>
        <w:bidi w:val="0"/>
        <w:spacing w:lineRule="auto" w:line="288" w:before="0" w:after="0"/>
        <w:ind w:left="0" w:right="0" w:hanging="450"/>
        <w:jc w:val="both"/>
        <w:rPr/>
      </w:pPr>
      <w:r>
        <w:rPr>
          <w:color w:val="000000"/>
        </w:rPr>
        <w:t>☐    </w:t>
      </w:r>
      <w:r>
        <w:rPr>
          <w:rFonts w:ascii="Times New Roman;serif" w:hAnsi="Times New Roman;serif"/>
          <w:b w:val="false"/>
          <w:color w:val="231F20"/>
          <w:sz w:val="22"/>
        </w:rPr>
        <w:t xml:space="preserve">Pre-commencement communications pursuant to Rule 14d-2(b) under the Exchange Act (17 CFR 240.14d-2(b)) </w:t>
      </w:r>
    </w:p>
    <w:p>
      <w:pPr>
        <w:pStyle w:val="TextBody"/>
        <w:bidi w:val="0"/>
        <w:spacing w:lineRule="auto" w:line="288" w:before="0" w:after="0"/>
        <w:ind w:left="0" w:right="0" w:hanging="450"/>
        <w:jc w:val="both"/>
        <w:rPr/>
      </w:pPr>
      <w:r>
        <w:rPr>
          <w:color w:val="000000"/>
        </w:rPr>
        <w:t>☐    </w:t>
      </w:r>
      <w:r>
        <w:rPr>
          <w:rFonts w:ascii="Times New Roman;serif" w:hAnsi="Times New Roman;serif"/>
          <w:b w:val="false"/>
          <w:color w:val="231F20"/>
          <w:sz w:val="22"/>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506"/>
        <w:gridCol w:w="1314"/>
        <w:gridCol w:w="1329"/>
        <w:gridCol w:w="109"/>
        <w:gridCol w:w="109"/>
        <w:gridCol w:w="109"/>
        <w:gridCol w:w="554"/>
        <w:gridCol w:w="554"/>
        <w:gridCol w:w="556"/>
        <w:gridCol w:w="109"/>
        <w:gridCol w:w="109"/>
        <w:gridCol w:w="109"/>
        <w:gridCol w:w="1091"/>
        <w:gridCol w:w="1091"/>
        <w:gridCol w:w="1556"/>
      </w:tblGrid>
      <w:tr>
        <w:trPr/>
        <w:tc>
          <w:tcPr>
            <w:tcW w:w="150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r>
      <w:tr>
        <w:trPr/>
        <w:tc>
          <w:tcPr>
            <w:tcW w:w="4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2"/>
        </w:rPr>
        <w:t xml:space="preserve">Emerging growth company </w:t>
      </w:r>
      <w:r>
        <w:rPr>
          <w:color w:val="000000"/>
        </w:rPr>
        <w: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2.02    Results of Operations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On September 2, 2026, C3.ai, Inc.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issued a press release announcing its financial results for the fiscal first quarter ended July 31, 2026. A copy of the press release is attached hereto as Exhibit 99.1 and is incorporated herein by reference.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The information contained in this Item 2.02 and Item 9.01 in this Current Report on Form 8-K, including the accompanying Exhibit 99.1 hereto, shall not be deemed “filed” for purposes of Section 18 of the Securities Exchange Act of 1934, as amended (the “</w:t>
      </w:r>
      <w:r>
        <w:rPr>
          <w:rFonts w:ascii="Times New Roman;serif" w:hAnsi="Times New Roman;serif"/>
          <w:b/>
          <w:i/>
          <w:color w:val="000000"/>
          <w:sz w:val="24"/>
        </w:rPr>
        <w:t>Exchange Act</w:t>
      </w:r>
      <w:r>
        <w:rPr>
          <w:color w:val="000000"/>
        </w:rPr>
        <w:t>”</w:t>
      </w:r>
      <w:r>
        <w:rPr>
          <w:rFonts w:ascii="Times New Roman;serif" w:hAnsi="Times New Roman;serif"/>
          <w:b w:val="false"/>
          <w:color w:val="000000"/>
          <w:sz w:val="24"/>
        </w:rPr>
        <w:t>), or otherwise subject to the liabilities of that section, nor shall it be deemed incorporated by reference in any filing made by the Company under the Securities Act of 1933, as amended, or the Exchange Act, regardless of any general incorporation language in such filings, unless expressly incorporated by specific reference in such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9.01 Financial Statements and Exhibits.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 Exhibits.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14"/>
        <w:gridCol w:w="363"/>
        <w:gridCol w:w="364"/>
        <w:gridCol w:w="109"/>
        <w:gridCol w:w="109"/>
        <w:gridCol w:w="109"/>
        <w:gridCol w:w="2559"/>
        <w:gridCol w:w="2559"/>
        <w:gridCol w:w="3619"/>
      </w:tblGrid>
      <w:tr>
        <w:trPr/>
        <w:tc>
          <w:tcPr>
            <w:tcW w:w="41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c>
          <w:tcPr>
            <w:tcW w:w="3619"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Description</w:t>
            </w:r>
          </w:p>
        </w:tc>
      </w:tr>
      <w:tr>
        <w:trPr/>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hyperlink w:anchor="ex991-fy27xq1earnings.htm">
              <w:r>
                <w:rPr>
                  <w:rStyle w:val="InternetLink"/>
                  <w:rFonts w:ascii="Times New Roman;serif" w:hAnsi="Times New Roman;serif"/>
                  <w:b w:val="false"/>
                  <w:color w:val="0000FF"/>
                  <w:sz w:val="24"/>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x991-fy27xq1earnings.htm">
              <w:r>
                <w:rPr>
                  <w:rStyle w:val="InternetLink"/>
                  <w:rFonts w:ascii="Times New Roman;serif" w:hAnsi="Times New Roman;serif"/>
                  <w:b w:val="false"/>
                  <w:color w:val="0000FF"/>
                  <w:sz w:val="24"/>
                  <w:u w:val="single"/>
                </w:rPr>
                <w:t>Press Release dated September 2, 2026</w:t>
              </w:r>
            </w:hyperlink>
          </w:p>
        </w:tc>
      </w:tr>
      <w:tr>
        <w:trPr/>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Cover Page Interactive Data File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tbl>
      <w:tblPr>
        <w:tblW w:w="9455" w:type="dxa"/>
        <w:jc w:val="left"/>
        <w:tblInd w:w="0" w:type="dxa"/>
        <w:tblLayout w:type="fixed"/>
        <w:tblCellMar>
          <w:top w:w="28" w:type="dxa"/>
          <w:left w:w="28" w:type="dxa"/>
          <w:bottom w:w="28" w:type="dxa"/>
          <w:right w:w="28" w:type="dxa"/>
        </w:tblCellMar>
      </w:tblPr>
      <w:tblGrid>
        <w:gridCol w:w="940"/>
        <w:gridCol w:w="826"/>
        <w:gridCol w:w="829"/>
        <w:gridCol w:w="187"/>
        <w:gridCol w:w="187"/>
        <w:gridCol w:w="187"/>
        <w:gridCol w:w="1840"/>
        <w:gridCol w:w="1840"/>
        <w:gridCol w:w="2619"/>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C3.ai, Inc.</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Dated: September 2, 2026</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2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 Thomas M. Siebel</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Thomas M. Siebel</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Chief Executive Officer and Chairman of the Board of Directors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2"/>
        </w:rPr>
      </w:pPr>
      <w:r>
        <w:rPr>
          <w:rFonts w:ascii="Times New Roman;serif" w:hAnsi="Times New Roman;serif"/>
          <w:b/>
          <w:color w:val="000000"/>
          <w:sz w:val="22"/>
        </w:rPr>
        <w:t>C3 AI Announces Fiscal First Quarter 2027 Results</w:t>
      </w:r>
    </w:p>
    <w:p>
      <w:pPr>
        <w:pStyle w:val="TextBody"/>
        <w:bidi w:val="0"/>
        <w:spacing w:lineRule="auto" w:line="288" w:before="180" w:after="180"/>
        <w:jc w:val="center"/>
        <w:rPr>
          <w:rFonts w:ascii="Times New Roman;serif" w:hAnsi="Times New Roman;serif"/>
          <w:b/>
          <w:i/>
          <w:color w:val="000000"/>
          <w:sz w:val="20"/>
        </w:rPr>
      </w:pPr>
      <w:r>
        <w:rPr>
          <w:rFonts w:ascii="Times New Roman;serif" w:hAnsi="Times New Roman;serif"/>
          <w:b/>
          <w:i/>
          <w:color w:val="000000"/>
          <w:sz w:val="20"/>
        </w:rPr>
        <w:t>Turnaround on track</w:t>
      </w:r>
    </w:p>
    <w:p>
      <w:pPr>
        <w:pStyle w:val="TextBody"/>
        <w:bidi w:val="0"/>
        <w:spacing w:lineRule="auto" w:line="288" w:before="180" w:after="180"/>
        <w:jc w:val="center"/>
        <w:rPr>
          <w:rFonts w:ascii="Times New Roman;serif" w:hAnsi="Times New Roman;serif"/>
          <w:b/>
          <w:i/>
          <w:color w:val="000000"/>
          <w:sz w:val="20"/>
        </w:rPr>
      </w:pPr>
      <w:r>
        <w:rPr>
          <w:rFonts w:ascii="Times New Roman;serif" w:hAnsi="Times New Roman;serif"/>
          <w:b/>
          <w:i/>
          <w:color w:val="000000"/>
          <w:sz w:val="20"/>
        </w:rPr>
        <w:t>Bookings increase 73% quarter over quarter</w:t>
      </w:r>
    </w:p>
    <w:p>
      <w:pPr>
        <w:pStyle w:val="TextBody"/>
        <w:bidi w:val="0"/>
        <w:spacing w:before="0" w:after="0"/>
        <w:jc w:val="left"/>
        <w:rPr/>
      </w:pPr>
      <w:r>
        <w:rPr/>
      </w:r>
    </w:p>
    <w:p>
      <w:pPr>
        <w:pStyle w:val="TextBody"/>
        <w:bidi w:val="0"/>
        <w:spacing w:lineRule="auto" w:line="288" w:before="180" w:after="240"/>
        <w:jc w:val="both"/>
        <w:rPr/>
      </w:pPr>
      <w:r>
        <w:rPr>
          <w:rFonts w:ascii="Times New Roman;serif" w:hAnsi="Times New Roman;serif"/>
          <w:b w:val="false"/>
          <w:color w:val="000000"/>
          <w:sz w:val="20"/>
        </w:rPr>
        <w:t>REDWOOD CITY, Calif</w:t>
      </w:r>
      <w:r>
        <w:rPr>
          <w:rFonts w:ascii="Times New Roman;serif" w:hAnsi="Times New Roman;serif"/>
          <w:b w:val="false"/>
          <w:color w:val="000000"/>
          <w:sz w:val="18"/>
        </w:rPr>
        <w:t xml:space="preserve">. — </w:t>
      </w:r>
      <w:r>
        <w:rPr>
          <w:rFonts w:ascii="Times New Roman;serif" w:hAnsi="Times New Roman;serif"/>
          <w:b w:val="false"/>
          <w:color w:val="000000"/>
          <w:sz w:val="20"/>
        </w:rPr>
        <w:t>September 2, 2026 — C3.ai, Inc. (“C3 AI,” “C3,” or the “Company”) (NYSE: AI), the Enterprise AI application software company, today announced financial results for its fiscal first quarter ended July 31, 2026.</w:t>
      </w:r>
    </w:p>
    <w:p>
      <w:pPr>
        <w:pStyle w:val="TextBody"/>
        <w:bidi w:val="0"/>
        <w:spacing w:lineRule="auto" w:line="288" w:before="240" w:after="240"/>
        <w:jc w:val="both"/>
        <w:rPr>
          <w:color w:val="000000"/>
        </w:rPr>
      </w:pPr>
      <w:r>
        <w:rPr>
          <w:color w:val="000000"/>
        </w:rPr>
        <w:t>“</w:t>
      </w:r>
      <w:r>
        <w:rPr>
          <w:rFonts w:ascii="Times New Roman;serif" w:hAnsi="Times New Roman;serif"/>
          <w:b w:val="false"/>
          <w:color w:val="000000"/>
          <w:sz w:val="20"/>
        </w:rPr>
        <w:t xml:space="preserve">Revenue was $52.4 million, on plan. Free cash flow was positive $2.1 million. Non-GAAP operating loss was $36.2 million, a 33% improvement QoQ. Bookings increased 73% QoQ. Cash balance was $651.1 million, up $76 million QoQ. The Company has done exactly what a disciplined, focused turnaround should do. We restructured Sales. We aligned cash outflows with cash inflows. We instituted rigorous expense control. We installed experienced leadership across the board, and we implemented rigorous management discipline across every line of business. </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Revenue has stabilized, free cash flow is positive, operating loss has narrowed, and Forrester Research named C3 AI a leader in Enterprise AI. The plan is working, we are on track with laser-like management discipline to grow revenue, generate cash, attain non-GAAP profitability, maintain technology leadership, and increase customer satisfaction,” said Thomas M. Siebel, Chairman and Chief Executive Officer, C3 AI.</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The Company closed 22 agreements including with Heidelberg Materials, Ford Motor Company, Johnson &amp; Johnson, Holcim, Seaspan, the U.S. Department of Agriculture, the Defense Logistics Agency, the U.S. Department of War and the U.S. Marine Corps, among others.</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Fiscal First Quarter 2027 Financial Highlights:</w:t>
      </w:r>
    </w:p>
    <w:p>
      <w:pPr>
        <w:pStyle w:val="TextBody"/>
        <w:bidi w:val="0"/>
        <w:spacing w:lineRule="auto" w:line="288" w:before="240" w:after="240"/>
        <w:ind w:left="0" w:right="0" w:hanging="360"/>
        <w:jc w:val="both"/>
        <w:rPr/>
      </w:pPr>
      <w:r>
        <w:rPr>
          <w:color w:val="000000"/>
        </w:rPr>
        <w:t>•</w:t>
      </w:r>
      <w:r>
        <w:rPr>
          <w:rFonts w:ascii="Times New Roman;serif" w:hAnsi="Times New Roman;serif"/>
          <w:b/>
          <w:color w:val="000000"/>
          <w:sz w:val="20"/>
        </w:rPr>
        <w:t xml:space="preserve">Total Revenue </w:t>
      </w:r>
      <w:r>
        <w:rPr>
          <w:rFonts w:ascii="Times New Roman;serif" w:hAnsi="Times New Roman;serif"/>
          <w:b w:val="false"/>
          <w:color w:val="000000"/>
          <w:sz w:val="20"/>
        </w:rPr>
        <w:t>was $52.4 million.</w:t>
      </w:r>
    </w:p>
    <w:p>
      <w:pPr>
        <w:pStyle w:val="TextBody"/>
        <w:bidi w:val="0"/>
        <w:spacing w:lineRule="auto" w:line="288" w:before="240" w:after="240"/>
        <w:ind w:left="0" w:right="0" w:hanging="360"/>
        <w:jc w:val="both"/>
        <w:rPr/>
      </w:pPr>
      <w:r>
        <w:rPr>
          <w:color w:val="000000"/>
        </w:rPr>
        <w:t>•</w:t>
      </w:r>
      <w:r>
        <w:rPr>
          <w:rFonts w:ascii="Times New Roman;serif" w:hAnsi="Times New Roman;serif"/>
          <w:b/>
          <w:color w:val="000000"/>
          <w:sz w:val="20"/>
        </w:rPr>
        <w:t xml:space="preserve">Subscription Revenue </w:t>
      </w:r>
      <w:r>
        <w:rPr>
          <w:rFonts w:ascii="Times New Roman;serif" w:hAnsi="Times New Roman;serif"/>
          <w:b w:val="false"/>
          <w:color w:val="000000"/>
          <w:sz w:val="20"/>
        </w:rPr>
        <w:t>was $49.2 million. Subscription revenue constituted 94% of total revenue.</w:t>
      </w:r>
    </w:p>
    <w:p>
      <w:pPr>
        <w:pStyle w:val="TextBody"/>
        <w:bidi w:val="0"/>
        <w:spacing w:lineRule="auto" w:line="288" w:before="240" w:after="240"/>
        <w:ind w:left="0" w:right="0" w:hanging="360"/>
        <w:jc w:val="both"/>
        <w:rPr/>
      </w:pPr>
      <w:r>
        <w:rPr>
          <w:color w:val="000000"/>
        </w:rPr>
        <w:t>•</w:t>
      </w:r>
      <w:r>
        <w:rPr>
          <w:rFonts w:ascii="Times New Roman;serif" w:hAnsi="Times New Roman;serif"/>
          <w:b/>
          <w:color w:val="000000"/>
          <w:sz w:val="20"/>
        </w:rPr>
        <w:t xml:space="preserve">GAAP gross profit </w:t>
      </w:r>
      <w:r>
        <w:rPr>
          <w:rFonts w:ascii="Times New Roman;serif" w:hAnsi="Times New Roman;serif"/>
          <w:b w:val="false"/>
          <w:color w:val="000000"/>
          <w:sz w:val="20"/>
        </w:rPr>
        <w:t>was $16.7 million, representing a 32% gross margin. Non-GAAP gross profit was $26.1 million, representing a 50% non-GAAP gross margin.</w:t>
      </w:r>
    </w:p>
    <w:p>
      <w:pPr>
        <w:pStyle w:val="TextBody"/>
        <w:bidi w:val="0"/>
        <w:spacing w:lineRule="auto" w:line="288" w:before="240" w:after="240"/>
        <w:ind w:left="0" w:right="0" w:hanging="360"/>
        <w:jc w:val="both"/>
        <w:rPr/>
      </w:pPr>
      <w:r>
        <w:rPr>
          <w:color w:val="000000"/>
        </w:rPr>
        <w:t>•</w:t>
      </w:r>
      <w:r>
        <w:rPr>
          <w:rFonts w:ascii="Times New Roman;serif" w:hAnsi="Times New Roman;serif"/>
          <w:b/>
          <w:color w:val="000000"/>
          <w:sz w:val="20"/>
        </w:rPr>
        <w:t>GAAP net loss per share</w:t>
      </w:r>
      <w:r>
        <w:rPr>
          <w:color w:val="000000"/>
        </w:rPr>
        <w:t xml:space="preserve"> </w:t>
      </w:r>
      <w:r>
        <w:rPr>
          <w:rFonts w:ascii="Times New Roman;serif" w:hAnsi="Times New Roman;serif"/>
          <w:b w:val="false"/>
          <w:color w:val="000000"/>
          <w:sz w:val="20"/>
        </w:rPr>
        <w:t xml:space="preserve">was $(0.60). Non-GAAP net loss per share was </w:t>
      </w:r>
      <w:r>
        <w:rPr>
          <w:rFonts w:ascii="Times New Roman;serif" w:hAnsi="Times New Roman;serif"/>
          <w:b w:val="false"/>
          <w:color w:val="000000"/>
          <w:sz w:val="18"/>
        </w:rPr>
        <w:t>$(0.20)</w:t>
      </w:r>
      <w:r>
        <w:rPr>
          <w:rFonts w:ascii="Times New Roman;serif" w:hAnsi="Times New Roman;serif"/>
          <w:b w:val="false"/>
          <w:color w:val="000000"/>
          <w:sz w:val="20"/>
        </w:rPr>
        <w:t>.</w:t>
      </w:r>
    </w:p>
    <w:p>
      <w:pPr>
        <w:pStyle w:val="TextBody"/>
        <w:bidi w:val="0"/>
        <w:spacing w:lineRule="auto" w:line="288" w:before="240" w:after="240"/>
        <w:ind w:left="0" w:right="0" w:hanging="360"/>
        <w:jc w:val="both"/>
        <w:rPr/>
      </w:pPr>
      <w:r>
        <w:rPr>
          <w:color w:val="000000"/>
        </w:rPr>
        <w:t>•</w:t>
      </w:r>
      <w:r>
        <w:rPr>
          <w:rFonts w:ascii="Times New Roman;serif" w:hAnsi="Times New Roman;serif"/>
          <w:b/>
          <w:color w:val="000000"/>
          <w:sz w:val="20"/>
        </w:rPr>
        <w:t>Net cash provided by operating activities</w:t>
      </w:r>
      <w:r>
        <w:rPr>
          <w:color w:val="000000"/>
        </w:rPr>
        <w:t xml:space="preserve"> </w:t>
      </w:r>
      <w:r>
        <w:rPr>
          <w:rFonts w:ascii="Times New Roman;serif" w:hAnsi="Times New Roman;serif"/>
          <w:b w:val="false"/>
          <w:color w:val="000000"/>
          <w:sz w:val="20"/>
        </w:rPr>
        <w:t xml:space="preserve">was $2.1 million. </w:t>
      </w:r>
      <w:r>
        <w:rPr>
          <w:rFonts w:ascii="Times New Roman;serif" w:hAnsi="Times New Roman;serif"/>
          <w:b/>
          <w:color w:val="000000"/>
          <w:sz w:val="20"/>
        </w:rPr>
        <w:t>Free Cash Flow</w:t>
      </w:r>
      <w:r>
        <w:rPr>
          <w:color w:val="000000"/>
        </w:rPr>
        <w:t xml:space="preserve"> </w:t>
      </w:r>
      <w:r>
        <w:rPr>
          <w:rFonts w:ascii="Times New Roman;serif" w:hAnsi="Times New Roman;serif"/>
          <w:b w:val="false"/>
          <w:color w:val="000000"/>
          <w:sz w:val="20"/>
        </w:rPr>
        <w:t>was $2.1 million.</w:t>
      </w:r>
    </w:p>
    <w:p>
      <w:pPr>
        <w:pStyle w:val="TextBody"/>
        <w:bidi w:val="0"/>
        <w:spacing w:lineRule="auto" w:line="288" w:before="240" w:after="240"/>
        <w:ind w:left="0" w:right="0" w:hanging="360"/>
        <w:jc w:val="both"/>
        <w:rPr/>
      </w:pPr>
      <w:r>
        <w:rPr>
          <w:color w:val="000000"/>
        </w:rPr>
        <w:t>•</w:t>
      </w:r>
      <w:r>
        <w:rPr>
          <w:rFonts w:ascii="Times New Roman;serif" w:hAnsi="Times New Roman;serif"/>
          <w:b/>
          <w:color w:val="000000"/>
          <w:sz w:val="20"/>
        </w:rPr>
        <w:t xml:space="preserve">Cash, cash equivalents, and marketable securities </w:t>
      </w:r>
      <w:r>
        <w:rPr>
          <w:rFonts w:ascii="Times New Roman;serif" w:hAnsi="Times New Roman;serif"/>
          <w:b w:val="false"/>
          <w:color w:val="000000"/>
          <w:sz w:val="20"/>
        </w:rPr>
        <w:t>was $651.1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Financial Outlook: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guidance includes GAAP and non-GAAP financial measures.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C3 AI’s guidance for the second quarter of fiscal 2027 and full-year fiscal 2027:</w:t>
      </w:r>
    </w:p>
    <w:p>
      <w:pPr>
        <w:pStyle w:val="TextBody"/>
        <w:bidi w:val="0"/>
        <w:spacing w:before="0" w:after="0"/>
        <w:jc w:val="both"/>
        <w:rPr/>
      </w:pPr>
      <w:r>
        <w:rPr/>
      </w:r>
    </w:p>
    <w:tbl>
      <w:tblPr>
        <w:tblW w:w="7781" w:type="dxa"/>
        <w:jc w:val="left"/>
        <w:tblInd w:w="0" w:type="dxa"/>
        <w:tblLayout w:type="fixed"/>
        <w:tblCellMar>
          <w:top w:w="28" w:type="dxa"/>
          <w:left w:w="28" w:type="dxa"/>
          <w:bottom w:w="28" w:type="dxa"/>
          <w:right w:w="28" w:type="dxa"/>
        </w:tblCellMar>
      </w:tblPr>
      <w:tblGrid>
        <w:gridCol w:w="983"/>
        <w:gridCol w:w="863"/>
        <w:gridCol w:w="868"/>
        <w:gridCol w:w="734"/>
        <w:gridCol w:w="734"/>
        <w:gridCol w:w="737"/>
        <w:gridCol w:w="109"/>
        <w:gridCol w:w="109"/>
        <w:gridCol w:w="109"/>
        <w:gridCol w:w="741"/>
        <w:gridCol w:w="741"/>
        <w:gridCol w:w="1053"/>
      </w:tblGrid>
      <w:tr>
        <w:trPr/>
        <w:tc>
          <w:tcPr>
            <w:tcW w:w="98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Second Quarter Fiscal 2027</w:t>
            </w:r>
          </w:p>
          <w:p>
            <w:pPr>
              <w:pStyle w:val="TableContents"/>
              <w:bidi w:val="0"/>
              <w:spacing w:lineRule="auto" w:line="288" w:before="0" w:after="100"/>
              <w:jc w:val="center"/>
              <w:rPr>
                <w:rFonts w:ascii="Times New Roman;serif" w:hAnsi="Times New Roman;serif"/>
                <w:b/>
                <w:color w:val="000000"/>
                <w:sz w:val="18"/>
              </w:rPr>
            </w:pPr>
            <w:r>
              <w:rPr>
                <w:rFonts w:ascii="Times New Roman;serif" w:hAnsi="Times New Roman;serif"/>
                <w:b/>
                <w:color w:val="000000"/>
                <w:sz w:val="18"/>
              </w:rPr>
              <w:t>Guidance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Full Year Fiscal 2027 Guidance</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$51.0 - $55.0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$210.0 - $240.0</w:t>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Non-GAAP loss from operations</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 - $(42.5)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$(123.0) - $(155.0)</w:t>
            </w:r>
          </w:p>
        </w:tc>
      </w:tr>
    </w:tbl>
    <w:p>
      <w:pPr>
        <w:pStyle w:val="TextBody"/>
        <w:bidi w:val="0"/>
        <w:spacing w:before="0" w:after="0"/>
        <w:jc w:val="left"/>
        <w:rPr/>
      </w:pPr>
      <w:r>
        <w:rPr/>
      </w:r>
    </w:p>
    <w:p>
      <w:pPr>
        <w:pStyle w:val="TextBody"/>
        <w:bidi w:val="0"/>
        <w:spacing w:lineRule="auto" w:line="300" w:before="0" w:after="0"/>
        <w:jc w:val="both"/>
        <w:rPr>
          <w:rFonts w:ascii="Times New Roman;serif" w:hAnsi="Times New Roman;serif"/>
          <w:b w:val="false"/>
          <w:color w:val="000000"/>
          <w:sz w:val="20"/>
        </w:rPr>
      </w:pPr>
      <w:r>
        <w:rPr>
          <w:rFonts w:ascii="Times New Roman;serif" w:hAnsi="Times New Roman;serif"/>
          <w:b w:val="false"/>
          <w:color w:val="000000"/>
          <w:sz w:val="20"/>
        </w:rPr>
        <w:t>A reconciliation of non-GAAP guidance measures to corresponding GAAP measures is not available on a forward-looking basis without unreasonable effort due to the uncertainty regarding, and the potential variability of, expenses that may be incurred in the future. Stock-based compensation expense-related charges, including employer payroll tax-related items on employee stock transactions, are impacted by the timing of employee stock transactions, the future fair market value of our common stock, and our future hiring and retention needs, all of which are difficult to predict and subject to constant change. We have provided a reconciliation of GAAP to non-GAAP financial measures in the financial statement tables for our historical non-GAAP results included in this press release. Our fiscal year ends April 30, and numbers are rounded for presentation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Conference Call Details </w:t>
      </w:r>
    </w:p>
    <w:p>
      <w:pPr>
        <w:pStyle w:val="TextBody"/>
        <w:bidi w:val="0"/>
        <w:spacing w:before="0" w:after="0"/>
        <w:jc w:val="left"/>
        <w:rPr/>
      </w:pPr>
      <w:r>
        <w:rPr/>
      </w:r>
    </w:p>
    <w:tbl>
      <w:tblPr>
        <w:tblW w:w="9959" w:type="dxa"/>
        <w:jc w:val="left"/>
        <w:tblInd w:w="0" w:type="dxa"/>
        <w:tblLayout w:type="fixed"/>
        <w:tblCellMar>
          <w:top w:w="28" w:type="dxa"/>
          <w:left w:w="28" w:type="dxa"/>
          <w:bottom w:w="28" w:type="dxa"/>
          <w:right w:w="28" w:type="dxa"/>
        </w:tblCellMar>
      </w:tblPr>
      <w:tblGrid>
        <w:gridCol w:w="779"/>
        <w:gridCol w:w="689"/>
        <w:gridCol w:w="646"/>
        <w:gridCol w:w="3199"/>
        <w:gridCol w:w="1922"/>
        <w:gridCol w:w="2724"/>
      </w:tblGrid>
      <w:tr>
        <w:trPr/>
        <w:tc>
          <w:tcPr>
            <w:tcW w:w="77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99"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272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What:</w:t>
            </w:r>
          </w:p>
        </w:tc>
        <w:tc>
          <w:tcPr>
            <w:tcW w:w="7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C3 AI Fiscal First Quarter Earnings Call</w:t>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When:</w:t>
            </w:r>
          </w:p>
        </w:tc>
        <w:tc>
          <w:tcPr>
            <w:tcW w:w="7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Wednesday, September 2, 2026</w:t>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Time:</w:t>
            </w:r>
          </w:p>
        </w:tc>
        <w:tc>
          <w:tcPr>
            <w:tcW w:w="7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2:00 p.m. PT / 5:00 p.m. ET</w:t>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Participant Registration:</w:t>
            </w:r>
          </w:p>
        </w:tc>
        <w:tc>
          <w:tcPr>
            <w:tcW w:w="7845"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E32E1"/>
                <w:sz w:val="20"/>
                <w:u w:val="single"/>
              </w:rPr>
              <w:t>https://register-conf.media-server.com/register/BI959e755eb0fa492089431eec477ad911</w:t>
            </w:r>
            <w:r>
              <w:rPr>
                <w:color w:val="3051F2"/>
              </w:rPr>
              <w:t xml:space="preserve"> </w:t>
            </w:r>
            <w:r>
              <w:rPr>
                <w:rFonts w:ascii="Times New Roman;serif" w:hAnsi="Times New Roman;serif"/>
                <w:b w:val="false"/>
                <w:color w:val="000000"/>
                <w:sz w:val="20"/>
              </w:rPr>
              <w:t>(live)</w:t>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Webcast:</w:t>
            </w:r>
          </w:p>
        </w:tc>
        <w:tc>
          <w:tcPr>
            <w:tcW w:w="784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E32E1"/>
                <w:sz w:val="20"/>
                <w:u w:val="single"/>
              </w:rPr>
              <w:t>https://edge.media-server.com/mmc/p/5jt6k675/</w:t>
            </w:r>
            <w:r>
              <w:rPr>
                <w:color w:val="3051F2"/>
              </w:rPr>
              <w:t xml:space="preserve"> </w:t>
            </w:r>
            <w:r>
              <w:rPr>
                <w:rFonts w:ascii="Times New Roman;serif" w:hAnsi="Times New Roman;serif"/>
                <w:b w:val="false"/>
                <w:color w:val="000000"/>
                <w:sz w:val="20"/>
              </w:rPr>
              <w:t>(live and replay)</w:t>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7845"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784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Statement Regarding Use of Non-GAAP Financial Measures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reports the following non-GAAP financial measures, which have not been prepared in accordance with generally accepted accounting principles in the United States (“GAAP”), in addition to, and not as a substitute for, or superior to, financial measures calculated in accordance with GAAP.</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Non-GAAP gross profit, non-GAAP gross margin, non-GAAP loss from operations, non-GAAP net loss, non-GAAP net loss per share and non-GAAP expenses.</w:t>
      </w:r>
      <w:r>
        <w:rPr>
          <w:color w:val="000000"/>
        </w:rPr>
        <w:t xml:space="preserve"> </w:t>
      </w:r>
      <w:r>
        <w:rPr>
          <w:rFonts w:ascii="Times New Roman;serif" w:hAnsi="Times New Roman;serif"/>
          <w:b w:val="false"/>
          <w:color w:val="000000"/>
          <w:sz w:val="20"/>
        </w:rPr>
        <w:t>Our non-GAAP gross profit, non-GAAP gross margin, non-GAAP loss from operations, non-GAAP net loss, non-GAAP net loss per share and non-GAAP expenses excludes the effect of restructuring expenses, stock-based compensation expense-related charges and employer payroll tax expense related to employee stock-based compensation. We believe the presentation of operating results that exclude these items provides useful supplemental information to investors and facilitates the analysis of our operating results and comparison of operating results across reporting periods.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Free cash flow</w:t>
      </w:r>
      <w:r>
        <w:rPr>
          <w:rFonts w:ascii="Times New Roman;serif" w:hAnsi="Times New Roman;serif"/>
          <w:b w:val="false"/>
          <w:color w:val="000000"/>
          <w:sz w:val="20"/>
        </w:rPr>
        <w:t>. We believe free cash flow, a non-GAAP financial measure, is useful in evaluating liquidity and provides information to management and investors about our ability to fund future operating needs and strategic initiatives. We calculate free cash flow as net cash provided by (used in) operating activities less purchases of property and equipment and capitalized software development costs. This non-GAAP financial measure may be different than similarly titled measures used by other companies. Additionally, the utility of free cash flow is further limited as it does not represent the total increase or decrease in our cash balances for a given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use these non-GAAP financial measures internally for financial and operational decision-making purposes and as a means to evaluate period-to-period comparisons. Non-GAAP financial measures are not meant to be considered in isolation or as a substitute for comparable GAAP financial measures and should be read only in conjunction with our condensed consolidated financial statements prepared in accordance with GAAP. Our presentation of non-GAAP financial measures may not be comparable to similar measures used by other companies. We encourage investors to carefully consider our results under GAAP, as well as our supplemental non-GAAP information and the reconciliation between these presentations, to more fully understand our business. Please see the tables included at the end of this release and in our press release dated June 3, 2026 for the reconciliation of GAAP to non-GAAP financial measures.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Professional Services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professional services revenue includes service fees and prioritized engineering services. Service fees include revenue from services such as consulting, training, and paid implementation services.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Prioritized engineering services are undertaken when a customer requests that we accelerate the design, development, and delivery of software features and functions that are planned in our future product roadmap. When we agree to this, we negotiate an agreed upon fee to accelerate the development of the software. When the software feature is delivered, it becomes integrated to our core product offering, is available to all subscribers of the underlying software product, and enhances the operation of that product going forward. Such prioritized engineering services result in production-level computer software – compiled code that enhances the functionality of our production products – which is available for our customers to use over the life of their software licenses. Per Accounting Standards Codification (ASC) 606, Prioritized engineering services revenue is recognized as professional services over the period in which the software development is completed.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Total professional services revenue consists of:</w:t>
      </w:r>
    </w:p>
    <w:p>
      <w:pPr>
        <w:pStyle w:val="TextBody"/>
        <w:bidi w:val="0"/>
        <w:spacing w:before="0" w:after="0"/>
        <w:jc w:val="both"/>
        <w:rPr/>
      </w:pPr>
      <w:r>
        <w:rPr/>
      </w:r>
    </w:p>
    <w:tbl>
      <w:tblPr>
        <w:tblW w:w="5680" w:type="dxa"/>
        <w:jc w:val="left"/>
        <w:tblInd w:w="0" w:type="dxa"/>
        <w:tblLayout w:type="fixed"/>
        <w:tblCellMar>
          <w:top w:w="28" w:type="dxa"/>
          <w:left w:w="28" w:type="dxa"/>
          <w:bottom w:w="28" w:type="dxa"/>
          <w:right w:w="28" w:type="dxa"/>
        </w:tblCellMar>
      </w:tblPr>
      <w:tblGrid>
        <w:gridCol w:w="1075"/>
        <w:gridCol w:w="946"/>
        <w:gridCol w:w="948"/>
        <w:gridCol w:w="214"/>
        <w:gridCol w:w="626"/>
        <w:gridCol w:w="110"/>
        <w:gridCol w:w="110"/>
        <w:gridCol w:w="110"/>
        <w:gridCol w:w="110"/>
        <w:gridCol w:w="214"/>
        <w:gridCol w:w="626"/>
        <w:gridCol w:w="110"/>
        <w:gridCol w:w="109"/>
        <w:gridCol w:w="109"/>
        <w:gridCol w:w="109"/>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Prioritized engineering services</w:t>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8,663 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fees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professional services revenue</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3,206 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Use of Forward-Looking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within the meaning of the Private Securities Litigation Reform Act of 1995. The words “anticipate,” “believe,” “continue,” “estimate,” “expect,” “intend,” “may,” “on track,” “positioned,” “will” and similar expressions are intended to identify forward-looking statements, although not all forward-looking statements contain these words. Forward-looking statements in this press release include, but are not limited to, statements regarding our restructuring plan and the reorganization of our sales, services, and products organizations, our market leadership position, anticipated benefits from our partnerships, our financial outlook for the second quarter of fiscal 2027 and full 2027 fiscal year, our ability to successfully implement a turnaround in our business, our ability to grow revenue, generate cash, attain Non-GAAP profitability, maintain technology leadership, and increase customer satisfaction, our sales and customer opportunity pipeline, including continued growth in the Federal market, the expected benefits of our offerings, and our business strategies, plans, and objectives for future operations.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and uncertainties, including our history of losses and ability to achieve and maintain profitability in the future, our historic dependence on a limited number of existing customers that account for a substantial portion of our revenue, our ability to attract new customers and retain existing customers, the ability of our restructured global sales and services organization to achieve desired productivity levels in a reasonable period of time, the impact of return of Tom Siebel as our Chief Executive Officer, and our ability to retain key members of our senior management, market awareness and acceptance of enterprise AI solutions in general and our products in particular, the length and unpredictability of our sales cycles and the time and expense required for our sales efforts. Some of these risks are described in greater detail in our filings with the Securities and Exchange Commission, including our Annual Report on Form 10-K for the fiscal year ended April 30, 2026, and other filings and reports we make with the Securities and Exchange Commission from time to time, including our Quarterly Report on Form 10-Q that will be filed for the fiscal quarter ended July 31, 2026, although new and unanticipated risks may arise. The future events and trends discussed in this press release may not occur and actual results could differ materially and adversely from those anticipated or implied in the forward-looking statements. Although we believe that the expectations reflected in the forward-looking statements are reasonable, we cannot guarantee future results, levels of activity, performance, achievements, or events and circumstances reflected in the forward-looking statements will occur. Except to the extent required by law, we do not undertake to update any of these forward-looking statements after the date of this press release to conform these statements to actual results or revised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About C3.ai,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C3.ai, Inc. (NYSE:AI) is the Enterprise AI application software company. C3 AI delivers a family of fully integrated products including the C3 Agentic AI Platform, an end-to-end platform for developing, deploying, and operating enterprise AI applications, C3 AI applications, a portfolio of industry-specific SaaS enterprise AI applications that enable the digital transformation of organizations globally, and C3 Generative AI, a suite of domain-specific generative AI offerings for the enterprise.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Investor 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ir@c3.ai</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C3 AI Public Relations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Axicom</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Mindy Nelson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830-214-4823</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pr@c3.ai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C3.AI,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690"/>
        <w:gridCol w:w="2202"/>
        <w:gridCol w:w="2218"/>
        <w:gridCol w:w="211"/>
        <w:gridCol w:w="770"/>
        <w:gridCol w:w="109"/>
        <w:gridCol w:w="109"/>
        <w:gridCol w:w="109"/>
        <w:gridCol w:w="109"/>
        <w:gridCol w:w="211"/>
        <w:gridCol w:w="875"/>
        <w:gridCol w:w="109"/>
        <w:gridCol w:w="109"/>
        <w:gridCol w:w="109"/>
        <w:gridCol w:w="109"/>
        <w:gridCol w:w="156"/>
      </w:tblGrid>
      <w:tr>
        <w:trPr/>
        <w:tc>
          <w:tcPr>
            <w:tcW w:w="2690"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(98,268)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(124,819)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(116,469)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(116,769)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Class A and Class B common stockholders, basic and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loss per share attributable to Class A and Class B common stockholders, basic and diluted</w:t>
            </w:r>
          </w:p>
        </w:tc>
        <w:tc>
          <w:tcPr>
            <w:tcW w:w="9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154,999 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135,375 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C3.AI,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for share and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62"/>
        <w:gridCol w:w="2380"/>
        <w:gridCol w:w="2376"/>
        <w:gridCol w:w="212"/>
        <w:gridCol w:w="834"/>
        <w:gridCol w:w="109"/>
        <w:gridCol w:w="109"/>
        <w:gridCol w:w="109"/>
        <w:gridCol w:w="109"/>
        <w:gridCol w:w="212"/>
        <w:gridCol w:w="834"/>
        <w:gridCol w:w="159"/>
      </w:tblGrid>
      <w:tr>
        <w:trPr/>
        <w:tc>
          <w:tcPr>
            <w:tcW w:w="2762"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April 30, 2026</w:t>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66,197 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509,252 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000000"/>
              </w:rPr>
              <w:t> </w:t>
            </w:r>
            <w:r>
              <w:rPr>
                <w:rFonts w:ascii="Times New Roman;serif" w:hAnsi="Times New Roman;serif"/>
                <w:b w:val="false"/>
                <w:color w:val="000000"/>
                <w:sz w:val="20"/>
              </w:rPr>
              <w:t>Accounts receivable, net of allowance of $1,099</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$1,065 as of July 31, 2026 and April 30, 2026, respectively</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100,548 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31,965 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707,962 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non-current</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40,782 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816,273 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employee benefits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48,560 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current</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34,861 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17,641 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106,571 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non-current</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54,391 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162,522 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2,637,163 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2,502,657 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(1,941,816)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(1,849,004)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653,751 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874,804 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816,273 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C3.AI,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785"/>
        <w:gridCol w:w="2288"/>
        <w:gridCol w:w="2304"/>
        <w:gridCol w:w="196"/>
        <w:gridCol w:w="736"/>
        <w:gridCol w:w="109"/>
        <w:gridCol w:w="109"/>
        <w:gridCol w:w="109"/>
        <w:gridCol w:w="109"/>
        <w:gridCol w:w="196"/>
        <w:gridCol w:w="781"/>
        <w:gridCol w:w="109"/>
        <w:gridCol w:w="109"/>
        <w:gridCol w:w="109"/>
        <w:gridCol w:w="156"/>
      </w:tblGrid>
      <w:tr>
        <w:trPr/>
        <w:tc>
          <w:tcPr>
            <w:tcW w:w="2785"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(92,812)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(used in)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discounts on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other current assets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employee benefits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(33,535)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Maturities and sales of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(51,171)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Class A common stock options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and restricted cash</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(83,417)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93,507 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136,435 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80,941 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other assets,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information—cash paid for income taxes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disclosures of non-cash investing and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 included in accounts payable and accrued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obtained in exchange for lease obligations (including remeasurement of right-of-use assets and lease liabilities due to changes in the timing of receipt of lease incentives)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early exercised stock options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C3.AI,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percentages)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714"/>
        <w:gridCol w:w="2292"/>
        <w:gridCol w:w="2304"/>
        <w:gridCol w:w="216"/>
        <w:gridCol w:w="646"/>
        <w:gridCol w:w="124"/>
        <w:gridCol w:w="111"/>
        <w:gridCol w:w="111"/>
        <w:gridCol w:w="111"/>
        <w:gridCol w:w="216"/>
        <w:gridCol w:w="734"/>
        <w:gridCol w:w="141"/>
        <w:gridCol w:w="109"/>
        <w:gridCol w:w="109"/>
        <w:gridCol w:w="109"/>
        <w:gridCol w:w="158"/>
      </w:tblGrid>
      <w:tr>
        <w:trPr/>
        <w:tc>
          <w:tcPr>
            <w:tcW w:w="2714"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7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Reconciliation of GAAP gross profit to non-GAAP gross profit:</w:t>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on a GAAP basis</w:t>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16,669</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26,444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Stock-based compensation expense </w:t>
            </w:r>
            <w:r>
              <w:rPr>
                <w:rFonts w:ascii="Times New Roman;serif" w:hAnsi="Times New Roman;serif"/>
                <w:b w:val="false"/>
                <w:color w:val="000000"/>
                <w:sz w:val="13"/>
              </w:rPr>
              <w:t>(1)</w:t>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8,788</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9,290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 xml:space="preserve">Employer payroll tax expense related to employee stock-based compensation </w:t>
            </w:r>
            <w:r>
              <w:rPr>
                <w:rFonts w:ascii="Times New Roman;serif" w:hAnsi="Times New Roman;serif"/>
                <w:b w:val="false"/>
                <w:color w:val="000000"/>
                <w:sz w:val="13"/>
              </w:rPr>
              <w:t>(2)</w:t>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on a non-GAAP basis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26,092</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1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on a GAAP basis</w:t>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on a non-GAAP basis</w:t>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Reconciliation of GAAP loss from operations to non-GAAP loss from operations:</w:t>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 on a GAAP basis</w:t>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(98,268)</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(124,819)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Stock-based compensation expense </w:t>
            </w:r>
            <w:r>
              <w:rPr>
                <w:rFonts w:ascii="Times New Roman;serif" w:hAnsi="Times New Roman;serif"/>
                <w:b w:val="false"/>
                <w:color w:val="000000"/>
                <w:sz w:val="13"/>
              </w:rPr>
              <w:t>(1)</w:t>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59,233</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64,775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 xml:space="preserve">Employer payroll tax expense related to employee stock-based compensation </w:t>
            </w:r>
            <w:r>
              <w:rPr>
                <w:rFonts w:ascii="Times New Roman;serif" w:hAnsi="Times New Roman;serif"/>
                <w:b w:val="false"/>
                <w:color w:val="000000"/>
                <w:sz w:val="13"/>
              </w:rPr>
              <w:t>(2)</w:t>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2,178</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 xml:space="preserve">Restructuring </w:t>
            </w:r>
            <w:r>
              <w:rPr>
                <w:rFonts w:ascii="Times New Roman;serif" w:hAnsi="Times New Roman;serif"/>
                <w:b w:val="false"/>
                <w:color w:val="000000"/>
                <w:sz w:val="13"/>
              </w:rPr>
              <w:t>(3)</w:t>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 on a non-GAAP basis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(36,159)</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Reconciliation of GAAP net loss per share to non-GAAP net loss per share:</w:t>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a GAAP basis</w:t>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(92,812)</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(116,769)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Stock-based compensation expense </w:t>
            </w:r>
            <w:r>
              <w:rPr>
                <w:rFonts w:ascii="Times New Roman;serif" w:hAnsi="Times New Roman;serif"/>
                <w:b w:val="false"/>
                <w:color w:val="000000"/>
                <w:sz w:val="13"/>
              </w:rPr>
              <w:t>(1)</w:t>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59,233</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64,775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 xml:space="preserve">Employer payroll tax expense related to employee stock-based compensation </w:t>
            </w:r>
            <w:r>
              <w:rPr>
                <w:rFonts w:ascii="Times New Roman;serif" w:hAnsi="Times New Roman;serif"/>
                <w:b w:val="false"/>
                <w:color w:val="000000"/>
                <w:sz w:val="13"/>
              </w:rPr>
              <w:t>(2)</w:t>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2,178</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 xml:space="preserve">Restructuring </w:t>
            </w:r>
            <w:r>
              <w:rPr>
                <w:rFonts w:ascii="Times New Roman;serif" w:hAnsi="Times New Roman;serif"/>
                <w:b w:val="false"/>
                <w:color w:val="000000"/>
                <w:sz w:val="13"/>
              </w:rPr>
              <w:t>(3)</w:t>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a non-GAAP basis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(30,703)</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(49,774)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loss per share attributable to Class A and Class B common shareholders, basic and diluted</w:t>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(0.86)</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loss per share attributable to Class A and Class B common shareholders, basic and diluted</w:t>
            </w:r>
          </w:p>
        </w:tc>
        <w:tc>
          <w:tcPr>
            <w:tcW w:w="2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loss per share attributable to Class A and Class B common stockholders, basic and diluted</w:t>
            </w:r>
          </w:p>
        </w:tc>
        <w:tc>
          <w:tcPr>
            <w:tcW w:w="86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154,999 </w:t>
            </w:r>
          </w:p>
        </w:tc>
        <w:tc>
          <w:tcPr>
            <w:tcW w:w="12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135,375 </w:t>
            </w:r>
          </w:p>
        </w:tc>
        <w:tc>
          <w:tcPr>
            <w:tcW w:w="1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57"/>
        <w:gridCol w:w="1810"/>
        <w:gridCol w:w="1818"/>
        <w:gridCol w:w="220"/>
        <w:gridCol w:w="752"/>
        <w:gridCol w:w="113"/>
        <w:gridCol w:w="109"/>
        <w:gridCol w:w="109"/>
        <w:gridCol w:w="109"/>
        <w:gridCol w:w="211"/>
        <w:gridCol w:w="831"/>
        <w:gridCol w:w="109"/>
        <w:gridCol w:w="109"/>
        <w:gridCol w:w="109"/>
        <w:gridCol w:w="109"/>
        <w:gridCol w:w="211"/>
        <w:gridCol w:w="826"/>
        <w:gridCol w:w="109"/>
        <w:gridCol w:w="109"/>
        <w:gridCol w:w="109"/>
        <w:gridCol w:w="109"/>
        <w:gridCol w:w="157"/>
      </w:tblGrid>
      <w:tr>
        <w:trPr/>
        <w:tc>
          <w:tcPr>
            <w:tcW w:w="2057"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April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Reconciliation of GAAP expenses to non-GAAP expenses:</w:t>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114,937 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GAAP expenses</w:t>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150,643 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172,758 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Stock-based compensation expense </w:t>
            </w:r>
            <w:r>
              <w:rPr>
                <w:rFonts w:ascii="Times New Roman;serif" w:hAnsi="Times New Roman;serif"/>
                <w:b w:val="false"/>
                <w:color w:val="000000"/>
                <w:sz w:val="13"/>
              </w:rPr>
              <w:t>(1)</w:t>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59,233 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 xml:space="preserve">Employer payroll tax expense related to employee stock-based compensation </w:t>
            </w:r>
            <w:r>
              <w:rPr>
                <w:rFonts w:ascii="Times New Roman;serif" w:hAnsi="Times New Roman;serif"/>
                <w:b w:val="false"/>
                <w:color w:val="000000"/>
                <w:sz w:val="13"/>
              </w:rPr>
              <w:t>(2)</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 xml:space="preserve">Restructuring </w:t>
            </w:r>
            <w:r>
              <w:rPr>
                <w:rFonts w:ascii="Times New Roman;serif" w:hAnsi="Times New Roman;serif"/>
                <w:b w:val="false"/>
                <w:color w:val="000000"/>
                <w:sz w:val="13"/>
              </w:rPr>
              <w:t>(3)</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expenses</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88,534 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105,958 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128,085 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(1)Stock-based compensation expense for gross profits and gross margin includes costs of subscription and cost of professional services as follows. Stock-based compensation expense for loss from operations includes total stock-based compensation expense as follows:</w:t>
      </w:r>
    </w:p>
    <w:p>
      <w:pPr>
        <w:pStyle w:val="TextBody"/>
        <w:bidi w:val="0"/>
        <w:spacing w:before="0" w:after="0"/>
        <w:jc w:val="both"/>
        <w:rPr/>
      </w:pPr>
      <w:r>
        <w:rPr/>
      </w:r>
    </w:p>
    <w:tbl>
      <w:tblPr>
        <w:tblW w:w="6339" w:type="dxa"/>
        <w:jc w:val="left"/>
        <w:tblInd w:w="0" w:type="dxa"/>
        <w:tblLayout w:type="fixed"/>
        <w:tblCellMar>
          <w:top w:w="28" w:type="dxa"/>
          <w:left w:w="28" w:type="dxa"/>
          <w:bottom w:w="28" w:type="dxa"/>
          <w:right w:w="28" w:type="dxa"/>
        </w:tblCellMar>
      </w:tblPr>
      <w:tblGrid>
        <w:gridCol w:w="1250"/>
        <w:gridCol w:w="1096"/>
        <w:gridCol w:w="1103"/>
        <w:gridCol w:w="211"/>
        <w:gridCol w:w="721"/>
        <w:gridCol w:w="109"/>
        <w:gridCol w:w="109"/>
        <w:gridCol w:w="109"/>
        <w:gridCol w:w="109"/>
        <w:gridCol w:w="211"/>
        <w:gridCol w:w="721"/>
        <w:gridCol w:w="109"/>
        <w:gridCol w:w="109"/>
        <w:gridCol w:w="109"/>
        <w:gridCol w:w="109"/>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professional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    Employer payroll tax expense related to employee stock-based compensation for gross profits and gross margin includes costs of subscription and cost of professional services as follows. Employer payroll tax expense related to employee stock-based compensation for loss from operations includes total employer payroll tax expense related to employee stock-based compensation as follows:</w:t>
      </w:r>
    </w:p>
    <w:p>
      <w:pPr>
        <w:pStyle w:val="TextBody"/>
        <w:bidi w:val="0"/>
        <w:spacing w:before="0" w:after="0"/>
        <w:jc w:val="left"/>
        <w:rPr/>
      </w:pPr>
      <w:r>
        <w:rPr/>
      </w:r>
    </w:p>
    <w:tbl>
      <w:tblPr>
        <w:tblW w:w="5710" w:type="dxa"/>
        <w:jc w:val="left"/>
        <w:tblInd w:w="0" w:type="dxa"/>
        <w:tblLayout w:type="fixed"/>
        <w:tblCellMar>
          <w:top w:w="28" w:type="dxa"/>
          <w:left w:w="28" w:type="dxa"/>
          <w:bottom w:w="28" w:type="dxa"/>
          <w:right w:w="28" w:type="dxa"/>
        </w:tblCellMar>
      </w:tblPr>
      <w:tblGrid>
        <w:gridCol w:w="1087"/>
        <w:gridCol w:w="953"/>
        <w:gridCol w:w="959"/>
        <w:gridCol w:w="214"/>
        <w:gridCol w:w="626"/>
        <w:gridCol w:w="110"/>
        <w:gridCol w:w="110"/>
        <w:gridCol w:w="110"/>
        <w:gridCol w:w="110"/>
        <w:gridCol w:w="214"/>
        <w:gridCol w:w="626"/>
        <w:gridCol w:w="110"/>
        <w:gridCol w:w="109"/>
        <w:gridCol w:w="109"/>
        <w:gridCol w:w="109"/>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professional services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employer payroll tax expense</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2,178 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2,220 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    Non-GAAP Loss from Operations exclude approximately $0.7 million of pre-tax restructuring charges which primarily consists of vendor consolidation costs.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Reconciliation of free cash flow to the GAAP measure of net cash provided by (used in) operating activities: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below provides a reconciliation of free cash flow to the GAAP measure of net cash provided by (used in) operating activities for the periods presented:</w:t>
      </w:r>
    </w:p>
    <w:p>
      <w:pPr>
        <w:pStyle w:val="TextBody"/>
        <w:bidi w:val="0"/>
        <w:spacing w:before="0" w:after="0"/>
        <w:jc w:val="left"/>
        <w:rPr/>
      </w:pPr>
      <w:r>
        <w:rPr/>
      </w:r>
    </w:p>
    <w:tbl>
      <w:tblPr>
        <w:tblW w:w="7179" w:type="dxa"/>
        <w:jc w:val="left"/>
        <w:tblInd w:w="0" w:type="dxa"/>
        <w:tblLayout w:type="fixed"/>
        <w:tblCellMar>
          <w:top w:w="28" w:type="dxa"/>
          <w:left w:w="28" w:type="dxa"/>
          <w:bottom w:w="28" w:type="dxa"/>
          <w:right w:w="28" w:type="dxa"/>
        </w:tblCellMar>
      </w:tblPr>
      <w:tblGrid>
        <w:gridCol w:w="1524"/>
        <w:gridCol w:w="1340"/>
        <w:gridCol w:w="1350"/>
        <w:gridCol w:w="211"/>
        <w:gridCol w:w="721"/>
        <w:gridCol w:w="109"/>
        <w:gridCol w:w="109"/>
        <w:gridCol w:w="109"/>
        <w:gridCol w:w="109"/>
        <w:gridCol w:w="211"/>
        <w:gridCol w:w="796"/>
        <w:gridCol w:w="109"/>
        <w:gridCol w:w="109"/>
        <w:gridCol w:w="109"/>
        <w:gridCol w:w="109"/>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(51,171)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72,812 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3559</Words>
  <Characters>20634</Characters>
  <CharactersWithSpaces>23782</CharactersWithSpaces>
  <Paragraphs>627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