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85741.xml.htm"/>
      <w:bookmarkStart w:id="1" w:name="kswkform4_17896857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SIEBEL THOMAS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C3.AI,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SEAPORT BLVD,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C3.ai, Inc.</w:t>
              </w:r>
            </w:hyperlink>
            <w:r>
              <w:rPr/>
              <w:t xml:space="preserve"> [ </w:t>
            </w:r>
            <w:r>
              <w:rPr>
                <w:rFonts w:ascii="Times;serif" w:hAnsi="Times;serif"/>
                <w:color w:val="0000FF"/>
                <w:sz w:val="24"/>
                <w:shd w:fill="FFFFFF" w:val="clear"/>
              </w:rPr>
              <w:t>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 of the Board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9"/>
        <w:gridCol w:w="901"/>
        <w:gridCol w:w="772"/>
        <w:gridCol w:w="598"/>
        <w:gridCol w:w="339"/>
        <w:gridCol w:w="996"/>
        <w:gridCol w:w="428"/>
        <w:gridCol w:w="786"/>
        <w:gridCol w:w="1244"/>
        <w:gridCol w:w="964"/>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282,001</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1,004,363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282,001</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w:t>
            </w:r>
            <w:r>
              <w:rPr>
                <w:rFonts w:ascii="Times;serif" w:hAnsi="Times;serif"/>
                <w:color w:val="008000"/>
                <w:position w:val="7"/>
                <w:sz w:val="16"/>
                <w:sz w:val="20"/>
                <w:shd w:fill="FFFFFF" w:val="clear"/>
              </w:rPr>
              <w:t>(2)</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722,362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162,247</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884,609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162,247</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10.54</w:t>
            </w:r>
            <w:r>
              <w:rPr>
                <w:rFonts w:ascii="Times;serif" w:hAnsi="Times;serif"/>
                <w:color w:val="008000"/>
                <w:position w:val="7"/>
                <w:sz w:val="16"/>
                <w:sz w:val="20"/>
                <w:shd w:fill="FFFFFF" w:val="clear"/>
              </w:rPr>
              <w:t>(3)</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722,362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7,105,019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170,294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72,695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1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1,237,115</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bl>
    <w:tbl>
      <w:tblPr>
        <w:tblW w:w="1228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282,001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11/27/2028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282,001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2,131,195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162,247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11/27/2028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162,247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1,968,948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being reported was effected pursuant to a previously established Rule 10b5-1 trading plan dated September 20,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weighted-average price. These shares were sold in multiple transactions at prices ranging from $10.76 to $11.04,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weighted-average price. These shares were sold in multiple transactions at prices ranging from $10.35 to $10.68,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Siebel Living Trust u/a/d 7/27/93, as amended,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First Virtual Holdings, LLC, of which the Reporting Person is Chairman.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Siebel Asset Management, L.P., of which the Reporting Person is the general partner.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Siebel Asset Management III, L.P., of which the Reporting Person is the general partner.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The Siebel 2011 Irrevocable Children's Trust, of which the Reporting Person is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 MacMitchell,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31530" TargetMode="External"/><Relationship Id="rId5" Type="http://schemas.openxmlformats.org/officeDocument/2006/relationships/hyperlink" Target="http://www.sec.gov/cgi-bin/browse-edgar?action=getcompany&amp;CIK=0001577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923</Words>
  <Characters>4891</Characters>
  <CharactersWithSpaces>5669</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