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60"/>
        <w:jc w:val="center"/>
        <w:rPr/>
      </w:pPr>
      <w:r>
        <w:rPr/>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UNITED STATES</w:t>
        <w:br/>
        <w:t>SECURITIES AND EXCHANGE COMMISSION</w:t>
        <w:br/>
        <w:t>Washington, D.C. 20549</w:t>
      </w:r>
    </w:p>
    <w:p>
      <w:pPr>
        <w:pStyle w:val="TextBody"/>
        <w:bidi w:val="0"/>
        <w:spacing w:lineRule="auto" w:line="240" w:before="0" w:after="60"/>
        <w:jc w:val="center"/>
        <w:rPr>
          <w:rFonts w:ascii="Times New Roman;serif" w:hAnsi="Times New Roman;serif"/>
          <w:b/>
          <w:color w:val="000000"/>
          <w:sz w:val="28"/>
        </w:rPr>
      </w:pPr>
      <w:r>
        <w:rPr>
          <w:rFonts w:ascii="Times New Roman;serif" w:hAnsi="Times New Roman;serif"/>
          <w:b/>
          <w:color w:val="000000"/>
          <w:sz w:val="28"/>
        </w:rPr>
        <w:t>SCHEDULE 14A</w:t>
      </w:r>
    </w:p>
    <w:p>
      <w:pPr>
        <w:pStyle w:val="TextBody"/>
        <w:bidi w:val="0"/>
        <w:spacing w:lineRule="auto" w:line="240" w:before="0" w:after="60"/>
        <w:jc w:val="center"/>
        <w:rPr>
          <w:rFonts w:ascii="Times New Roman;serif" w:hAnsi="Times New Roman;serif"/>
          <w:b w:val="false"/>
          <w:color w:val="000000"/>
          <w:sz w:val="20"/>
        </w:rPr>
      </w:pPr>
      <w:r>
        <w:rPr>
          <w:rFonts w:ascii="Times New Roman;serif" w:hAnsi="Times New Roman;serif"/>
          <w:b w:val="false"/>
          <w:color w:val="000000"/>
          <w:sz w:val="20"/>
        </w:rPr>
        <w:t>Proxy Statement Pursuant to Section 14(a) of the</w:t>
        <w:br/>
        <w:t>Securities Exchange Act of 1934</w:t>
        <w:br/>
        <w:t>(Amendment No. )</w:t>
      </w:r>
    </w:p>
    <w:p>
      <w:pPr>
        <w:pStyle w:val="TextBody"/>
        <w:bidi w:val="0"/>
        <w:spacing w:lineRule="auto" w:line="240" w:before="0" w:after="60"/>
        <w:jc w:val="left"/>
        <w:rPr/>
      </w:pPr>
      <w:r>
        <w:rPr>
          <w:rFonts w:ascii="Times New Roman;serif" w:hAnsi="Times New Roman;serif"/>
          <w:b w:val="false"/>
          <w:color w:val="000000"/>
          <w:sz w:val="20"/>
        </w:rPr>
        <w:t xml:space="preserve">Filed by the Registrant </w:t>
      </w:r>
      <w:r>
        <w:rPr>
          <w:color w:val="000000"/>
        </w:rPr>
        <w:t>☒</w:t>
      </w:r>
    </w:p>
    <w:p>
      <w:pPr>
        <w:pStyle w:val="TextBody"/>
        <w:bidi w:val="0"/>
        <w:spacing w:lineRule="auto" w:line="240" w:before="0" w:after="60"/>
        <w:jc w:val="left"/>
        <w:rPr/>
      </w:pPr>
      <w:r>
        <w:rPr>
          <w:rFonts w:ascii="Times New Roman;serif" w:hAnsi="Times New Roman;serif"/>
          <w:b w:val="false"/>
          <w:color w:val="000000"/>
          <w:sz w:val="20"/>
        </w:rPr>
        <w:t xml:space="preserve">Filed by a Party other than the Registrant </w:t>
      </w:r>
      <w:r>
        <w:rPr>
          <w:color w:val="000000"/>
        </w:rPr>
        <w:t>☐</w:t>
      </w:r>
    </w:p>
    <w:p>
      <w:pPr>
        <w:pStyle w:val="TextBody"/>
        <w:bidi w:val="0"/>
        <w:spacing w:lineRule="auto" w:line="240"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w:t>
      </w:r>
    </w:p>
    <w:tbl>
      <w:tblPr>
        <w:tblW w:w="7166" w:type="dxa"/>
        <w:jc w:val="left"/>
        <w:tblInd w:w="0" w:type="dxa"/>
        <w:tblLayout w:type="fixed"/>
        <w:tblCellMar>
          <w:top w:w="28" w:type="dxa"/>
          <w:left w:w="28" w:type="dxa"/>
          <w:bottom w:w="28" w:type="dxa"/>
          <w:right w:w="28" w:type="dxa"/>
        </w:tblCellMar>
      </w:tblPr>
      <w:tblGrid>
        <w:gridCol w:w="124"/>
        <w:gridCol w:w="109"/>
        <w:gridCol w:w="109"/>
        <w:gridCol w:w="1999"/>
        <w:gridCol w:w="1999"/>
        <w:gridCol w:w="2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 240.14a-12</w:t>
            </w:r>
          </w:p>
        </w:tc>
      </w:tr>
    </w:tbl>
    <w:p>
      <w:pPr>
        <w:pStyle w:val="TextBody"/>
        <w:bidi w:val="0"/>
        <w:spacing w:before="0" w:after="60"/>
        <w:jc w:val="left"/>
        <w:rPr/>
      </w:pPr>
      <w:r>
        <w:rPr/>
      </w:r>
    </w:p>
    <w:tbl>
      <w:tblPr>
        <w:tblW w:w="1440" w:type="dxa"/>
        <w:jc w:val="left"/>
        <w:tblInd w:w="0" w:type="dxa"/>
        <w:tblLayout w:type="fixed"/>
        <w:tblCellMar>
          <w:top w:w="28" w:type="dxa"/>
          <w:left w:w="28" w:type="dxa"/>
          <w:bottom w:w="28" w:type="dxa"/>
          <w:right w:w="28" w:type="dxa"/>
        </w:tblCellMar>
      </w:tblPr>
      <w:tblGrid>
        <w:gridCol w:w="460"/>
        <w:gridCol w:w="405"/>
        <w:gridCol w:w="575"/>
      </w:tblGrid>
      <w:tr>
        <w:trPr/>
        <w:tc>
          <w:tcPr>
            <w:tcW w:w="46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8"/>
              </w:rPr>
            </w:pPr>
            <w:r>
              <w:rPr>
                <w:rFonts w:ascii="Times New Roman;serif" w:hAnsi="Times New Roman;serif"/>
                <w:b/>
                <w:color w:val="000000"/>
                <w:sz w:val="28"/>
              </w:rPr>
              <w:t>C3.ai, Inc.</w:t>
            </w:r>
          </w:p>
        </w:tc>
      </w:tr>
    </w:tbl>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(Name of Person(s) Filing Proxy Statement, if Other Than the Registrant)</w:t>
      </w:r>
    </w:p>
    <w:p>
      <w:pPr>
        <w:pStyle w:val="TextBody"/>
        <w:bidi w:val="0"/>
        <w:spacing w:before="0" w:after="60"/>
        <w:jc w:val="center"/>
        <w:rPr/>
      </w:pPr>
      <w:r>
        <w:rPr/>
      </w:r>
    </w:p>
    <w:p>
      <w:pPr>
        <w:pStyle w:val="TextBody"/>
        <w:bidi w:val="0"/>
        <w:spacing w:lineRule="auto" w:line="240" w:before="0" w:after="60"/>
        <w:jc w:val="left"/>
        <w:rPr>
          <w:rFonts w:ascii="Times New Roman;serif" w:hAnsi="Times New Roman;serif"/>
          <w:b w:val="false"/>
          <w:color w:val="000000"/>
          <w:sz w:val="20"/>
        </w:rPr>
      </w:pPr>
      <w:r>
        <w:rPr>
          <w:rFonts w:ascii="Times New Roman;serif" w:hAnsi="Times New Roman;serif"/>
          <w:b w:val="false"/>
          <w:color w:val="000000"/>
          <w:sz w:val="20"/>
        </w:rPr>
        <w:t>Payment of Filing Fee (Check all boxes that apply):</w:t>
      </w:r>
    </w:p>
    <w:tbl>
      <w:tblPr>
        <w:tblW w:w="8712" w:type="dxa"/>
        <w:jc w:val="left"/>
        <w:tblInd w:w="0" w:type="dxa"/>
        <w:tblLayout w:type="fixed"/>
        <w:tblCellMar>
          <w:top w:w="28" w:type="dxa"/>
          <w:left w:w="28" w:type="dxa"/>
          <w:bottom w:w="28" w:type="dxa"/>
          <w:right w:w="28" w:type="dxa"/>
        </w:tblCellMar>
      </w:tblPr>
      <w:tblGrid>
        <w:gridCol w:w="124"/>
        <w:gridCol w:w="109"/>
        <w:gridCol w:w="109"/>
        <w:gridCol w:w="2450"/>
        <w:gridCol w:w="2450"/>
        <w:gridCol w:w="34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34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center"/>
        <w:rPr/>
      </w:pPr>
      <w:r>
        <w:rPr>
          <w:rFonts w:ascii="Times New Roman;serif" w:hAnsi="Times New Roman;serif"/>
          <w:b/>
          <w:color w:val="000000"/>
          <w:sz w:val="20"/>
        </w:rPr>
        <w:t>C3.ai, Inc.</w:t>
        <w:br/>
      </w:r>
      <w:r>
        <w:rPr>
          <w:rFonts w:ascii="Times New Roman;serif" w:hAnsi="Times New Roman;serif"/>
          <w:b w:val="false"/>
          <w:color w:val="000000"/>
          <w:sz w:val="20"/>
        </w:rPr>
        <w:t>1400 Seaport Blvd</w:t>
        <w:br/>
        <w:t>Redwood City, California 94063</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NOTICE OF ANNUAL MEETING OF STOCKHOLDERS</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To Be Held on October 26, 2026</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Dear Stockholder:</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are pleased to invite you to attend the 2026 Annual Meeting of Stockholders of C3.ai, Inc., a Delaware corporation (the “Annual Meeting”). The Annual Meeting will be held virtually on Monday, October 26, 2026, at 10:00 a.m. Pacific Time, via live webcast at www.virtualshareholdermeeting.com/AI2026.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Annual Meeting will be held for the following purposes, which are more fully described in the accompanying materials:</w:t>
      </w:r>
    </w:p>
    <w:p>
      <w:pPr>
        <w:pStyle w:val="TextBody"/>
        <w:bidi w:val="0"/>
        <w:spacing w:lineRule="auto" w:line="288" w:before="180" w:after="180"/>
        <w:ind w:left="0" w:right="0" w:hanging="360"/>
        <w:jc w:val="both"/>
        <w:rPr/>
      </w:pPr>
      <w:r>
        <w:rPr>
          <w:rFonts w:ascii="Times New Roman;serif" w:hAnsi="Times New Roman;serif"/>
          <w:b w:val="false"/>
          <w:color w:val="000000"/>
          <w:sz w:val="20"/>
        </w:rPr>
        <w:t>1.To</w:t>
      </w:r>
      <w:r>
        <w:rPr>
          <w:color w:val="000000"/>
        </w:rPr>
        <w:t xml:space="preserve"> </w:t>
      </w:r>
      <w:r>
        <w:rPr>
          <w:rFonts w:ascii="Times New Roman;serif" w:hAnsi="Times New Roman;serif"/>
          <w:b w:val="false"/>
          <w:color w:val="000000"/>
          <w:sz w:val="20"/>
        </w:rPr>
        <w:t>elect the three Class III director nominees named in the accompanying proxy statement, each to hold office until our 2029 Annual Meeting of Stockholders, and until his or her successor is duly elected and qualified or until his or her earlier death, resignation, or removal;</w:t>
      </w:r>
    </w:p>
    <w:p>
      <w:pPr>
        <w:pStyle w:val="TextBody"/>
        <w:bidi w:val="0"/>
        <w:spacing w:lineRule="auto" w:line="288" w:before="18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2.To approve, on an advisory basis, the compensation of our named executive officers, as disclosed in this proxy statement; </w:t>
      </w:r>
    </w:p>
    <w:p>
      <w:pPr>
        <w:pStyle w:val="TextBody"/>
        <w:bidi w:val="0"/>
        <w:spacing w:lineRule="auto" w:line="288" w:before="18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3.To ratify the appointment of Deloitte &amp; Touche LLP as our independent registered public accounting firm for the fiscal year ending April 30, 2027; </w:t>
      </w:r>
    </w:p>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4.To approve the amendment and restatement of the Company’s 2020 Equity Incentive Plan; and</w:t>
      </w:r>
    </w:p>
    <w:p>
      <w:pPr>
        <w:pStyle w:val="TextBody"/>
        <w:bidi w:val="0"/>
        <w:spacing w:lineRule="auto" w:line="288" w:before="18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5.To conduct any other business properly brought before the Annual Meeting.</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On or about September 14, 2026, we expect to mail to our stockholders a Notice of Internet Availability of Proxy Materials containing instructions on how to access the Proxy Statement and our Annual Report on Form 10-K for the fiscal year ended April 30, 2026 (the “2026 Annual Report”). The Notice of Internet Availability of Proxy Materials provides instructions on how to vote online or by telephone and how to receive a paper copy of proxy materials by mail. The Proxy Statement for the Annual Meeting and our 2026 Annual Report can be accessed directly at www.proxyvote.com using the control number located on your Notice of Internet Availability of Proxy Materials, on your proxy card, or in the instructions that accompanied your proxy materials.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list of stockholders entitled to vote will be available for a 10-day period ending on the day before the Annual Meeting at our headquarters located at 1400 Seaport Blvd, Redwood City, California 94063. If you would like to view the stockholder list, please contact our Investor Relations department at ir@c3.ai.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board of directors has fixed the close of business on September 4, 2026, as the record date for the Annual Meeting. Only stockholders of record at the close of business on September 4, 2026, are entitled to notice of, and to vote at, the Annual Meeting.</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Thomas M. Siebel</w:t>
        <w:br/>
        <w:t>Chief Executive Officer and Chairman</w:t>
        <w:br/>
        <w:t>August 27,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Your vote is important. Whether or not you plan to attend the Annual Meeting, please ensure that your shares are voted during the Annual Meeting by signing and returning a proxy card or by using our internet or telephonic voting system. Even if you have voted by proxy, you may still vote online if you attend the Annual Meeting. Please note, however, that if your shares are held on your behalf by a broker, bank, or other nominee and you wish to vote at the Annual Meeting, you must obtain a proxy issued in your name from that nominee.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Proxy Statement for 2026 Annual Meeting of Stockholders</w:t>
        <w:br/>
        <w:t>To Be Held on October 26, 2026</w:t>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40" w:before="0" w:after="240"/>
        <w:jc w:val="right"/>
        <w:rPr>
          <w:rFonts w:ascii="Times New Roman;serif" w:hAnsi="Times New Roman;serif"/>
          <w:b/>
          <w:color w:val="000000"/>
          <w:sz w:val="20"/>
          <w:u w:val="single"/>
        </w:rPr>
      </w:pPr>
      <w:r>
        <w:rPr>
          <w:rFonts w:ascii="Times New Roman;serif" w:hAnsi="Times New Roman;serif"/>
          <w:b/>
          <w:color w:val="000000"/>
          <w:sz w:val="20"/>
          <w:u w:val="single"/>
        </w:rPr>
        <w:t>Page No.</w:t>
      </w:r>
    </w:p>
    <w:tbl>
      <w:tblPr>
        <w:tblW w:w="8592" w:type="dxa"/>
        <w:jc w:val="left"/>
        <w:tblInd w:w="0" w:type="dxa"/>
        <w:tblLayout w:type="fixed"/>
        <w:tblCellMar>
          <w:top w:w="28" w:type="dxa"/>
          <w:left w:w="28" w:type="dxa"/>
          <w:bottom w:w="28" w:type="dxa"/>
          <w:right w:w="28" w:type="dxa"/>
        </w:tblCellMar>
      </w:tblPr>
      <w:tblGrid>
        <w:gridCol w:w="2976"/>
        <w:gridCol w:w="2619"/>
        <w:gridCol w:w="2625"/>
        <w:gridCol w:w="109"/>
        <w:gridCol w:w="109"/>
        <w:gridCol w:w="154"/>
      </w:tblGrid>
      <w:tr>
        <w:trPr/>
        <w:tc>
          <w:tcPr>
            <w:tcW w:w="2976"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36e8fd3bd413e877b4e5e7d3b58da_13">
              <w:r>
                <w:rPr>
                  <w:rStyle w:val="InternetLink"/>
                  <w:rFonts w:ascii="Times New Roman;serif" w:hAnsi="Times New Roman;serif"/>
                  <w:b w:val="false"/>
                  <w:color w:val="0000FF"/>
                  <w:sz w:val="20"/>
                  <w:u w:val="single"/>
                </w:rPr>
                <w:t>QUESTIONS AND ANSWERS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336e8fd3bd413e877b4e5e7d3b58da_13">
              <w:r>
                <w:rPr>
                  <w:rStyle w:val="InternetLink"/>
                  <w:rFonts w:ascii="Times New Roman;serif" w:hAnsi="Times New Roman;serif"/>
                  <w:b w:val="false"/>
                  <w:color w:val="0000FF"/>
                  <w:sz w:val="20"/>
                  <w:u w:val="single"/>
                </w:rPr>
                <w:t>1</w:t>
              </w:r>
            </w:hyperlink>
          </w:p>
        </w:tc>
      </w:tr>
      <w:tr>
        <w:trPr/>
        <w:tc>
          <w:tcPr>
            <w:tcW w:w="8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36e8fd3bd413e877b4e5e7d3b58da_16">
              <w:r>
                <w:rPr>
                  <w:rStyle w:val="InternetLink"/>
                  <w:rFonts w:ascii="Times New Roman;serif" w:hAnsi="Times New Roman;serif"/>
                  <w:b w:val="false"/>
                  <w:color w:val="0000FF"/>
                  <w:sz w:val="20"/>
                  <w:u w:val="single"/>
                </w:rPr>
                <w:t>INFORMATION REGARDING OUR BOARD OF DIRECTORS AND CORPORATE GOVERNANCE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336e8fd3bd413e877b4e5e7d3b58da_16">
              <w:r>
                <w:rPr>
                  <w:rStyle w:val="InternetLink"/>
                  <w:rFonts w:ascii="Times New Roman;serif" w:hAnsi="Times New Roman;serif"/>
                  <w:b w:val="false"/>
                  <w:color w:val="0000FF"/>
                  <w:sz w:val="20"/>
                  <w:u w:val="single"/>
                </w:rPr>
                <w:t>9</w:t>
              </w:r>
            </w:hyperlink>
          </w:p>
        </w:tc>
      </w:tr>
      <w:tr>
        <w:trPr/>
        <w:tc>
          <w:tcPr>
            <w:tcW w:w="8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36e8fd3bd413e877b4e5e7d3b58da_19">
              <w:r>
                <w:rPr>
                  <w:rStyle w:val="InternetLink"/>
                  <w:rFonts w:ascii="Times New Roman;serif" w:hAnsi="Times New Roman;serif"/>
                  <w:b w:val="false"/>
                  <w:color w:val="0000FF"/>
                  <w:sz w:val="20"/>
                  <w:u w:val="single"/>
                </w:rPr>
                <w:t>NON-EMPLOYEE DIRECTOR COMPENSATION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336e8fd3bd413e877b4e5e7d3b58da_19">
              <w:r>
                <w:rPr>
                  <w:rStyle w:val="InternetLink"/>
                  <w:rFonts w:ascii="Times New Roman;serif" w:hAnsi="Times New Roman;serif"/>
                  <w:b w:val="false"/>
                  <w:color w:val="0000FF"/>
                  <w:sz w:val="20"/>
                  <w:u w:val="single"/>
                </w:rPr>
                <w:t>19</w:t>
              </w:r>
            </w:hyperlink>
          </w:p>
        </w:tc>
      </w:tr>
      <w:tr>
        <w:trPr/>
        <w:tc>
          <w:tcPr>
            <w:tcW w:w="8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36e8fd3bd413e877b4e5e7d3b58da_22">
              <w:r>
                <w:rPr>
                  <w:rStyle w:val="InternetLink"/>
                  <w:rFonts w:ascii="Times New Roman;serif" w:hAnsi="Times New Roman;serif"/>
                  <w:b w:val="false"/>
                  <w:color w:val="0000FF"/>
                  <w:sz w:val="20"/>
                  <w:u w:val="single"/>
                </w:rPr>
                <w:t>PROPOSAL ONE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336e8fd3bd413e877b4e5e7d3b58da_22">
              <w:r>
                <w:rPr>
                  <w:rStyle w:val="InternetLink"/>
                  <w:rFonts w:ascii="Times New Roman;serif" w:hAnsi="Times New Roman;serif"/>
                  <w:b w:val="false"/>
                  <w:color w:val="0000FF"/>
                  <w:sz w:val="20"/>
                  <w:u w:val="single"/>
                </w:rPr>
                <w:t>22</w:t>
              </w:r>
            </w:hyperlink>
          </w:p>
        </w:tc>
      </w:tr>
      <w:tr>
        <w:trPr/>
        <w:tc>
          <w:tcPr>
            <w:tcW w:w="8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36e8fd3bd413e877b4e5e7d3b58da_25">
              <w:r>
                <w:rPr>
                  <w:rStyle w:val="InternetLink"/>
                  <w:rFonts w:ascii="Times New Roman;serif" w:hAnsi="Times New Roman;serif"/>
                  <w:b w:val="false"/>
                  <w:color w:val="0000FF"/>
                  <w:sz w:val="20"/>
                  <w:u w:val="single"/>
                </w:rPr>
                <w:t>PROPOSAL TWO</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336e8fd3bd413e877b4e5e7d3b58da_25">
              <w:r>
                <w:rPr>
                  <w:rStyle w:val="InternetLink"/>
                  <w:rFonts w:ascii="Times New Roman;serif" w:hAnsi="Times New Roman;serif"/>
                  <w:b w:val="false"/>
                  <w:color w:val="0000FF"/>
                  <w:sz w:val="20"/>
                  <w:u w:val="single"/>
                </w:rPr>
                <w:t>23</w:t>
              </w:r>
            </w:hyperlink>
          </w:p>
        </w:tc>
      </w:tr>
      <w:tr>
        <w:trPr/>
        <w:tc>
          <w:tcPr>
            <w:tcW w:w="8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36e8fd3bd413e877b4e5e7d3b58da_28">
              <w:r>
                <w:rPr>
                  <w:rStyle w:val="InternetLink"/>
                  <w:rFonts w:ascii="Times New Roman;serif" w:hAnsi="Times New Roman;serif"/>
                  <w:b w:val="false"/>
                  <w:color w:val="0000FF"/>
                  <w:sz w:val="20"/>
                  <w:u w:val="single"/>
                </w:rPr>
                <w:t>PROPOSAL THREE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336e8fd3bd413e877b4e5e7d3b58da_28">
              <w:r>
                <w:rPr>
                  <w:rStyle w:val="InternetLink"/>
                  <w:rFonts w:ascii="Times New Roman;serif" w:hAnsi="Times New Roman;serif"/>
                  <w:b w:val="false"/>
                  <w:color w:val="0000FF"/>
                  <w:sz w:val="20"/>
                  <w:u w:val="single"/>
                </w:rPr>
                <w:t>24</w:t>
              </w:r>
            </w:hyperlink>
          </w:p>
        </w:tc>
      </w:tr>
      <w:tr>
        <w:trPr/>
        <w:tc>
          <w:tcPr>
            <w:tcW w:w="8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36e8fd3bd413e877b4e5e7d3b58da_1099511627980">
              <w:r>
                <w:rPr>
                  <w:rStyle w:val="InternetLink"/>
                  <w:rFonts w:ascii="Times New Roman;serif" w:hAnsi="Times New Roman;serif"/>
                  <w:b w:val="false"/>
                  <w:color w:val="0000FF"/>
                  <w:sz w:val="20"/>
                  <w:u w:val="single"/>
                </w:rPr>
                <w:t>PROPOSAL FOUR</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336e8fd3bd413e877b4e5e7d3b58da_1099511627980">
              <w:r>
                <w:rPr>
                  <w:rStyle w:val="InternetLink"/>
                  <w:rFonts w:ascii="Times New Roman;serif" w:hAnsi="Times New Roman;serif"/>
                  <w:b w:val="false"/>
                  <w:color w:val="0000FF"/>
                  <w:sz w:val="20"/>
                  <w:u w:val="single"/>
                </w:rPr>
                <w:t>25</w:t>
              </w:r>
            </w:hyperlink>
          </w:p>
        </w:tc>
      </w:tr>
      <w:tr>
        <w:trPr/>
        <w:tc>
          <w:tcPr>
            <w:tcW w:w="8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36e8fd3bd413e877b4e5e7d3b58da_31">
              <w:r>
                <w:rPr>
                  <w:rStyle w:val="InternetLink"/>
                  <w:rFonts w:ascii="Times New Roman;serif" w:hAnsi="Times New Roman;serif"/>
                  <w:b w:val="false"/>
                  <w:color w:val="0000FF"/>
                  <w:sz w:val="20"/>
                  <w:u w:val="single"/>
                </w:rPr>
                <w:t>REPORT OF THE AUDIT COMMITTEE OF THE BOARD OF DIRECTORS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336e8fd3bd413e877b4e5e7d3b58da_31">
              <w:r>
                <w:rPr>
                  <w:rStyle w:val="InternetLink"/>
                  <w:rFonts w:ascii="Times New Roman;serif" w:hAnsi="Times New Roman;serif"/>
                  <w:b w:val="false"/>
                  <w:color w:val="0000FF"/>
                  <w:sz w:val="20"/>
                  <w:u w:val="single"/>
                </w:rPr>
                <w:t>34</w:t>
              </w:r>
            </w:hyperlink>
          </w:p>
        </w:tc>
      </w:tr>
      <w:tr>
        <w:trPr/>
        <w:tc>
          <w:tcPr>
            <w:tcW w:w="8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36e8fd3bd413e877b4e5e7d3b58da_34">
              <w:r>
                <w:rPr>
                  <w:rStyle w:val="InternetLink"/>
                  <w:rFonts w:ascii="Times New Roman;serif" w:hAnsi="Times New Roman;serif"/>
                  <w:b w:val="false"/>
                  <w:color w:val="0000FF"/>
                  <w:sz w:val="20"/>
                  <w:u w:val="single"/>
                </w:rPr>
                <w:t>EXECUTIVE OFFICERS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336e8fd3bd413e877b4e5e7d3b58da_34">
              <w:r>
                <w:rPr>
                  <w:rStyle w:val="InternetLink"/>
                  <w:rFonts w:ascii="Times New Roman;serif" w:hAnsi="Times New Roman;serif"/>
                  <w:b w:val="false"/>
                  <w:color w:val="0000FF"/>
                  <w:sz w:val="20"/>
                  <w:u w:val="single"/>
                </w:rPr>
                <w:t>35</w:t>
              </w:r>
            </w:hyperlink>
          </w:p>
        </w:tc>
      </w:tr>
      <w:tr>
        <w:trPr/>
        <w:tc>
          <w:tcPr>
            <w:tcW w:w="8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36e8fd3bd413e877b4e5e7d3b58da_37">
              <w:r>
                <w:rPr>
                  <w:rStyle w:val="InternetLink"/>
                  <w:rFonts w:ascii="Times New Roman;serif" w:hAnsi="Times New Roman;serif"/>
                  <w:b w:val="false"/>
                  <w:color w:val="0000FF"/>
                  <w:sz w:val="20"/>
                  <w:u w:val="single"/>
                </w:rPr>
                <w:t>EXECUTIVE COMPENSATION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336e8fd3bd413e877b4e5e7d3b58da_37">
              <w:r>
                <w:rPr>
                  <w:rStyle w:val="InternetLink"/>
                  <w:rFonts w:ascii="Times New Roman;serif" w:hAnsi="Times New Roman;serif"/>
                  <w:b w:val="false"/>
                  <w:color w:val="0000FF"/>
                  <w:sz w:val="20"/>
                  <w:u w:val="single"/>
                </w:rPr>
                <w:t>36</w:t>
              </w:r>
            </w:hyperlink>
          </w:p>
        </w:tc>
      </w:tr>
      <w:tr>
        <w:trPr/>
        <w:tc>
          <w:tcPr>
            <w:tcW w:w="8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36e8fd3bd413e877b4e5e7d3b58da_43">
              <w:r>
                <w:rPr>
                  <w:rStyle w:val="InternetLink"/>
                  <w:rFonts w:ascii="Times New Roman;serif" w:hAnsi="Times New Roman;serif"/>
                  <w:b w:val="false"/>
                  <w:color w:val="0000FF"/>
                  <w:sz w:val="20"/>
                  <w:u w:val="single"/>
                </w:rPr>
                <w:t>PAY VERSUS PERFORMANCE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336e8fd3bd413e877b4e5e7d3b58da_43">
              <w:r>
                <w:rPr>
                  <w:rStyle w:val="InternetLink"/>
                  <w:rFonts w:ascii="Times New Roman;serif" w:hAnsi="Times New Roman;serif"/>
                  <w:b w:val="false"/>
                  <w:color w:val="0000FF"/>
                  <w:sz w:val="20"/>
                  <w:u w:val="single"/>
                </w:rPr>
                <w:t>54</w:t>
              </w:r>
            </w:hyperlink>
          </w:p>
        </w:tc>
      </w:tr>
      <w:tr>
        <w:trPr/>
        <w:tc>
          <w:tcPr>
            <w:tcW w:w="8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36e8fd3bd413e877b4e5e7d3b58da_46">
              <w:r>
                <w:rPr>
                  <w:rStyle w:val="InternetLink"/>
                  <w:rFonts w:ascii="Times New Roman;serif" w:hAnsi="Times New Roman;serif"/>
                  <w:b w:val="false"/>
                  <w:color w:val="0000FF"/>
                  <w:sz w:val="20"/>
                  <w:u w:val="single"/>
                </w:rPr>
                <w:t>PAY RATIO</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336e8fd3bd413e877b4e5e7d3b58da_46">
              <w:r>
                <w:rPr>
                  <w:rStyle w:val="InternetLink"/>
                  <w:rFonts w:ascii="Times New Roman;serif" w:hAnsi="Times New Roman;serif"/>
                  <w:b w:val="false"/>
                  <w:color w:val="0000FF"/>
                  <w:sz w:val="20"/>
                  <w:u w:val="single"/>
                </w:rPr>
                <w:t>59</w:t>
              </w:r>
            </w:hyperlink>
          </w:p>
        </w:tc>
      </w:tr>
      <w:tr>
        <w:trPr/>
        <w:tc>
          <w:tcPr>
            <w:tcW w:w="8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36e8fd3bd413e877b4e5e7d3b58da_49">
              <w:r>
                <w:rPr>
                  <w:rStyle w:val="InternetLink"/>
                  <w:rFonts w:ascii="Times New Roman;serif" w:hAnsi="Times New Roman;serif"/>
                  <w:b w:val="false"/>
                  <w:color w:val="0000FF"/>
                  <w:sz w:val="20"/>
                  <w:u w:val="single"/>
                </w:rPr>
                <w:t>EQUITY COMPENSATION PLAN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336e8fd3bd413e877b4e5e7d3b58da_49">
              <w:r>
                <w:rPr>
                  <w:rStyle w:val="InternetLink"/>
                  <w:rFonts w:ascii="Times New Roman;serif" w:hAnsi="Times New Roman;serif"/>
                  <w:b w:val="false"/>
                  <w:color w:val="0000FF"/>
                  <w:sz w:val="20"/>
                  <w:u w:val="single"/>
                </w:rPr>
                <w:t>60</w:t>
              </w:r>
            </w:hyperlink>
          </w:p>
        </w:tc>
      </w:tr>
      <w:tr>
        <w:trPr/>
        <w:tc>
          <w:tcPr>
            <w:tcW w:w="8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36e8fd3bd413e877b4e5e7d3b58da_52">
              <w:r>
                <w:rPr>
                  <w:rStyle w:val="InternetLink"/>
                  <w:rFonts w:ascii="Times New Roman;serif" w:hAnsi="Times New Roman;serif"/>
                  <w:b w:val="false"/>
                  <w:color w:val="0000FF"/>
                  <w:sz w:val="20"/>
                  <w:u w:val="single"/>
                </w:rPr>
                <w:t>SECURITY OWNERSHIP OF CERTAIN BENEFICIAL OWNERS AND MANAGEMENT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336e8fd3bd413e877b4e5e7d3b58da_52">
              <w:r>
                <w:rPr>
                  <w:rStyle w:val="InternetLink"/>
                  <w:rFonts w:ascii="Times New Roman;serif" w:hAnsi="Times New Roman;serif"/>
                  <w:b w:val="false"/>
                  <w:color w:val="0000FF"/>
                  <w:sz w:val="20"/>
                  <w:u w:val="single"/>
                </w:rPr>
                <w:t>61</w:t>
              </w:r>
            </w:hyperlink>
          </w:p>
        </w:tc>
      </w:tr>
      <w:tr>
        <w:trPr/>
        <w:tc>
          <w:tcPr>
            <w:tcW w:w="8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36e8fd3bd413e877b4e5e7d3b58da_55">
              <w:r>
                <w:rPr>
                  <w:rStyle w:val="InternetLink"/>
                  <w:rFonts w:ascii="Times New Roman;serif" w:hAnsi="Times New Roman;serif"/>
                  <w:b w:val="false"/>
                  <w:color w:val="0000FF"/>
                  <w:sz w:val="20"/>
                  <w:u w:val="single"/>
                </w:rPr>
                <w:t>CERTAIN RELATIONSHIPS AND TRANSACTIONS WITH RELATED PERSONS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336e8fd3bd413e877b4e5e7d3b58da_55">
              <w:r>
                <w:rPr>
                  <w:rStyle w:val="InternetLink"/>
                  <w:rFonts w:ascii="Times New Roman;serif" w:hAnsi="Times New Roman;serif"/>
                  <w:b w:val="false"/>
                  <w:color w:val="0000FF"/>
                  <w:sz w:val="20"/>
                  <w:u w:val="single"/>
                </w:rPr>
                <w:t>64</w:t>
              </w:r>
            </w:hyperlink>
          </w:p>
        </w:tc>
      </w:tr>
      <w:tr>
        <w:trPr/>
        <w:tc>
          <w:tcPr>
            <w:tcW w:w="8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36e8fd3bd413e877b4e5e7d3b58da_58">
              <w:r>
                <w:rPr>
                  <w:rStyle w:val="InternetLink"/>
                  <w:rFonts w:ascii="Times New Roman;serif" w:hAnsi="Times New Roman;serif"/>
                  <w:b w:val="false"/>
                  <w:color w:val="0000FF"/>
                  <w:sz w:val="20"/>
                  <w:u w:val="single"/>
                </w:rPr>
                <w:t>OTHER MATTERS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336e8fd3bd413e877b4e5e7d3b58da_58">
              <w:r>
                <w:rPr>
                  <w:rStyle w:val="InternetLink"/>
                  <w:rFonts w:ascii="Times New Roman;serif" w:hAnsi="Times New Roman;serif"/>
                  <w:b w:val="false"/>
                  <w:color w:val="0000FF"/>
                  <w:sz w:val="20"/>
                  <w:u w:val="single"/>
                </w:rPr>
                <w:t>65</w:t>
              </w:r>
            </w:hyperlink>
          </w:p>
        </w:tc>
      </w:tr>
      <w:tr>
        <w:trPr/>
        <w:tc>
          <w:tcPr>
            <w:tcW w:w="8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36e8fd3bd413e877b4e5e7d3b58da_306">
              <w:r>
                <w:rPr>
                  <w:rStyle w:val="InternetLink"/>
                  <w:rFonts w:ascii="Times New Roman;serif" w:hAnsi="Times New Roman;serif"/>
                  <w:b w:val="false"/>
                  <w:color w:val="0000FF"/>
                  <w:sz w:val="20"/>
                  <w:u w:val="single"/>
                </w:rPr>
                <w:t>APPENDIX A</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336e8fd3bd413e877b4e5e7d3b58da_306">
              <w:r>
                <w:rPr>
                  <w:rStyle w:val="InternetLink"/>
                  <w:rFonts w:ascii="Times New Roman;serif" w:hAnsi="Times New Roman;serif"/>
                  <w:b w:val="false"/>
                  <w:color w:val="0000FF"/>
                  <w:sz w:val="20"/>
                  <w:u w:val="single"/>
                </w:rPr>
                <w:t>66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Proxy Statement for 2026 Annual Meeting of Stockholders</w:t>
        <w:br/>
        <w:t>To Be Held on October 26, 2026</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This proxy statement and the enclosed form of proxy are being provided to you in connection with the solicitation of proxies by our board of directors for use at the 2026 Annual Meeting of Stockholders of C3.ai, Inc., a Delaware corporation. Throughout this proxy statement, we refer to the 2026 Annual Meeting of Stockholders, including any postponements, adjournments, or continuations thereof, as the “Annual Meeting,” and we refer to C3.ai, Inc. as “C3 AI,” “we,” “us,” “our,” and the “Company.”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Annual Meeting will be held as a virtual meeting on Monday, October 26, 2026, at 10:00 a.m. Pacific Time, via a live audio webcast on the internet at www.virtualshareholdermeeting.com/AI2026 where you will be able to listen to the meeting, submit questions, and vote online. The Notice of Internet Availability of Proxy Materials containing instructions on how to access this proxy statement and our annual report is first being mailed on or about September 14, 2026, to all stockholders entitled to vote at the Annual Meeting. The Notice of Internet Availability of Proxy Materials provides instructions on how to vote online or by telephone and how to receive a paper copy of proxy materials by mail. The proxy statement for the Annual Meeting and our 2026 Annual Report can be accessed directly at www.proxyvote.com using the control number located on your Notice of Internet Availability of Proxy Materials, on your proxy card, or in the instructions that accompanied your proxy materials.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QUESTIONS AND ANSWERS</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 xml:space="preserve">What matters am I voting on?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You will be asked to vote on the following matters at the Annual Meeting: </w:t>
      </w:r>
    </w:p>
    <w:p>
      <w:pPr>
        <w:pStyle w:val="TextBody"/>
        <w:bidi w:val="0"/>
        <w:spacing w:lineRule="auto" w:line="288" w:before="18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election of the following three Class III director nominees, John C. Dwyer, Michael G. McCaffery, and Stephen M. Ward, Jr., each to hold office until our 2029 Annual Meeting of Stockholders, and until his successor is duly elected and qualified or until his earlier death, resignation, or removal;</w:t>
      </w:r>
    </w:p>
    <w:p>
      <w:pPr>
        <w:pStyle w:val="TextBody"/>
        <w:bidi w:val="0"/>
        <w:spacing w:lineRule="auto" w:line="288" w:before="18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2.Advisory approval of the compensation of our named executive officers, as disclosed in this proxy statement; </w:t>
      </w:r>
    </w:p>
    <w:p>
      <w:pPr>
        <w:pStyle w:val="TextBody"/>
        <w:bidi w:val="0"/>
        <w:spacing w:lineRule="auto" w:line="288" w:before="18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ratification of the appointment of Deloitte &amp; Touche LLP as our independent registered public accounting firm for the fiscal year ending April 30, 2027;</w:t>
      </w:r>
    </w:p>
    <w:p>
      <w:pPr>
        <w:pStyle w:val="TextBody"/>
        <w:bidi w:val="0"/>
        <w:spacing w:lineRule="auto" w:line="288" w:before="18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4.Approval of the amendment and restatement of the Company’s 2020 Equity Incentive Plan; and</w:t>
      </w:r>
    </w:p>
    <w:p>
      <w:pPr>
        <w:pStyle w:val="TextBody"/>
        <w:bidi w:val="0"/>
        <w:spacing w:lineRule="auto" w:line="288" w:before="18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5.Any other business properly brought before the Annual Meeting.</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How does our board of directors recommend that I vote on these matters?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board of directors recommends that you vote:</w:t>
      </w:r>
    </w:p>
    <w:p>
      <w:pPr>
        <w:pStyle w:val="TextBody"/>
        <w:bidi w:val="0"/>
        <w:spacing w:lineRule="auto" w:line="288" w:before="180" w:after="180"/>
        <w:ind w:left="0" w:right="0" w:hanging="360"/>
        <w:jc w:val="both"/>
        <w:rPr/>
      </w:pP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 xml:space="preserve">the election of each of John C. Dwyer, Michael G. McCaffery, and Stephen M. Ward, Jr. as Class III directors; </w:t>
      </w:r>
    </w:p>
    <w:p>
      <w:pPr>
        <w:pStyle w:val="TextBody"/>
        <w:bidi w:val="0"/>
        <w:spacing w:lineRule="auto" w:line="288" w:before="180" w:after="180"/>
        <w:ind w:left="0" w:right="0" w:hanging="360"/>
        <w:jc w:val="both"/>
        <w:rPr/>
      </w:pP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advisory approval of the compensation of our named executive officers, as disclosed in this proxy statement;</w:t>
      </w:r>
    </w:p>
    <w:p>
      <w:pPr>
        <w:pStyle w:val="TextBody"/>
        <w:bidi w:val="0"/>
        <w:spacing w:lineRule="auto" w:line="288" w:before="180" w:after="180"/>
        <w:ind w:left="0" w:right="0" w:hanging="360"/>
        <w:jc w:val="both"/>
        <w:rPr/>
      </w:pP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ratification of the appointment of Deloitte &amp; Touche LLP as our independent registered public accounting firm for the fiscal year ending April 30, 2027;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036955"/>
                <wp:effectExtent l="0" t="0" r="0" b="0"/>
                <wp:wrapNone/>
                <wp:docPr id="5" name="Frame5"/>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approval of the amendment and restatement of the Company’s 2020 Equity Incentive Plan.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Holders of either class of our common stock as of the close of business on September 4, 2026, the record date, may vote at the Annual Meeting. As of August 4, 2026, there were 156,587,193 shares of our Class A common stock outstanding and 3,499,992 shares of our Class B common stock outstanding.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Class A common stock and Class B common stock will vote as a single class on all matters described in this proxy statement for which your vote is being solicited. Each share of Class A common stock is entitled to one vote on each proposal, and each share of Class B common stock is entitled to 50 votes on each proposal. Our Class A common stock and Class B common stock are collectively referred to in this proxy statement as our common stock. Stockholders are not permitted to cumulate votes with respect to the election of directors.</w:t>
      </w:r>
    </w:p>
    <w:p>
      <w:pPr>
        <w:pStyle w:val="TextBody"/>
        <w:bidi w:val="0"/>
        <w:spacing w:lineRule="auto" w:line="288" w:before="180" w:after="180"/>
        <w:jc w:val="both"/>
        <w:rPr/>
      </w:pPr>
      <w:r>
        <w:rPr>
          <w:rFonts w:ascii="Times New Roman;serif" w:hAnsi="Times New Roman;serif"/>
          <w:b w:val="false"/>
          <w:i/>
          <w:color w:val="000000"/>
          <w:sz w:val="20"/>
        </w:rPr>
        <w:t>Registered Stockholders</w:t>
      </w:r>
      <w:r>
        <w:rPr>
          <w:rFonts w:ascii="Times New Roman;serif" w:hAnsi="Times New Roman;serif"/>
          <w:b w:val="false"/>
          <w:color w:val="000000"/>
          <w:sz w:val="20"/>
        </w:rPr>
        <w:t xml:space="preserve">. If your shares of our common stock are registered directly in your name with our transfer agent, you are considered the stockholder of record with respect to those shares. As a stockholder of record, you have the right to grant your voting proxy directly to the individuals listed on the proxy card or to vote live at the Annual Meeting. </w:t>
      </w:r>
    </w:p>
    <w:p>
      <w:pPr>
        <w:pStyle w:val="TextBody"/>
        <w:bidi w:val="0"/>
        <w:spacing w:lineRule="auto" w:line="288" w:before="180" w:after="180"/>
        <w:jc w:val="both"/>
        <w:rPr/>
      </w:pPr>
      <w:r>
        <w:rPr>
          <w:rFonts w:ascii="Times New Roman;serif" w:hAnsi="Times New Roman;serif"/>
          <w:b w:val="false"/>
          <w:i/>
          <w:color w:val="000000"/>
          <w:sz w:val="20"/>
        </w:rPr>
        <w:t>Street Name Stockholders</w:t>
      </w:r>
      <w:r>
        <w:rPr>
          <w:rFonts w:ascii="Times New Roman;serif" w:hAnsi="Times New Roman;serif"/>
          <w:b w:val="false"/>
          <w:color w:val="000000"/>
          <w:sz w:val="20"/>
        </w:rPr>
        <w:t xml:space="preserve">. If your shares of our common stock are held on your behalf in a brokerage account or by a bank or other nominee, you are considered to be the beneficial owner of shares that are held in “street name.” As the beneficial owner, you have the right to direct your broker, bank, or other nominee as to how to vote your shares. Beneficial owners are also invited to attend the Annual Meeting. However, since a beneficial owner is not the stockholder of record, you may not vote your shares of our common stock live at the Annual Meeting unless you follow your broker, bank, or other nominee’s procedures for obtaining a legal proxy. If you request a printed copy of our proxy materials by mail, your broker, bank, or other nominee will provide a voting instruction form for your use. </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How many votes are needed for approval of each proposal?</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i/>
          <w:color w:val="000000"/>
          <w:sz w:val="20"/>
        </w:rPr>
        <w:t>Proposal No. 1</w:t>
      </w:r>
      <w:r>
        <w:rPr>
          <w:rFonts w:ascii="Times New Roman;serif" w:hAnsi="Times New Roman;serif"/>
          <w:b w:val="false"/>
          <w:color w:val="000000"/>
          <w:sz w:val="20"/>
        </w:rPr>
        <w:t>. The election of directors requires a plurality of the votes of the shares of our common stock present virtually or represented by proxy at the Annual Meeting and entitled to vote generally thereon to be approved. “Plurality” means that the nominees who receive the largest number of votes cast “FOR” such nominees are elected as directors. As a result, any shares not voted “FOR” a particular nominee (whether due to votes withheld or a broker non-vote) will not be counted in such nominee’s favor and will have no effect on the outcome of the election. You may vote “FOR” or “WITHHOLD” on each nominee for election. Only votes “For” will affect the outcome of the vote. “Withhold” votes and broker non-votes will have no effect on the outcome of the vote. Withhold votes and broker non-votes will have no effect on the outcome of this proposal.</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i/>
          <w:color w:val="000000"/>
          <w:sz w:val="20"/>
        </w:rPr>
        <w:t>Proposal No. 2</w:t>
      </w:r>
      <w:r>
        <w:rPr>
          <w:rFonts w:ascii="Times New Roman;serif" w:hAnsi="Times New Roman;serif"/>
          <w:b w:val="false"/>
          <w:color w:val="000000"/>
          <w:sz w:val="20"/>
        </w:rPr>
        <w:t>. This proposal, commonly referred to as the “say-on-pay” vote, must receive “FOR” votes from the holders of a majority of the voting power of the shares of our common stock present virtually or represented by proxy at the Annual Meeting and entitled to vote generally thereon to be approved. Abstentions are considered votes present and entitled to vote on this proposal, and thus, will have the same effect as a vote “AGAINST” this proposal. Broker non-votes will have no effect on the outcome of this proposal. Since this proposal is an advisory vote, the result will not be binding on our board of directors. However, our board of directors values our stockholders’ opinions, and our board of directors and the compensation committee will take into account the outcome of the advisory vote when considering future executive compensation decisions.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i/>
          <w:color w:val="000000"/>
          <w:sz w:val="20"/>
        </w:rPr>
        <w:t>Proposal No. 3</w:t>
      </w:r>
      <w:r>
        <w:rPr>
          <w:rFonts w:ascii="Times New Roman;serif" w:hAnsi="Times New Roman;serif"/>
          <w:b w:val="false"/>
          <w:color w:val="000000"/>
          <w:sz w:val="20"/>
        </w:rPr>
        <w:t>. The ratification of the appointment of Deloitte &amp; Touche LLP as our independent registered public accounting firm for the fiscal year ending April 30, 2027, requires the affirmative vote of a majority of the voting power of the shares of our common stock present virtually or represented by proxy at the Annual Meeting and entitled to vote generally thereon to be approved. Abstentions are considered votes present and entitled to vote on this proposal, and thus, will have the same effect as a vote “AGAINST” this proposal. Since this proposal is considered to be “routine” under New York Stock Exchange (“NYSE”) rules, we do not expect any broker non-votes on this proposal.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036955"/>
                <wp:effectExtent l="0" t="0" r="0" b="0"/>
                <wp:wrapNone/>
                <wp:docPr id="6" name="Frame6"/>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0"/>
        </w:rPr>
        <w:t>Proposal No. 4.</w:t>
      </w:r>
      <w:r>
        <w:rPr>
          <w:color w:val="000000"/>
        </w:rPr>
        <w:t xml:space="preserve"> </w:t>
      </w:r>
      <w:r>
        <w:rPr>
          <w:rFonts w:ascii="Times New Roman;serif" w:hAnsi="Times New Roman;serif"/>
          <w:b w:val="false"/>
          <w:color w:val="000000"/>
          <w:sz w:val="20"/>
        </w:rPr>
        <w:t>Under applicable NYSE rules (which our bylaws apply to this proposal), the approval of the amendment and restatement of our 2020 Equity Incentive Plan requires the affirmative vote of a majority of the votes cast to be approved. Under Delaware law, abstentions are not considered votes cast, and thus, will have no effect on the outcome of this proposal. Broker non-votes will have no effect on the outcome of this proposal.</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What is a quorum?</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 quorum is the minimum number of shares required to be present at the Annual Meeting to properly hold an annual meeting of stockholders and conduct business under our amended and restated bylaws and Delaware law. The presence, virtually or by proxy duly authorized, of the holders of a majority of the voting power of the outstanding shares of our common stock entitled to vote at the Annual Meeting will constitute a quorum for the conduct of business at the Annual Meeting. Abstentions, withhold votes, and broker non-votes are counted as shares present and entitled to vote for purposes of determining a quorum.</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How do I vote?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If you are a stockholder of record, there are four ways to vote:</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by internet at www.proxyvote.com, 24 hours a day, seven days a week, until 11:59 p.m. Eastern Time, on October 25, 2026;</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by toll-free telephone at 1-800-690-6903 until 11:59 p.m. Eastern Time, on October 25, 2026;</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by completing and mailing your proxy card so it is received prior to the Annual Meeting (if you received printed proxy materials); and</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by attending and voting at the Annual Meeting by visiting www.virtualshareholdermeeting.com/AI2026, where stockholders may vote and submit questions (before and during) the Annual Meeting.</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Even if you plan to attend the Annual Meeting, we recommend that you also vote by proxy prior to the Annual Meeting so that your vote will be counted if you later decide not to attend the Annual Meeting.</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If you hold your shares in “street name,” you will receive voting instructions from your broker, bank, or other nominee. You must follow the voting instructions provided by your broker, bank, or other nominee in order to direct your broker, bank, or other nominee on how to vote your shares. As discussed above, if you hold shares in “street name,” you may not vote your shares live at the Annual Meeting unless you obtain a legal proxy from your broker, bank, or other nominee.</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What happens if I do not submit a proxy or voting instructions?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If you are a stockholder of record and do not submit a proxy to vote your shares through the internet, by telephone, or by completing a proxy card, and you do not vote online during the Annual Meeting, your shares will not be voted.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036955"/>
                <wp:effectExtent l="0" t="0" r="0" b="0"/>
                <wp:wrapNone/>
                <wp:docPr id="7" name="Frame7"/>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If you are a beneficial owner and do not instruct your broker, bank, or other agent how to vote your shares, your broker, bank or other agent may still be able to vote your shares in its discretion. In this regard, under the rules of the NYSE brokers, banks and other securities intermediaries that are subject to NYSE rules may use their discretion to vote your “uninstructed” shares with respect to matters considered to be “routine” under NYSE rules, but not with respect to “non-routine” matters. The election of directors (Proposal No. 1), the advisory approval of the compensation of our named executive officers (Proposal No. 2), and the approval of the amendment and restatement of our 2020 Equity Incentive Plan (Proposal No. 4) are matters considered to be “non-routine” under NYSE rules, meaning that your broker may not vote your shares on those proposals in the absence of your voting instructions. However, the ratification of the appointment of Deloitte &amp; Touche LLP as our independent registered public accounting firm for our fiscal year ending April 30, 2027 (Proposal No. 3) is considered to be a “routine” matter under NYSE rules, meaning that if you do not return voting instructions to your broker by its deadline, your shares may be voted by your broker in its discretion on Proposal No. 3. When there is at least one “routine” matter that your broker votes on, uninstructed shares that cannot be voted on “non-routine” matters result in what are commonly referred to as “broker non-votes.”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If you are a beneficial owner of shares held in street name, and you do not plan to attend the Annual Meeting, in order to ensure your shares are voted in the way you would prefer, you must provide voting instructions to your broker, bank, or other nominee by the deadline provided in the materials you receive from your nominee.</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What if I return a proxy card or otherwise vote but do not make specific choices?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If you return a signed and dated proxy card or otherwise submit a proxy without marking voting selections on each proposal, your shares will be voted in accordance with the recommendations of our board of directors on any proposal for which you have not marked a voting selection: </w:t>
      </w:r>
    </w:p>
    <w:p>
      <w:pPr>
        <w:pStyle w:val="TextBody"/>
        <w:bidi w:val="0"/>
        <w:spacing w:lineRule="auto" w:line="288" w:before="180" w:after="180"/>
        <w:ind w:left="0" w:right="0" w:hanging="360"/>
        <w:jc w:val="both"/>
        <w:rPr/>
      </w:pP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 xml:space="preserve">the election of each of the three nominees for Class III director named in this proxy statement; </w:t>
      </w:r>
    </w:p>
    <w:p>
      <w:pPr>
        <w:pStyle w:val="TextBody"/>
        <w:bidi w:val="0"/>
        <w:spacing w:lineRule="auto" w:line="288" w:before="180" w:after="180"/>
        <w:ind w:left="0" w:right="0" w:hanging="360"/>
        <w:jc w:val="both"/>
        <w:rPr/>
      </w:pP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advisory approval of the compensation of our named executive officers, as disclosed in this proxy statement;</w:t>
      </w:r>
    </w:p>
    <w:p>
      <w:pPr>
        <w:pStyle w:val="TextBody"/>
        <w:bidi w:val="0"/>
        <w:spacing w:lineRule="auto" w:line="288" w:before="180" w:after="180"/>
        <w:ind w:left="0" w:right="0" w:hanging="360"/>
        <w:jc w:val="both"/>
        <w:rPr/>
      </w:pP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 xml:space="preserve">the ratification of the appointment of Deloitte &amp; Touche LLP as our independent registered public accounting firm for the fiscal year ending April 30, 2027; and </w:t>
      </w:r>
    </w:p>
    <w:p>
      <w:pPr>
        <w:pStyle w:val="TextBody"/>
        <w:bidi w:val="0"/>
        <w:spacing w:lineRule="auto" w:line="268" w:before="0" w:after="0"/>
        <w:ind w:left="0" w:right="0" w:hanging="360"/>
        <w:jc w:val="both"/>
        <w:rPr/>
      </w:pP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approval of the amendment and restatement of our 2020 Equity Incentive Plan.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If any other matter is properly presented at the Annual Meeting, your proxy holder (one of the individuals named on your proxy card) will vote your shares using his or her best judgment.</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 xml:space="preserve">What if another matter is properly brought before the Annual Meeting?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does not intend to bring any other matters to be voted on at the Annual Meeting, and currently knows of no other matters that will be presented for consideration at the Annual Meeting. If any other matters are properly brought before the Annual Meeting, your proxy holder (one of the individuals named on your proxy card) will vote your shares using his or her best judgment. </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Can I change my vote?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Yes. If you are a stockholder of record, you can change your vote or revoke your proxy any time before the Annual Meeting by:</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entering a new vote by internet or by telephone;</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completing and returning a later-dated proxy card; or</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attending and voting at the Annual Meeting (although attendance at the Annual Meeting will not, by itself, revoke a proxy).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036955"/>
                <wp:effectExtent l="0" t="0" r="0" b="0"/>
                <wp:wrapNone/>
                <wp:docPr id="8" name="Frame8"/>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If you hold your shares in “street name,” your broker, bank, or other nominee can provide you with instructions on how to change your vote.</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 xml:space="preserve">How do I attend the Annual Meeting?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will be hosting the Annual Meeting via live, audio-only webcast. You can attend the Annual Meeting live online by visiting www.virtualshareholdermeeting.com/AI2026 and logging in with your control number. The meeting will start at 10:00 a.m. Pacific Time, on Monday, October 26, 2026. We recommend that you log in a few minutes before 10:00 a.m. Pacific Time, to ensure you are logged in when the Annual Meeting starts. The webcast will open 15 minutes before the start of the Annual Meeting. Stockholders attending the Annual Meeting will be afforded the same rights and opportunities to participate as they would at an in-person meeting.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In order to enter the Annual Meeting, you will need your control number, which is included on your Notice of Internet Availability of Proxy Materials or your proxy card if you are a stockholder of record. If you hold your shares in “street name,” your control number is included with your voting instruction card and voting instructions received from your broker, bank, or other nominee. Instructions on how to attend and participate at the Annual Meeting are available at www.virtualshareholdermeeting.com/AI2026.</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To help ensure that we have a productive and efficient meeting, and in fairness to all stockholders in attendance, you will find posted our rules of conduct for the Annual Meeting when you log in prior to its start. We will answer as many questions submitted in accordance with the rules of conduct as possible in the time allotted for the Annual Meeting. Only questions that are relevant to an agenda item to be voted on by stockholders at the Annual Meeting will be answered.</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 xml:space="preserve">What if I have technical difficulties or trouble accessing the Annual Meeting?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will have technicians ready to assist you with any technical difficulties you may have accessing the Annual Meeting. If you encounter any difficulties accessing the Annual Meeting during the check-in or meeting time, please call the technical support number that will be posted at www.virtualshareholdermeeting.com/AI2026. </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Why did I receive a Notice of Internet Availability of Proxy Materials instead of a full set of proxy materials?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In accordance with the rules of the Securities and Exchange Commission, or the SEC, we have elected to furnish our proxy materials, including this proxy statement and our annual report, primarily via the internet. The Notice of Internet Availability of Proxy Materials contains instructions on how to access our proxy materials for the Annual Meeting and vote your shares. You may request to receive all future proxy materials in printed form by mail or electronically by e-mail by following the instructions contained in the Notice of Internet Availability of Proxy Materials. We encourage you to take advantage of the availability of our proxy materials on the internet to help reduce the environmental impact and cost of our annual meetings of stockholders.</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 xml:space="preserve">What does it mean if I receive more than one Notice of Internet Availability of Proxy Materials?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If you receive more than one Notice of Internet Availability of Proxy Materials, your shares may be registered in more than one name or in different accounts. Please follow the voting instructions on each Notice of Internet Availability of Proxy Materials to ensure that all of your shares are voted. </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 xml:space="preserve">Can I vote my shares by filling out and returning the Notice of Internet Availability of Proxy Materials?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No. The Notice of Internet Availability of Proxy Materials identifies the items to be voted on at the Annual Meeting, but you cannot vote by marking and returning it. The Notice of Internet Availability of Proxy Materials provides instructions on how to vote by proxy in advance of the Annual Meeting through the internet, by telephone, using a printed proxy card, or online during the Annual Meeting.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036955"/>
                <wp:effectExtent l="0" t="0" r="0" b="0"/>
                <wp:wrapNone/>
                <wp:docPr id="9" name="Frame9"/>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How are proxies solicited for the Annual Meeting?</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board of directors is soliciting proxies for the Annual Meeting. All expenses associated with this solicitation will be borne by us. We will reimburse brokers, banks, or other nominees for reasonable expenses that they incur in sending our proxy materials to you if a broker, bank, or other nominee holds shares of our common stock on your behalf. In addition, our directors and employees may also solicit proxies in person, by telephone, or by other means. Our directors and employees will not be paid any additional compensation for soliciting proxies.</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How may my broker, bank, or other nominee vote my shares if I fail to provide timely directions?</w:t>
      </w:r>
    </w:p>
    <w:p>
      <w:pPr>
        <w:pStyle w:val="TextBody"/>
        <w:bidi w:val="0"/>
        <w:spacing w:lineRule="auto" w:line="288" w:before="180" w:after="180"/>
        <w:jc w:val="both"/>
        <w:rPr/>
      </w:pPr>
      <w:r>
        <w:rPr>
          <w:rFonts w:ascii="Times New Roman;serif" w:hAnsi="Times New Roman;serif"/>
          <w:b w:val="false"/>
          <w:color w:val="000000"/>
          <w:sz w:val="20"/>
        </w:rPr>
        <w:t xml:space="preserve">Brokers, banks, or other nominees holding shares of our common stock in street name for their customers are generally required to vote such shares in the manner directed by their customers. In the absence of timely directions, your broker will have discretion to vote your shares on “routine” matters, as determined under NYSE rules. The only “routine” matter being considered at the Annual Meeting is the proposal to ratify the appointment of Deloitte &amp; Touche LLP as our independent registered public accounting firm for the fiscal year ending April 30, 2027. Your broker will not have discretion to vote on any other proposals, all of which are considered “non-routine” matters, absent direction from you. </w:t>
      </w:r>
      <w:r>
        <w:rPr>
          <w:rFonts w:ascii="Times New Roman;serif" w:hAnsi="Times New Roman;serif"/>
          <w:b/>
          <w:color w:val="000000"/>
          <w:sz w:val="20"/>
        </w:rPr>
        <w:t>If you are a beneficial owner of shares held in street name, and you do not plan to attend the Annual Meeting, in order to ensure your shares are voted in the way you would prefer, you must provide voting instructions to your broker, bank, or other nominee by the deadline provided in the materials you receive from your nominee.</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 xml:space="preserve">What are “broker non-votes”?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As discussed above, under the rules of the NYSE brokers, banks, and other securities intermediaries that are subject to NYSE rules may use their discretion to vote your “uninstructed” shares with respect to matters considered to be “routine” under NYSE rules, but not with respect to “non-routine” matters. When there is at least one “routine” matter that your broker votes on, uninstructed shares that cannot be voted on “non-routine” matters result in what are commonly referred to as “broker non-votes.”</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Where can I find the voting results of the Annual Meeting?</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will announce preliminary voting results at the Annual Meeting. We will also disclose voting results on a Current Report on Form 8-K that we will file with the SEC within four business days after the Annual Meeting. If final voting results are not available in time to file a Current Report on Form 8-K within four business days after the Annual Meeting, we will file a Current Report on Form 8-K to publish preliminary results and will provide the final results in an amendment to the Current Report on Form 8-K as soon as they become available.</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I share an address with another stockholder, and we received only one paper copy of the proxy materials. How may I obtain an additional copy of the proxy materials?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have adopted a procedure called “householding,” which the SEC has approved. Under this procedure, we deliver a single copy of the Notice of Internet Availability of Proxy Materials and, if applicable, our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cards. Upon written or oral request, we will deliver promptly a separate copy of the Notice of Internet Availability of Proxy Materials and, if applicable, our proxy materials to any stockholder at a shared address to which we delivered a single copy of any of these materials. To receive a separate copy, or, if a stockholder is receiving multiple copies, to request that we only send a single copy of the Notice of Internet Availability of Proxy Materials and, if applicable, our proxy materials, such stockholder may contact us at the following mailing address, telephone number, or email address: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036955"/>
                <wp:effectExtent l="0" t="0" r="0" b="0"/>
                <wp:wrapNone/>
                <wp:docPr id="10" name="Frame10"/>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center"/>
        <w:rPr>
          <w:rFonts w:ascii="Times New Roman;serif" w:hAnsi="Times New Roman;serif"/>
          <w:b w:val="false"/>
          <w:color w:val="000000"/>
          <w:sz w:val="20"/>
        </w:rPr>
      </w:pPr>
      <w:r>
        <w:rPr>
          <w:rFonts w:ascii="Times New Roman;serif" w:hAnsi="Times New Roman;serif"/>
          <w:b w:val="false"/>
          <w:color w:val="000000"/>
          <w:sz w:val="20"/>
        </w:rPr>
        <w:t>C3.ai, Inc.</w:t>
        <w:br/>
        <w:t>Attention: Investor Relations</w:t>
        <w:br/>
        <w:t>1400 Seaport Blvd</w:t>
        <w:br/>
        <w:t>Redwood City, California 94063</w:t>
        <w:br/>
        <w:t>Tel: (650) 503-2200</w:t>
        <w:br/>
        <w:t>Email: ir@c3.ai</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If you hold your shares in “street name,” you may contact your broker, bank, or other nominee to request information about householding.</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What is the deadline to propose actions for consideration at next year’s annual meeting of stockholders or to nominate individuals to serve as directors?</w:t>
      </w:r>
    </w:p>
    <w:p>
      <w:pPr>
        <w:pStyle w:val="TextBody"/>
        <w:bidi w:val="0"/>
        <w:spacing w:lineRule="auto" w:line="288" w:before="180" w:after="180"/>
        <w:jc w:val="both"/>
        <w:rPr/>
      </w:pPr>
      <w:r>
        <w:rPr>
          <w:rFonts w:ascii="Times New Roman;serif" w:hAnsi="Times New Roman;serif"/>
          <w:b w:val="false"/>
          <w:i/>
          <w:color w:val="000000"/>
          <w:sz w:val="20"/>
        </w:rPr>
        <w:t>Stockholder Proposals</w:t>
      </w:r>
      <w:r>
        <w:rPr>
          <w:rFonts w:ascii="Times New Roman;serif" w:hAnsi="Times New Roman;serif"/>
          <w:b w:val="false"/>
          <w:color w:val="000000"/>
          <w:sz w:val="20"/>
        </w:rPr>
        <w:t>. Stockholders may present proper proposals for inclusion in our proxy statement and for consideration at next year’s annual meeting of stockholders by submitting their proposals in writing to our Secretary in a timely manner. For a stockholder proposal to be considered for inclusion in our proxy statement for the 2027 annual meeting of stockholders, our Secretary must receive the written proposal at our principal executive offices not later than May 17, 2027. In addition, stockholder proposals must comply with the requirements of Rule 14a-8 under the Securities Exchange Act of 1934, as amended, or the Exchange Act, regarding the inclusion of stockholder proposals in company-sponsored proxy materials. Stockholder proposals should be addressed to:</w:t>
      </w:r>
    </w:p>
    <w:p>
      <w:pPr>
        <w:pStyle w:val="TextBody"/>
        <w:bidi w:val="0"/>
        <w:spacing w:lineRule="auto" w:line="288" w:before="180" w:after="180"/>
        <w:jc w:val="center"/>
        <w:rPr>
          <w:rFonts w:ascii="Times New Roman;serif" w:hAnsi="Times New Roman;serif"/>
          <w:b w:val="false"/>
          <w:color w:val="000000"/>
          <w:sz w:val="20"/>
        </w:rPr>
      </w:pPr>
      <w:r>
        <w:rPr>
          <w:rFonts w:ascii="Times New Roman;serif" w:hAnsi="Times New Roman;serif"/>
          <w:b w:val="false"/>
          <w:color w:val="000000"/>
          <w:sz w:val="20"/>
        </w:rPr>
        <w:t>C3.ai, Inc.</w:t>
        <w:br/>
        <w:t>Attention: General Counsel</w:t>
        <w:br/>
        <w:t>1400 Seaport Blvd</w:t>
        <w:br/>
        <w:t>Redwood City, California 94063</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amended and restated bylaws also establish an advance notice procedure for stockholders who wish to present a proposal before an annual meeting of stockholders but do not intend for the proposal to be included in our proxy statement. Our amended and restated bylaws provide that the only business that may be conducted at an annual meeting of stockholders is business that is (i) specified in the notice with respect to such annual meeting delivered to stockholders, (ii) brought specifically by or at the direction of our board of directors, or a duly authorized committee of our board of directors, or (iii) properly brought before the meeting in accordance with our amended and restated bylaws by a stockholder of record entitled to vote at the meeting. To be properly brought, notice of the proposal must contain the information required by our amended and restated bylaws and must be received by our Secretary at our principal executive offices not earlier than the close of business on June 28, 2027, and not later than the close of business on July 28, 2027.</w:t>
      </w:r>
    </w:p>
    <w:p>
      <w:pPr>
        <w:pStyle w:val="TextBody"/>
        <w:bidi w:val="0"/>
        <w:spacing w:lineRule="auto" w:line="288" w:before="180" w:after="180"/>
        <w:jc w:val="both"/>
        <w:rPr/>
      </w:pPr>
      <w:r>
        <w:rPr>
          <w:rFonts w:ascii="Times New Roman;serif" w:hAnsi="Times New Roman;serif"/>
          <w:b w:val="false"/>
          <w:color w:val="000000"/>
          <w:sz w:val="20"/>
        </w:rPr>
        <w:t>In the event that we hold the 2027 annual meeting of stockholders more than 30 days before or after the one-year anniversary of the Annual Meeting, notice of a stockholder proposal that is not intended to be included in our proxy statement must be received no earlier than the close of business on the 120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day before the 2027 annual meeting of stockholders and no later than the close of business on the later of the following two dates: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the 90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day prior to the 2027 annual meeting of stockholders; or</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the 10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day following the day on which public announcement of the date of our 2027 annual meeting of stockholders is first made.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If a stockholder who has notified us of his, her or its intention to present a proposal at an annual meeting of stockholders does not appear to present his, her or its proposal at such annual meeting, we are not required to present the proposal for a vote at such annual meeting.</w:t>
      </w:r>
    </w:p>
    <w:p>
      <w:pPr>
        <w:pStyle w:val="TextBody"/>
        <w:bidi w:val="0"/>
        <w:spacing w:lineRule="auto" w:line="288" w:before="180" w:after="180"/>
        <w:jc w:val="both"/>
        <w:rPr/>
      </w:pPr>
      <w:r>
        <w:rPr>
          <w:rFonts w:ascii="Times New Roman;serif" w:hAnsi="Times New Roman;serif"/>
          <w:b w:val="false"/>
          <w:i/>
          <w:color w:val="000000"/>
          <w:sz w:val="20"/>
        </w:rPr>
        <w:t>Director Nominations</w:t>
      </w:r>
      <w:r>
        <w:rPr>
          <w:rFonts w:ascii="Times New Roman;serif" w:hAnsi="Times New Roman;serif"/>
          <w:b w:val="false"/>
          <w:color w:val="000000"/>
          <w:sz w:val="20"/>
        </w:rPr>
        <w:t xml:space="preserve">. Our amended and restated bylaws permit stockholders to nominate directors for election at an annual meeting of stockholders. To nominate a director candidate, you must provide the information required by our amended and restated bylaws. In addition, you must give timely notice to our Secretary in accordance with our amended and restated bylaws, which, in general, require that the notice be received by our Secretary within the time periods described above for stockholder proposals that are not intended to be included in a proxy statement.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036955"/>
                <wp:effectExtent l="0" t="0" r="0" b="0"/>
                <wp:wrapNone/>
                <wp:docPr id="11" name="Frame11"/>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In addition to satisfying the foregoing requirements under our amended and restated bylaws, to comply with the universal proxy rules under the Exchange Act, stockholders who intend to solicit proxies in connection with the 2027 annual meeting in support of director nominees other than our nominees must provide notice that sets forth the information required by Rule 14a-19 under the Exchange Act no later than the deadlines set forth above for stockholder proposals that are not intended to be included in a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036955"/>
                <wp:effectExtent l="0" t="0" r="0" b="0"/>
                <wp:wrapNone/>
                <wp:docPr id="12" name="Frame12"/>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INFORMATION REGARDING OUR BOARD OF DIRECTORS AND CORPORATE GOVERNANCE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certain information as of August 4, 2026, concerning the Class III nominees for election at the Annual Meeting and our other directors who will continue in office after the Annual Meeting: </w:t>
      </w:r>
    </w:p>
    <w:tbl>
      <w:tblPr>
        <w:tblW w:w="8865" w:type="dxa"/>
        <w:jc w:val="left"/>
        <w:tblInd w:w="0" w:type="dxa"/>
        <w:tblLayout w:type="fixed"/>
        <w:tblCellMar>
          <w:top w:w="28" w:type="dxa"/>
          <w:left w:w="28" w:type="dxa"/>
          <w:bottom w:w="28" w:type="dxa"/>
          <w:right w:w="28" w:type="dxa"/>
        </w:tblCellMar>
      </w:tblPr>
      <w:tblGrid>
        <w:gridCol w:w="801"/>
        <w:gridCol w:w="704"/>
        <w:gridCol w:w="715"/>
        <w:gridCol w:w="185"/>
        <w:gridCol w:w="185"/>
        <w:gridCol w:w="186"/>
        <w:gridCol w:w="145"/>
        <w:gridCol w:w="145"/>
        <w:gridCol w:w="146"/>
        <w:gridCol w:w="757"/>
        <w:gridCol w:w="757"/>
        <w:gridCol w:w="765"/>
        <w:gridCol w:w="439"/>
        <w:gridCol w:w="439"/>
        <w:gridCol w:w="441"/>
        <w:gridCol w:w="602"/>
        <w:gridCol w:w="602"/>
        <w:gridCol w:w="851"/>
      </w:tblGrid>
      <w:tr>
        <w:trPr/>
        <w:tc>
          <w:tcPr>
            <w:tcW w:w="80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w:t>
            </w:r>
          </w:p>
        </w:tc>
        <w:tc>
          <w:tcPr>
            <w:tcW w:w="55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w:t>
            </w:r>
          </w:p>
        </w:tc>
        <w:tc>
          <w:tcPr>
            <w:tcW w:w="43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Age</w:t>
            </w:r>
          </w:p>
        </w:tc>
        <w:tc>
          <w:tcPr>
            <w:tcW w:w="227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Position</w:t>
            </w:r>
          </w:p>
        </w:tc>
        <w:tc>
          <w:tcPr>
            <w:tcW w:w="131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Director Since</w:t>
            </w:r>
          </w:p>
        </w:tc>
        <w:tc>
          <w:tcPr>
            <w:tcW w:w="205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Current Term Expires</w:t>
            </w:r>
          </w:p>
        </w:tc>
      </w:tr>
      <w:tr>
        <w:trPr/>
        <w:tc>
          <w:tcPr>
            <w:tcW w:w="8865" w:type="dxa"/>
            <w:gridSpan w:val="18"/>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Director Nominees*</w:t>
            </w:r>
          </w:p>
        </w:tc>
      </w:tr>
      <w:tr>
        <w:trPr/>
        <w:tc>
          <w:tcPr>
            <w:tcW w:w="22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C. Dwyer</w:t>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w:t>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c>
          <w:tcPr>
            <w:tcW w:w="22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20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G. McCaffery</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Lead Independent Director</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2009</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r>
      <w:tr>
        <w:trPr/>
        <w:tc>
          <w:tcPr>
            <w:tcW w:w="22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M. Ward, Jr.</w:t>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w:t>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w:t>
            </w:r>
          </w:p>
        </w:tc>
        <w:tc>
          <w:tcPr>
            <w:tcW w:w="22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2009</w:t>
            </w:r>
          </w:p>
        </w:tc>
        <w:tc>
          <w:tcPr>
            <w:tcW w:w="20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r>
      <w:tr>
        <w:trPr/>
        <w:tc>
          <w:tcPr>
            <w:tcW w:w="886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Continuing Directors</w:t>
            </w:r>
          </w:p>
        </w:tc>
      </w:tr>
      <w:tr>
        <w:trPr/>
        <w:tc>
          <w:tcPr>
            <w:tcW w:w="22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Kenneth A. Goldman</w:t>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w:t>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w:t>
            </w:r>
          </w:p>
        </w:tc>
        <w:tc>
          <w:tcPr>
            <w:tcW w:w="22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20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Alan Murray</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r>
      <w:tr>
        <w:trPr/>
        <w:tc>
          <w:tcPr>
            <w:tcW w:w="22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M. Siebel</w:t>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w:t>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w:t>
            </w:r>
          </w:p>
        </w:tc>
        <w:tc>
          <w:tcPr>
            <w:tcW w:w="22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CEO and Chairman</w:t>
            </w:r>
          </w:p>
        </w:tc>
        <w:tc>
          <w:tcPr>
            <w:tcW w:w="13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2009</w:t>
            </w:r>
          </w:p>
        </w:tc>
        <w:tc>
          <w:tcPr>
            <w:tcW w:w="20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 Sridhar</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r>
      <w:tr>
        <w:trPr/>
        <w:tc>
          <w:tcPr>
            <w:tcW w:w="22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Mike Clayville</w:t>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w:t>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c>
          <w:tcPr>
            <w:tcW w:w="22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20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(Ret.) John Hyten</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r>
      <w:tr>
        <w:trPr/>
        <w:tc>
          <w:tcPr>
            <w:tcW w:w="22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C. Levin</w:t>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w:t>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shd w:fill="DBDBDB" w:val="clear"/>
              </w:rPr>
            </w:pPr>
            <w:r>
              <w:rPr>
                <w:rFonts w:ascii="Times New Roman;serif" w:hAnsi="Times New Roman;serif"/>
                <w:b w:val="false"/>
                <w:color w:val="000000"/>
                <w:sz w:val="20"/>
                <w:shd w:fill="DBDBDB" w:val="clear"/>
              </w:rPr>
              <w:t>79</w:t>
            </w:r>
          </w:p>
        </w:tc>
        <w:tc>
          <w:tcPr>
            <w:tcW w:w="22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2010</w:t>
            </w:r>
          </w:p>
        </w:tc>
        <w:tc>
          <w:tcPr>
            <w:tcW w:w="20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Bruce Sewell</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2017</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Dr. Condoleezza Rice is not standing for an additional term as a Class III director, and her service as a Class III director will expire at the 2026 annual meeting of stockholders. Our board of directors thanks Dr. Rice for her many years of service to the Company. As of August 25, 2026, our board of directors appointed John C. Dwyer as a Class III director to serve until his term of office expires and until his successor is duly elected and qualified, or until his earlier death, resignation, or removal. Mr. Dwyer is standing for re-election at the 2026 annual meeting of stockholders to serve a three-year term as a Class III director. In addition, as previously announced on June 16, 2026, Jim H. Snabe is on a leave of absence from our board of directors and is not standing for re-election at the 2026 annual meeting of stockholders.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Set forth below is biographical information for the Class III director nominees and each person whose term of office as a director will continue after the Annual Meeting. This includes information regarding each director’s experience, qualifications, attributes, or skills that led our board of directors to recommend them for board service.</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Nominees for Election at the Annual Meeting</w:t>
      </w:r>
    </w:p>
    <w:p>
      <w:pPr>
        <w:pStyle w:val="TextBody"/>
        <w:bidi w:val="0"/>
        <w:spacing w:lineRule="auto" w:line="288" w:before="180" w:after="180"/>
        <w:jc w:val="both"/>
        <w:rPr/>
      </w:pPr>
      <w:r>
        <w:rPr>
          <w:rFonts w:ascii="Times New Roman;serif" w:hAnsi="Times New Roman;serif"/>
          <w:b w:val="false"/>
          <w:i/>
          <w:color w:val="000000"/>
          <w:sz w:val="20"/>
        </w:rPr>
        <w:t>John C. Dwyer</w:t>
      </w:r>
      <w:r>
        <w:rPr>
          <w:rFonts w:ascii="Times New Roman;serif" w:hAnsi="Times New Roman;serif"/>
          <w:b w:val="false"/>
          <w:color w:val="000000"/>
          <w:sz w:val="20"/>
        </w:rPr>
        <w:t xml:space="preserve">. Mr. Dwyer has served as a member of our board of directors since August 2026. From 1998 to 2023, Mr. Dwyer was a partner at the international law firm Cooley LLP, where he specialized in representing technology and life sciences companies, and the individuals who lead them, in high-stakes litigation and regularly counseled boards and C-suite executives regarding corporate governance issues. From 1993 to 1998, Mr. Dwyer served in various leadership positions within the U.S. Department of Justice, including as Acting Associate Attorney General, the Department’s third-highest position. Mr. Dwyer currently serves as the Chair of the Board of Trustees of the California Academy of Sciences. From 2000 to 2025, he served as the Vice Chair of Bay Area Legal Aid, Northern California’s largest provider of legal services for low-income individuals. Mr. Dwyer holds a B.S. from the University of California, Berkeley, and a J.D. from Harvard Law School.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believe Mr. Dwyer is qualified to serve as a member of our board of directors because of his significant experience in the technology industry and corporate governance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036955"/>
                <wp:effectExtent l="0" t="0" r="0" b="0"/>
                <wp:wrapNone/>
                <wp:docPr id="13" name="Frame13"/>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pPr>
      <w:r>
        <w:rPr>
          <w:rFonts w:ascii="Times New Roman;serif" w:hAnsi="Times New Roman;serif"/>
          <w:b w:val="false"/>
          <w:i/>
          <w:color w:val="000000"/>
          <w:sz w:val="20"/>
        </w:rPr>
        <w:t>Michael G. McCaffery</w:t>
      </w:r>
      <w:r>
        <w:rPr>
          <w:rFonts w:ascii="Times New Roman;serif" w:hAnsi="Times New Roman;serif"/>
          <w:b w:val="false"/>
          <w:color w:val="000000"/>
          <w:sz w:val="20"/>
        </w:rPr>
        <w:t>. Mr. McCaffery has served as a member of our board of directors since March 2009. Since December 2005, Mr. McCaffery has served as the Managing Director for Makena Capital Management, LLC, an investment management firm, and was Chief Executive Officer of Makena Capital Management, LLC from December 2005 to January 2013. He served on the board of directors for NVIDIA Corporation from February 2015 to June 2024. Mr. McCaffery holds a B.A. from the Woodrow Wilson School of Public and International Affairs at Princeton University, a B.A. Honours and an M.A. in Politics, Philosophy and Economics from Merton College at Oxford University as a Rhodes Scholar, and an M.B.A. from the Stanford Graduate School of Business.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believe Mr. McCaffery is qualified to serve as a member of our board of directors because of his extensive market, investment and business expertise in the technology industry.</w:t>
      </w:r>
    </w:p>
    <w:p>
      <w:pPr>
        <w:pStyle w:val="TextBody"/>
        <w:bidi w:val="0"/>
        <w:spacing w:lineRule="auto" w:line="288" w:before="180" w:after="180"/>
        <w:jc w:val="both"/>
        <w:rPr/>
      </w:pPr>
      <w:r>
        <w:rPr>
          <w:rFonts w:ascii="Times New Roman;serif" w:hAnsi="Times New Roman;serif"/>
          <w:b w:val="false"/>
          <w:i/>
          <w:color w:val="000000"/>
          <w:sz w:val="20"/>
        </w:rPr>
        <w:t>Stephen M. Ward, Jr</w:t>
      </w:r>
      <w:r>
        <w:rPr>
          <w:rFonts w:ascii="Times New Roman;serif" w:hAnsi="Times New Roman;serif"/>
          <w:b w:val="false"/>
          <w:color w:val="000000"/>
          <w:sz w:val="20"/>
        </w:rPr>
        <w:t>. Mr. Ward has served as a member of our board of directors since January 2009. Mr. Ward served as the Chief Executive Officer for Lenovo Group Limited, the international personal computer company formed by the acquisition of IBM’s personal computer division by Lenovo, from April 2005 to January 2006. Prior to that acquisition, Mr. Ward held a number of management positions with IBM from September 1978 to April 2005, including Senior Vice President and General Manager of the Personal Systems and Retail Systems Group from March 2003 to April 2005, General Manager of the Industrial Sector from February 2000 to March 2003, General Manager of the ThinkPad and Mobile division from January 1998 to March 2000 and Chief Information Officer from February 1997 to March 2000. Mr. Ward has served on the board of directors of Carpenter Technology Corporation, a specialty metals company, since March 2001. He has also served on the board of directors of Molekule, an air purification, monitoring equipment and software company, since November 2022, and has served on the board of directors of Sprinklr, Inc., a software company, since January 2025. From July 2021 until its sale to LM Ericsson Telephone Company in July 2022, Mr. Ward served as a member of the board of directors of Vonage Holdings Corp., an internet communications company. From December 2014 until its sale to The Boeing Company in October 2018, Mr. Ward served as a member of the board of directors of KLX Inc., an aerospace solutions and supply chain company, and from September 2018 to June 2021, he served as a member of the board of directors of KLX Energy Services Holdings, Inc., an oilfield services company spun out from KLX Inc. Mr. Ward also previously served as a member of the board of directors of E2Open, a supply chain SaaS company he co-founded, from January 2001 to March 2015, E-Ink Corporation, a maker of electronic paper displays, from December 2006 to December 2009 and QD Vision, Inc., a nanomaterials product company, from June 2014 until its sale to Samsung in November 2016. Mr. Ward holds a B.S. in Mechanical Engineering from California Polytechnic State University, San Luis Obispo.</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believe Mr. Ward is qualified to serve as a member of our board of directors because of his extensive management experience in the technology industry and his service on the boards of directors of various public companies.</w:t>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Directors Continuing in Office Until the 2027 Annual Meeting of Stockholders</w:t>
      </w:r>
    </w:p>
    <w:p>
      <w:pPr>
        <w:pStyle w:val="TextBody"/>
        <w:bidi w:val="0"/>
        <w:spacing w:lineRule="auto" w:line="288" w:before="180" w:after="180"/>
        <w:jc w:val="both"/>
        <w:rPr/>
      </w:pPr>
      <w:r>
        <w:rPr>
          <w:rFonts w:ascii="Times New Roman;serif" w:hAnsi="Times New Roman;serif"/>
          <w:b w:val="false"/>
          <w:i/>
          <w:color w:val="000000"/>
          <w:sz w:val="20"/>
        </w:rPr>
        <w:t xml:space="preserve">Kenneth A. Goldman. </w:t>
      </w:r>
      <w:r>
        <w:rPr>
          <w:rFonts w:ascii="Times New Roman;serif" w:hAnsi="Times New Roman;serif"/>
          <w:b w:val="false"/>
          <w:color w:val="000000"/>
          <w:sz w:val="20"/>
        </w:rPr>
        <w:t>Mr. Goldman has served as a member of our board of directors since May 2025. Mr. Goldman served as the President of Hillspire LLC, a family office management company from September 2017 until April 2022. From October 2012 to June 2017, Mr. Goldman served as the Chief Financial Officer of Yahoo! Inc., a provider of internet content and services. From 2007 to 2012, Mr. Goldman was the Senior Vice President and Chief Financial Officer of Fortinet, Inc., a provider of threat management technologies. He has served as a member of the Public Company Accounting Oversight Board’s (PCAOB) Investor Advisory Group since February 2024, and previously served a term as a member of the PCAOB Standing Advisory Group from January 2015 to December 2017. From July 2018 to July 2022, Mr. Goldman served as a member of the Value Reporting Foundation Board (formerly known as the Sustainability Accounting Standards Board (SASB) Foundation), an independent nonprofit responsible for the funding and oversight of SASB. He currently serves on the boards of directors of Fortinet, Inc. and RingCentral, Inc., and previously served on the boards of directors of GoPro, Inc. and Zuora, Inc. In addition, he is a Trustee Emeritus of Cornell University. Mr. Goldman holds a B.S. in Electrical Engineering from Cornell University and an M.B.A. from Harvard Business School.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036955"/>
                <wp:effectExtent l="0" t="0" r="0" b="0"/>
                <wp:wrapNone/>
                <wp:docPr id="14" name="Frame14"/>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believe Mr. Goldman is qualified to serve as a member of our board of directors because of his extensive executive management experience in the technology industry, his financial expertise, and his service on the boards of directors of public companies.</w:t>
      </w:r>
    </w:p>
    <w:p>
      <w:pPr>
        <w:pStyle w:val="TextBody"/>
        <w:bidi w:val="0"/>
        <w:spacing w:lineRule="auto" w:line="288" w:before="180" w:after="180"/>
        <w:jc w:val="both"/>
        <w:rPr/>
      </w:pPr>
      <w:r>
        <w:rPr>
          <w:rFonts w:ascii="Times New Roman;serif" w:hAnsi="Times New Roman;serif"/>
          <w:b w:val="false"/>
          <w:i/>
          <w:color w:val="000000"/>
          <w:sz w:val="20"/>
        </w:rPr>
        <w:t>Alan Murray</w:t>
      </w:r>
      <w:r>
        <w:rPr>
          <w:rFonts w:ascii="Times New Roman;serif" w:hAnsi="Times New Roman;serif"/>
          <w:b w:val="false"/>
          <w:color w:val="000000"/>
          <w:sz w:val="20"/>
        </w:rPr>
        <w:t>. Mr. Murray has served as a member of our board of directors since May 2024. Mr. Murray served as the Chief Executive Officer of Fortune Media from December 2018 to April 2024. He served as the Chief Content Officer of Time from August 2016 to December 2017, and an Editor at Fortune Magazine from August 2014 to August 2016. Prior to his roles at Fortune and Time, Mr. Murray served as President of Pew Research Center from January 2013 to July 2014. Since September 2022, he has served as a board member of AARP. Mr. Murray holds a B.A. in English Literature from the University of North Carolina at Chapel Hill and an M.Sc. in economics from the London School of Economics.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believe Mr. Murray is qualified to serve as a member of our board of directors because of his proven track record of thought leadership in management and innovation, as well as his deep understanding of global business trends and dynamics.</w:t>
      </w:r>
    </w:p>
    <w:p>
      <w:pPr>
        <w:pStyle w:val="TextBody"/>
        <w:bidi w:val="0"/>
        <w:spacing w:lineRule="auto" w:line="288" w:before="180" w:after="180"/>
        <w:jc w:val="both"/>
        <w:rPr/>
      </w:pPr>
      <w:r>
        <w:rPr>
          <w:rFonts w:ascii="Times New Roman;serif" w:hAnsi="Times New Roman;serif"/>
          <w:b w:val="false"/>
          <w:i/>
          <w:color w:val="000000"/>
          <w:sz w:val="20"/>
        </w:rPr>
        <w:t>Thomas M. Siebel</w:t>
      </w:r>
      <w:r>
        <w:rPr>
          <w:rFonts w:ascii="Times New Roman;serif" w:hAnsi="Times New Roman;serif"/>
          <w:b w:val="false"/>
          <w:color w:val="000000"/>
          <w:sz w:val="20"/>
        </w:rPr>
        <w:t>. Mr. Siebel is the founder of our Company and has served as the Chairman of our board of directors since January 2009, as our Chief Executive Officer since May 2026 and from July 2011 to September 2025, and as our Executive Chairman from September 2025 until May 2026. Prior to founding our company, Mr. Siebel founded and served as the Chief Executive Officer of Siebel Systems, a global CRM software company. Siebel Systems merged with Oracle Corporation in January 2006. Mr. Siebel served in various leadership positions with Oracle Corporation from January 1984 to September 1990. Mr. Siebel currently serves as a member of the College of Engineering boards at the University of Illinois at Urbana-Champaign and the University of California, Berkeley. He was elected a member of the American Academy of Arts and Sciences in April 2013. He is the author of four books, including most recently the best-selling Digital Transformation: Survive and Thrive in an Era of Mass Extinction (RosettaBooks, 2019). Mr. Siebel holds a B.A. in History, an M.B.A., and an M.S. in Computer Science, each from the University of Illinois at Urbana-Champaign.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believe Mr. Siebel is qualified to serve as a member of our board of directors because of his perspective and experience as our founder and Chief Executive Officer, as well as his extensive experience with technology companies.</w:t>
      </w:r>
    </w:p>
    <w:p>
      <w:pPr>
        <w:pStyle w:val="TextBody"/>
        <w:bidi w:val="0"/>
        <w:spacing w:lineRule="auto" w:line="288" w:before="180" w:after="180"/>
        <w:jc w:val="both"/>
        <w:rPr/>
      </w:pPr>
      <w:r>
        <w:rPr>
          <w:rFonts w:ascii="Times New Roman;serif" w:hAnsi="Times New Roman;serif"/>
          <w:b w:val="false"/>
          <w:i/>
          <w:color w:val="000000"/>
          <w:sz w:val="20"/>
        </w:rPr>
        <w:t>KR Sridhar</w:t>
      </w:r>
      <w:r>
        <w:rPr>
          <w:rFonts w:ascii="Times New Roman;serif" w:hAnsi="Times New Roman;serif"/>
          <w:b w:val="false"/>
          <w:color w:val="000000"/>
          <w:sz w:val="20"/>
        </w:rPr>
        <w:t>. Dr. Sridhar has served as a member of our board of directors since February 2023. Dr. Sridhar is the Founder, Chairman, and Chief Executive Officer of Bloom Energy. Prior to founding Bloom Energy, he was Director of the Space Technologies Laboratory (STL) at the University of Arizona where he was also a Professor of Aerospace and Mechanical Engineering. Dr. Sridhar has served as an advisor to NASA and has led major consortia of industry, academia, and national labs. As one of the early pioneers in green tech, Dr. Sridhar also serves as a Strategic Limited Partner at Kleiner Perkins Caufield &amp; Byers and as a special advisor to New Enterprise Associates. He has also served on many technical committees, panels and advisory boards and has several publications and patents. Dr. Sridhar received his bachelor’s degree in mechanical engineering with honors from the University of Madras, India (now called NIT, Trichy), as well as a master’s degree in nuclear engineering and a PhD in Mechanical Engineering from the University of Illinois, Urbana-Champaign. He is also a member of the National Academy of Engineering.</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believe Dr. Sridhar is qualified to serve as a member of our board of directors because of his significant executive and management experience in the energy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036955"/>
                <wp:effectExtent l="0" t="0" r="0" b="0"/>
                <wp:wrapNone/>
                <wp:docPr id="15" name="Frame15"/>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Directors Continuing in Office Until the 2028 Annual Meeting of Stockholders</w:t>
      </w:r>
    </w:p>
    <w:p>
      <w:pPr>
        <w:pStyle w:val="TextBody"/>
        <w:bidi w:val="0"/>
        <w:spacing w:lineRule="auto" w:line="288" w:before="180" w:after="180"/>
        <w:jc w:val="both"/>
        <w:rPr/>
      </w:pPr>
      <w:r>
        <w:rPr>
          <w:rFonts w:ascii="Times New Roman;serif" w:hAnsi="Times New Roman;serif"/>
          <w:b w:val="false"/>
          <w:i/>
          <w:color w:val="000000"/>
          <w:sz w:val="20"/>
        </w:rPr>
        <w:t>Mike Clayville</w:t>
      </w:r>
      <w:r>
        <w:rPr>
          <w:rFonts w:ascii="Times New Roman;serif" w:hAnsi="Times New Roman;serif"/>
          <w:b w:val="false"/>
          <w:color w:val="000000"/>
          <w:sz w:val="20"/>
        </w:rPr>
        <w:t xml:space="preserve">. Mr. Clayville has served as a member of our board of directors since November 2025. Mr. Clayville brings over three decades of experience in the technology industry, having held senior executive roles in field operations at some of the world’s leading technology companies. Most recently, he served as Chief Customer Officer and Chief Revenue Officer at Stripe, a financial infrastructure platform company. Before joining Stripe, Mr. Clayville was the Vice President of Worldwide Field Operations at Amazon Web Services (AWS). Throughout his career, Mr. Clayville has been an advocate for innovation and digital transformation across businesses. His leadership has been instrumental in helping companies leverage cutting-edge technologies to achieve growth and operational efficiency. Mr. Clayville holds a B.S. in Engineering from the University of Idaho and an M.B.A. in Finance from Texas A&amp;M University.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Mr. Clayville is qualified to serve as a member of our board of directors because of his extensive executive management and go-to-market leadership experience in the technology industry.</w:t>
      </w:r>
    </w:p>
    <w:p>
      <w:pPr>
        <w:pStyle w:val="TextBody"/>
        <w:bidi w:val="0"/>
        <w:spacing w:lineRule="auto" w:line="288" w:before="180" w:after="180"/>
        <w:jc w:val="both"/>
        <w:rPr/>
      </w:pPr>
      <w:r>
        <w:rPr>
          <w:rFonts w:ascii="Times New Roman;serif" w:hAnsi="Times New Roman;serif"/>
          <w:b w:val="false"/>
          <w:i/>
          <w:color w:val="000000"/>
          <w:sz w:val="20"/>
        </w:rPr>
        <w:t xml:space="preserve">General (Ret.) John Hyten. </w:t>
      </w:r>
      <w:r>
        <w:rPr>
          <w:rFonts w:ascii="Times New Roman;serif" w:hAnsi="Times New Roman;serif"/>
          <w:b w:val="false"/>
          <w:color w:val="000000"/>
          <w:sz w:val="20"/>
        </w:rPr>
        <w:t>Gen. (Ret.) Hyten has served as a member of our board of directors since October 2024, and served as an advisor to the Company from May 2022 to October 2024. Gen. (Ret.) Hyten served as the 11th Vice Chairman of the Joint Chiefs of Staff, retiring in November 2021 after a distinguished 40-year career in the United States Air Force. In this role, he served as the nation’s second highest ranking military officer. Gen. (Ret.) Hyten previously led Air Force Space Command from 2014 to 2016 and U.S. Strategic Command from 2016 to 2019. Among many other assignments, he was deployed to Southwest Asia as the Director of Space Forces for operations Enduring Freedom and Iraqi Freedom. He attended Harvard University on an Air Force Reserve Officers Training Corps scholarship, graduating with a bachelor’s degree in engineering and applied sciences. Gen. (Ret.) Hyten also holds his MBA from Auburn University at Montgomery and is a distinguished graduate from Squadron Officer School as well as Air Command and Staff College. He was also a National Defense Fellow at the University of Illinois.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believe Gen. Hyten is qualified to serve as a member of our board of directors because of his significant executive management and leadership experience in the federal government, defense, and intelligence sectors.</w:t>
      </w:r>
    </w:p>
    <w:p>
      <w:pPr>
        <w:pStyle w:val="TextBody"/>
        <w:bidi w:val="0"/>
        <w:spacing w:lineRule="auto" w:line="288" w:before="180" w:after="180"/>
        <w:jc w:val="both"/>
        <w:rPr/>
      </w:pPr>
      <w:r>
        <w:rPr>
          <w:rFonts w:ascii="Times New Roman;serif" w:hAnsi="Times New Roman;serif"/>
          <w:b w:val="false"/>
          <w:i/>
          <w:color w:val="000000"/>
          <w:sz w:val="20"/>
        </w:rPr>
        <w:t>Richard C. Levin</w:t>
      </w:r>
      <w:r>
        <w:rPr>
          <w:rFonts w:ascii="Times New Roman;serif" w:hAnsi="Times New Roman;serif"/>
          <w:b w:val="false"/>
          <w:color w:val="000000"/>
          <w:sz w:val="20"/>
        </w:rPr>
        <w:t>. Dr. Levin has served as a member of our board of directors since August 2010. From June 2017 to January 2025, Dr. Levin served as a Senior Advisor to Coursera Inc., an online learning platform company, for which Dr. Levin served as the Chief Executive Officer from April 2014 until June 2017. Prior to his roles at Coursera, Dr. Levin served as President of Yale University from July 1993 to June 2013. Dr. Levin served as a director of American Express Co. from January 2007 to May 2019. Dr. Levin is currently a Fellow of the American Academy of Arts and Sciences and the American Philosophical Society and is a former trustee of The William and Flora Hewlett Foundation. He also served as an advisor on President Obama’s Council of Advisors on Science and Technology. Dr. Levin holds a B.A. in History from Stanford University, a B.Litt. in Politics from Oxford University, and a Ph.D. in Economics from Yale University.</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believe Dr. Levin is qualified to serve as a member of our board of directors because of his significant management experience and financial expertise.</w:t>
      </w:r>
    </w:p>
    <w:p>
      <w:pPr>
        <w:pStyle w:val="TextBody"/>
        <w:bidi w:val="0"/>
        <w:spacing w:lineRule="auto" w:line="288" w:before="180" w:after="180"/>
        <w:jc w:val="both"/>
        <w:rPr/>
      </w:pPr>
      <w:r>
        <w:rPr>
          <w:rFonts w:ascii="Times New Roman;serif" w:hAnsi="Times New Roman;serif"/>
          <w:b w:val="false"/>
          <w:i/>
          <w:color w:val="000000"/>
          <w:sz w:val="20"/>
        </w:rPr>
        <w:t>Bruce Sewell</w:t>
      </w:r>
      <w:r>
        <w:rPr>
          <w:rFonts w:ascii="Times New Roman;serif" w:hAnsi="Times New Roman;serif"/>
          <w:b w:val="false"/>
          <w:color w:val="000000"/>
          <w:sz w:val="20"/>
        </w:rPr>
        <w:t>. Mr. Sewell has served as a member of our board of directors since May 2017. Mr. Sewell served as the Senior Vice President, General Counsel and Secretary of Apple Inc., a technology company, from September 2009 to December 2017. From October 1996 to September 2009, Mr. Sewell served in various leadership positions with Intel Corporation, including as Senior Vice President, General Counsel from September 2002 to September 2009. Since January 2013, Mr. Sewell has served on the board of directors for Vail Resorts, Inc., a mountain resort company. Mr. Sewell holds a B.S. from Lancaster University (U.K.) and a J.D. from The George Washington University Law School.</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believe Mr. Sewell is qualified to serve as a member of our board of directors because of his significant executive experience in the technology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036955"/>
                <wp:effectExtent l="0" t="0" r="0" b="0"/>
                <wp:wrapNone/>
                <wp:docPr id="16" name="Frame16"/>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Director Independence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Class A common stock is listed on the NYSE. Under NYSE listing standards, independent directors must comprise a majority of our board of directors. In addition, NYSE listing standards require that, subject to specified exceptions, each member of our audit, compensation, and nominating and corporate governance committees be independent. Under NYSE listing standards, a director will qualify as an “independent director” if our board of directors affirmatively determines that the director has no material relationship with our Company, either directly or as a partner, shareholder, or officer of an organization that has a relationship with our Company.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In addition, members of the audit and compensation committees must satisfy heightened independence requirements. For compensation committee members, our board of directors must consider all factors specifically relevant to determining whether each compensation committee member has a relationship with us that is material to the director’s ability to be independent from management in connection with the duties of a compensation committee member. Audit committee members must satisfy the independence criteria set forth in Rule 10A-3 under the Exchange Act.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board of directors, with the assistance of our nominating and corporate governance committee, has undertaken a review of the independence of each director. Based on information provided by each director concerning his or her background, employment, and affiliations, our board of directors has determined that each of Dr. Rice and Messrs. Dwyer, Goldman, Levin, McCaffery, Murray, Sewell, Sridhar, and Ward has no material relationship with our Company, either directly or as a partner, shareholder, or officer of an organization that has a relationship with our Company, and that each of these directors is “independent” as that term is defined under NYSE listing standards. In addition, our board of directors previously determined that Lisa A. Davis, who served as a member of our board of directors for a portion of the year ended April 30, 2026, had no material relationship with our Company, either directly or as a partner, shareholder, or officer of an organization that had a relationship with our Company, and was “independent” as that term is defined under NYSE listing standards. In making these determinations, our board of directors, with the assistance of our nominating and corporate governance committee, considered the current and prior relationships that each non-employee director has with our Company and all other facts and circumstances our board of directors deemed relevant in determining their independence, including the beneficial ownership of our shares held by each non-employee director and the transactions described in the section titled “Transactions with Related Persons.”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Board Leadership Structure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nominating and corporate governance committee periodically considers the leadership structure of our board of directors and makes such recommendations to our board of directors as our nominating and corporate governance committee deems appropriate. Currently, Mr. Siebel serves as both Chief Executive Officer and Chairman of our board of directors.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corporate governance guidelines provide that in the event our company does not have an independent chairperson of the board of directors, the independent directors may designate a lead independent director. Further, the corporate governance guidelines provide that if our board of directors elects a lead independent director (currently Mr. McCaffery), such lead independent director will, in addition to the duties of all board members, develop the agenda for and moderate executive sessions of the independent members of our board of directors, preside over board meetings when the chairperson is not present, convene meetings of the independent directors as appropriate, be available for consultation with major stockholders if requested and appropriate, and perform other duties as our board of directors may determine from time to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036955"/>
                <wp:effectExtent l="0" t="0" r="0" b="0"/>
                <wp:wrapNone/>
                <wp:docPr id="17" name="Frame17"/>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Role of the Board in Risk Oversight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Risk is inherent with every business, and we face a number of risks, including strategic, financial, business and operational, cyber security, legal and compliance, and reputational risks. We have designed and implemented processes to manage risk in our operations. Management is responsible for the day-to-day management of risks we face, while our board of directors, as a whole and assisted by its committees, has responsibility for the oversight of risk management. In its risk oversight role, our board of directors has the responsibility to satisfy itself that the risk management processes designed and implemented by management are appropriate and functioning as designed.</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While our board of directors is ultimately responsible for risk oversight, our board committees assist our board of directors in fulfilling its oversight responsibilities in certain areas of risk. Our audit committee assists our board of directors in fulfilling its oversight responsibilities with respect to risk management in our major financial risk exposures, information security risk, and the areas of internal control over financial reporting and disclosure controls and procedures. Our nominating and corporate governance committee assists our board of directors in fulfilling its oversight responsibilities with respect to risk management associated with board organization, membership and structure, and corporate governance. Our compensation committee assesses risks created by the incentives inherent in our compensation policies and practices. Our board of directors appreciates the evolving nature of our business and industry and is actively involved with monitoring new threats and risks as they emerge.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board of directors believes that open communication with management is essential for effective risk management and oversight. Our board of directors meets with our Chief Executive Officer and other members of our senior management team at quarterly meetings of our board of directors, where, among other topics, management reports to and seeks guidance from our board of directors and its committees with respect to the most significant risks that could affect our business, such as legal risks, information security, cyber security, and privacy risks, and financial, tax, and compliance related risks. In addition, among other matters, management provides our audit committee periodic reports on our compliance programs and investment policy and practices.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Board Meetings and Committees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is responsible for the oversight of management and the strategy of our company and for establishing corporate policies. Our board of directors meets periodically during the year to review significant developments affecting us and to act on matters requiring the approval of our board of directors. Our board of directors met seven times during our last fiscal year and also acted by unanimous written consents following discussions outside of meetings.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board of directors has also established a standing audit committee, compensation committee, and nominating and corporate governance committee to aid our board of directors in the discharge of its duties. The composition and responsibilities of each of the standing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Directors are expected to attend meetings of our board of directors and of committees on which they serve and to spend the time needed and meet as frequently as necessary to properly discharge their responsibilities. During our last fiscal year, each director attended at least 75% of (i) the total number of meetings of our board of directors held during the period for which he or she had been a director and (ii) the total number of meetings held by all committees of our board of directors on which he or she served during the periods that he or she served. </w:t>
      </w:r>
    </w:p>
    <w:p>
      <w:pPr>
        <w:pStyle w:val="TextBody"/>
        <w:bidi w:val="0"/>
        <w:spacing w:lineRule="auto" w:line="288" w:before="180" w:after="180"/>
        <w:jc w:val="both"/>
        <w:rPr/>
      </w:pPr>
      <w:r>
        <w:rPr>
          <w:rFonts w:ascii="Times New Roman;serif" w:hAnsi="Times New Roman;serif"/>
          <w:b w:val="false"/>
          <w:color w:val="000000"/>
          <w:sz w:val="20"/>
        </w:rPr>
        <w:t>Although we do not have a formal policy regarding attendance by members of our board of directors at annual meetings of stockholders, we encourage all directors to atte</w:t>
      </w:r>
      <w:r>
        <w:rPr>
          <w:rFonts w:ascii="Times New Roman;serif" w:hAnsi="Times New Roman;serif"/>
          <w:b w:val="false"/>
          <w:color w:val="000000"/>
          <w:sz w:val="20"/>
          <w:shd w:fill="FFFFFF" w:val="clear"/>
        </w:rPr>
        <w:t>nd. Seven of our then-c</w:t>
      </w:r>
      <w:r>
        <w:rPr>
          <w:rFonts w:ascii="Times New Roman;serif" w:hAnsi="Times New Roman;serif"/>
          <w:b w:val="false"/>
          <w:color w:val="000000"/>
          <w:sz w:val="20"/>
        </w:rPr>
        <w:t>urrent directors attended our 2025 annual meeting of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036955"/>
                <wp:effectExtent l="0" t="0" r="0" b="0"/>
                <wp:wrapNone/>
                <wp:docPr id="18" name="Frame18"/>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Audit Committee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audit committee currently consists of Messrs. Goldman, Levin, and McCaffery, with Mr. Goldman as chair. Our board of directors has determined that each member of the audit committee satisfies the independence requirements under NYSE listing standards and Rule 10A-3(b)(1) of the Exchange Act. Our board of directors has determined that each of Messrs. Goldman, Levin and McCaffery is an “audit committee financial expert” within the meaning of SEC regulations. Each member of our audit committee is financially literate, as such qualification is interpreted by our board of directors in its business judgment. In arriving at these determinations, our board of directors has examined each audit committee member’s scope of experience and the nature of his or her employment.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primary purpose of the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helping our board of directors oversee our corporate accounting and financial reporting processes;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managing the selection, engagement, qualifications, independence, and performance of a qualified firm to serve as the independent registered public accounting firm to audit our financial statements;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discussing the scope and results of the audit with the independent registered public accounting firm, and reviewing, with management and the independent accountants, our interim and year-end operating results;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developing procedures for employees to submit concerns anonymously about questionable accounting or audit matters;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reviewing and approving related person transactions;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approving or, as permitted, pre-approving, audit and permissible non-audit services to be performed by the independent registered public accounting firm.</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audit committee operates under a written charter that satisfies the applicable NYSE listing standards. A copy of the charter of our audit committee is available on the Governance section of our investor relations website ir.c3.ai. During the fiscal year ended April 30, 2026, our audit committee held four meetings and also acted by unanimous written consents following discussions outside of meetings.</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Compensation Committee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compensation committee currently consists of Messrs. Sewell, Sridhar, and Ward. The chair of our compensation committee is Mr. Ward. Our board of directors has determined that each member of the compensation committee is independent under NYSE listing standards and qualifies as a “non-employee director” as defined in Rule 16b-3 promulgated under the Exchange Act.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include:</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reviewing and recommending to our board of directors the compensation of our chief executive officer and other executive officers;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036955"/>
                <wp:effectExtent l="0" t="0" r="0" b="0"/>
                <wp:wrapNone/>
                <wp:docPr id="19" name="Frame19"/>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reviewing and recommending to our board of directors the compensation of our non-employee directors;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administering our equity incentive plans and other benefit programs;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reviewing and establishing general policies relating to compensation and benefits of our employees, including our overall compensation philosophy.</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compensation committee operates under a written charter that satisfies the applicable NYSE listing standards. A copy of the charter of our compensation committee is available on the Governance section of our investor relations website ir.c3.ai. During the fiscal year ended April 30, 2026, our compensation committee held five meetings and also acted by unanimous written consents following discussions outside of meetings.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Under its charter, our compensation committee has the right to retain or obtain the advice of compensation consultants, independent legal counsel, and other advisers. For the fiscal year ended April 30, 2026, and for prior fiscal years, our compensation committee retained Compensia, Inc. (“Compensia”), a national compensation consulting firm with compensation expertise relating to technology companies, to provide it with market information, analysis, and other advice relating to executive and non-employee director compensation on an ongoing basis. Compensia was engaged directly by our compensation committee to, among other things, assist in developing an appropriate group of peer companies to help us determine the appropriate level of overall compensation for our executive officers and non-employee directors, as well as to assess each separate element of executive officer and non-employee director compensation, with a goal of ensuring that the compensation we offer to our executive officers and non-employee directors is competitive, fair, and appropriately structured. Compensia does not provide any non-compensation related services to us, and maintains a policy that is specifically designed to prevent any conflicts of interest. In addition, our compensation committee has assessed the independence of Compensia, taking into account, among other things, the factors set forth in Exchange Act Rule 10C-1 and the listing standards of the NYSE, and concluded that no conflict of interest has arisen or exists with respect to the work that Compensia performs for our compensation committee.</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Nominating and Corporate Governance Committee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nominating and corporate governance committee currently consists of Messrs. McCaffery, Sewell, and Ward. The chair of our nominating and corporate governance committee is Mr. Sewell. Our board of directors has determined that each member of the nominating and corporate governance committee is independent under NYSE listing standards.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primary purpose of our nominating and corporate governance committee is to discharge the responsibilities of our board of directors in overseeing our corporate governance functions and identifying and evaluating candidates to serve on our board of directors and its committees. Specific responsibilities of our nominating and corporate governance committee include:</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identifying and evaluating candidates, including the nomination of incumbent directors for reelection and nominees recommended by stockholders, to serve on our board of directors;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considering and making recommendations to our board of directors regarding the composition and chairmanship of the committees of our board of directors;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developing and making recommendations to our board of directors regarding corporate governance guidelines and related matters; and</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overseeing periodic evaluations of the board of directors’ performance, including committees of the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036955"/>
                <wp:effectExtent l="0" t="0" r="0" b="0"/>
                <wp:wrapNone/>
                <wp:docPr id="20" name="Frame20"/>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nominating and corporate governance committee operates under a written charter that satisfies the applicable NYSE listing standards. A copy of the charter of our nominating and corporate governance committee is available on the Governance section of our investor relations website ir.c3.ai. During the fiscal year ended April 30, 2026, our nominating and corporate governance committee held four meetings and also acted by unanimous written consents following discussions outside of meetings.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Compensation Committee Interlocks and Insider Participation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fiscal year 2026, Messrs. Sewell, Sridhar, and Ward served on our compensation committee. None of the members of our compensation committee is currently, or has been at any time, one of our officers or employees.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Considerations in Evaluating Director Nominees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nominating and corporate governance committee is responsible for identifying, reviewing, evaluating and recommending candidates to serve as directors, and our board of directors is responsible for nominating persons for election to the board by our stockholders. Our nominating and corporate governance committee and our board of directors use a variety of qualifications for identifying and evaluating director nominees. Our board of directors believes that candidates for director should have certain minimum qualifications, including the highest personal integrity and ethics, the ability to read and understand basic financial statements, and being older than 21.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considering and evaluating candidates, our nominating and corporate governance committee and our board of directors also consider, among other relevant factors, age, skills, character, integrity, judgment, independence, potential conflicts of interest, diversity of background, relevant expertise, the ability to offer relevant and meaningful support and guidance to our management, ability to devote sufficient time to company affairs, personal excellence in his or her field, the ability to exercise sound business judgment, and a commitment to represent the long-term interests of our stockholders. In evaluating director candidates, our nominating and corporate governance committee and our board of directors will also consider the current composition of our board of directors, our company’s operating requirements, and the long-term interests of our stockholders. Our board of directors believes that our board of directors should represent a diversity of viewpoints and experience, and our nominating and corporate governance committee and our board of directors consider a broad range of backgrounds and experiences in evaluating director candidates. </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Stockholder Recommendations for Nominations to Our Board of Directors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nominating and corporate governance committee will consider candidates for director recommended by stockholders on the same basis as candidates from other sources, so long as the recommendations comply with our amended and restated certificate of incorporation and amended and restated bylaws and all applicable laws, rules, and regulations. Our nominating and corporate governance committee will evaluate stockholder recommendations in accordance with its charter, our amended and restated bylaws, our corporate governance guidelines, our policies and procedures for director candidates, and the regular director nominee criteria described above. This process is designed to ensure that our board of directors includes members with diverse backgrounds, skills, and experience, including appropriate financial and other expertise relevant to our business. Stockholders wishing to recommend a candidate for nomination should contact our Secretary in writing at C3.ai, Inc., Attention: Secretary, 1400 Seaport Blvd, Redwood City, California 94063. Our nominating and corporate governance committee has discretion to decide which individuals to recommend for nomination as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036955"/>
                <wp:effectExtent l="0" t="0" r="0" b="0"/>
                <wp:wrapNone/>
                <wp:docPr id="21" name="Frame21"/>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Under our amended and restated bylaws, stockholders may also nominate persons for our board of directors. Any nomination must comply with the requirements set forth in our amended and restated certificate of incorporation, our amended and restated bylaws, and all applicable laws, rules, and regulations, and should be sent in writing to our Secretary at C3.ai, Inc., Attention: Secretary, 1400 Seaport Blvd, Redwood City, California 94063. To be timely for our 2027 annual meeting of stockholders, our Secretary must receive the nomination at our principal executive offices not earlier than the close of business on June 28, 2027, and not later than the close of business on July 28, 2027. </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Communications with Our Board of Directors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Interested parties wishing to communicate with our board of directors or with an individual member or members of our board of directors may do so by writing to our board of directors or to the particular member or members of our board of directors, and mailing the correspondence to our Secretary at C3.ai, Inc., Attention: Secretary, 1400 Seaport Blvd, Redwood City, California 94063. Our Secretary, in consultation with appropriate members of our board of directors as necessary, will review all incoming communications and, if appropriate, all such communications will be forwarded to the appropriate member or members of our board of directors, or if none is specified, to the chairperson of our board of directors or to the lead independent director if the chairperson of our board of directors is not independent.</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Corporate Governance Guidelines and Code of Business Conduct and Ethics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board of directors has adopted corporate governance guidelines that address items such as the qualifications and responsibilities of our directors and director candidates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our code of business conduct and ethics is posted on the Governance section of our investor relations website ir.c3.ai. We intend to post on our website all disclosures that are required by law or NYSE listing standards concerning any amendments to, or waivers from, any provision of the code of business conduct and ethics.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Insider Trading Policy and Prohibition on Hedging, Short Sales, and Pledging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board of directors has adopted an insider trading policy governing the purchase, sale, and other dispositions of our securities by our employees, officers, and directors that is designed to promote compliance with insider trading laws, rules and regulations, as well as procedures designed to further the foregoing purposes. In addition, it is our intent to comply with applicable laws and regulations regarding insider trading. Our insider trading policy also prohibits hedging or monetization transactions, including through the use of financial instruments such as prepaid variable forwards, equity swaps, collars, and exchange funds, or similar transactions designed to decrease the risks associated with holding shares of our common stock. In addition, our insider trading policy prohibits trading in derivative securities related to our common stock, which include publicly traded call and put options, engaging in short selling of our common stock, purchasing our common stock on margin or holding it in a margin account, and pledging our shares as collateral for a loan. A copy of our insider trading policy is filed as an exhibit to our Annual Report on Form 10-K for the fiscal year ended April 30, 2026, filed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036955"/>
                <wp:effectExtent l="0" t="0" r="0" b="0"/>
                <wp:wrapNone/>
                <wp:docPr id="22" name="Frame22"/>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NON-EMPLOYEE DIRECTOR COMPENSATION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During the fiscal year ended April 30, 2026, we did not pay cash compensation to any of our non-employee directors for service on our board of directors. We have reimbursed and will continue to reimburse all of our non-employee directors for their reasonable out-of-pocket expenses incurred in attending board and committee meetings and other reasonable business travel and expenses.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Fiscal Year 2026 Director Compensation Table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regarding the compensation earned or paid to our directors during the fiscal year ended April 30, 2026, other than Thomas M. Siebel, our Chief Executive Officer, who is also a member of our board of directors but did not receive any additional compensation for service as a director. The compensation paid to Mr. Siebel as a named executive officer is set forth in the section titled, “Executive Compensation.”</w:t>
      </w:r>
    </w:p>
    <w:tbl>
      <w:tblPr>
        <w:tblW w:w="6207" w:type="dxa"/>
        <w:jc w:val="left"/>
        <w:tblInd w:w="0" w:type="dxa"/>
        <w:tblLayout w:type="fixed"/>
        <w:tblCellMar>
          <w:top w:w="28" w:type="dxa"/>
          <w:left w:w="28" w:type="dxa"/>
          <w:bottom w:w="28" w:type="dxa"/>
          <w:right w:w="28" w:type="dxa"/>
        </w:tblCellMar>
      </w:tblPr>
      <w:tblGrid>
        <w:gridCol w:w="937"/>
        <w:gridCol w:w="823"/>
        <w:gridCol w:w="835"/>
        <w:gridCol w:w="434"/>
        <w:gridCol w:w="434"/>
        <w:gridCol w:w="436"/>
        <w:gridCol w:w="474"/>
        <w:gridCol w:w="474"/>
        <w:gridCol w:w="476"/>
        <w:gridCol w:w="258"/>
        <w:gridCol w:w="258"/>
        <w:gridCol w:w="368"/>
      </w:tblGrid>
      <w:tr>
        <w:trPr/>
        <w:tc>
          <w:tcPr>
            <w:tcW w:w="93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Stock Awards </w:t>
            </w:r>
          </w:p>
          <w:p>
            <w:pPr>
              <w:pStyle w:val="TableContents"/>
              <w:bidi w:val="0"/>
              <w:spacing w:lineRule="auto" w:line="240" w:before="0" w:after="0"/>
              <w:jc w:val="center"/>
              <w:rPr/>
            </w:pPr>
            <w:r>
              <w:rPr>
                <w:rFonts w:ascii="Times New Roman;serif" w:hAnsi="Times New Roman;serif"/>
                <w:b/>
                <w:color w:val="000000"/>
                <w:sz w:val="20"/>
              </w:rPr>
              <w:t>($)</w:t>
            </w:r>
            <w:r>
              <w:rPr>
                <w:rFonts w:ascii="Times New Roman;serif" w:hAnsi="Times New Roman;serif"/>
                <w:b/>
                <w:color w:val="000000"/>
                <w:sz w:val="13"/>
              </w:rPr>
              <w:t>(1)</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Option Awards </w:t>
            </w:r>
          </w:p>
          <w:p>
            <w:pPr>
              <w:pStyle w:val="TableContents"/>
              <w:bidi w:val="0"/>
              <w:spacing w:lineRule="auto" w:line="288" w:before="0" w:after="0"/>
              <w:jc w:val="center"/>
              <w:rPr/>
            </w:pPr>
            <w:r>
              <w:rPr>
                <w:rFonts w:ascii="Times New Roman;serif" w:hAnsi="Times New Roman;serif"/>
                <w:b/>
                <w:color w:val="000000"/>
                <w:sz w:val="20"/>
              </w:rPr>
              <w:t>($)</w:t>
            </w:r>
            <w:r>
              <w:rPr>
                <w:rFonts w:ascii="Times New Roman;serif" w:hAnsi="Times New Roman;serif"/>
                <w:b/>
                <w:color w:val="000000"/>
                <w:sz w:val="13"/>
              </w:rPr>
              <w:t>(1)(2)(3)</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w:t>
            </w:r>
          </w:p>
        </w:tc>
      </w:tr>
      <w:tr>
        <w:trPr/>
        <w:tc>
          <w:tcPr>
            <w:tcW w:w="2595" w:type="dxa"/>
            <w:gridSpan w:val="3"/>
            <w:tcBorders>
              <w:top w:val="single" w:sz="8" w:space="0" w:color="000000"/>
            </w:tcBorders>
            <w:shd w:fill="DCDCDC"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Mike Clayville </w:t>
            </w:r>
            <w:r>
              <w:rPr>
                <w:rFonts w:ascii="Times New Roman;serif" w:hAnsi="Times New Roman;serif"/>
                <w:b w:val="false"/>
                <w:color w:val="000000"/>
                <w:sz w:val="13"/>
              </w:rPr>
              <w:t>(4)(5)</w:t>
            </w:r>
          </w:p>
        </w:tc>
        <w:tc>
          <w:tcPr>
            <w:tcW w:w="1304" w:type="dxa"/>
            <w:gridSpan w:val="3"/>
            <w:tcBorders>
              <w:top w:val="single" w:sz="8" w:space="0" w:color="000000"/>
            </w:tcBorders>
            <w:shd w:fill="DCDCD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24" w:type="dxa"/>
            <w:gridSpan w:val="3"/>
            <w:tcBorders>
              <w:top w:val="single" w:sz="8" w:space="0" w:color="000000"/>
            </w:tcBorders>
            <w:shd w:fill="DCDCD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349,992</w:t>
            </w:r>
          </w:p>
        </w:tc>
        <w:tc>
          <w:tcPr>
            <w:tcW w:w="884" w:type="dxa"/>
            <w:gridSpan w:val="3"/>
            <w:tcBorders>
              <w:top w:val="single" w:sz="8" w:space="0" w:color="000000"/>
            </w:tcBorders>
            <w:shd w:fill="DCDCD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349,992</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Lisa Davis </w:t>
            </w:r>
            <w:r>
              <w:rPr>
                <w:rFonts w:ascii="Times New Roman;serif" w:hAnsi="Times New Roman;serif"/>
                <w:b w:val="false"/>
                <w:color w:val="000000"/>
                <w:sz w:val="13"/>
              </w:rPr>
              <w:t>(6)</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9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John C. Dwyer </w:t>
            </w:r>
            <w:r>
              <w:rPr>
                <w:rFonts w:ascii="Times New Roman;serif" w:hAnsi="Times New Roman;serif"/>
                <w:b w:val="false"/>
                <w:color w:val="000000"/>
                <w:sz w:val="13"/>
              </w:rPr>
              <w:t>(7)</w:t>
            </w:r>
          </w:p>
        </w:tc>
        <w:tc>
          <w:tcPr>
            <w:tcW w:w="13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9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Kenneth A. Goldman </w:t>
            </w:r>
            <w:r>
              <w:rPr>
                <w:rFonts w:ascii="Times New Roman;serif" w:hAnsi="Times New Roman;serif"/>
                <w:b w:val="false"/>
                <w:color w:val="000000"/>
                <w:sz w:val="13"/>
              </w:rPr>
              <w:t>(4)</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899,991</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899,991</w:t>
            </w:r>
          </w:p>
        </w:tc>
      </w:tr>
      <w:tr>
        <w:trPr/>
        <w:tc>
          <w:tcPr>
            <w:tcW w:w="259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General (Ret.) John Hyten </w:t>
            </w:r>
            <w:r>
              <w:rPr>
                <w:rFonts w:ascii="Times New Roman;serif" w:hAnsi="Times New Roman;serif"/>
                <w:b w:val="false"/>
                <w:color w:val="000000"/>
                <w:sz w:val="13"/>
              </w:rPr>
              <w:t>(4)(8)</w:t>
            </w:r>
          </w:p>
        </w:tc>
        <w:tc>
          <w:tcPr>
            <w:tcW w:w="13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349,989</w:t>
            </w:r>
          </w:p>
        </w:tc>
        <w:tc>
          <w:tcPr>
            <w:tcW w:w="8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349,989</w:t>
            </w:r>
          </w:p>
        </w:tc>
      </w:tr>
      <w:tr>
        <w:trPr/>
        <w:tc>
          <w:tcPr>
            <w:tcW w:w="259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Richard C. Levin </w:t>
            </w:r>
            <w:r>
              <w:rPr>
                <w:rFonts w:ascii="Times New Roman;serif" w:hAnsi="Times New Roman;serif"/>
                <w:b w:val="false"/>
                <w:color w:val="000000"/>
                <w:sz w:val="13"/>
              </w:rPr>
              <w:t>(4)</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349,989</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349,989</w:t>
            </w:r>
          </w:p>
        </w:tc>
      </w:tr>
      <w:tr>
        <w:trPr/>
        <w:tc>
          <w:tcPr>
            <w:tcW w:w="259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Michael G. McCaffery </w:t>
            </w:r>
            <w:r>
              <w:rPr>
                <w:rFonts w:ascii="Times New Roman;serif" w:hAnsi="Times New Roman;serif"/>
                <w:b w:val="false"/>
                <w:color w:val="000000"/>
                <w:sz w:val="13"/>
              </w:rPr>
              <w:t>(4)(9)</w:t>
            </w:r>
          </w:p>
        </w:tc>
        <w:tc>
          <w:tcPr>
            <w:tcW w:w="13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394,990</w:t>
            </w:r>
          </w:p>
        </w:tc>
        <w:tc>
          <w:tcPr>
            <w:tcW w:w="8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394,990</w:t>
            </w:r>
          </w:p>
        </w:tc>
      </w:tr>
      <w:tr>
        <w:trPr/>
        <w:tc>
          <w:tcPr>
            <w:tcW w:w="259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Alan Murray </w:t>
            </w:r>
            <w:r>
              <w:rPr>
                <w:rFonts w:ascii="Times New Roman;serif" w:hAnsi="Times New Roman;serif"/>
                <w:b w:val="false"/>
                <w:color w:val="000000"/>
                <w:sz w:val="13"/>
              </w:rPr>
              <w:t>(4)</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349,989</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349,989</w:t>
            </w:r>
          </w:p>
        </w:tc>
      </w:tr>
      <w:tr>
        <w:trPr/>
        <w:tc>
          <w:tcPr>
            <w:tcW w:w="259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Condoleezza Rice </w:t>
            </w:r>
            <w:r>
              <w:rPr>
                <w:rFonts w:ascii="Times New Roman;serif" w:hAnsi="Times New Roman;serif"/>
                <w:b w:val="false"/>
                <w:color w:val="000000"/>
                <w:sz w:val="13"/>
              </w:rPr>
              <w:t>(4)</w:t>
            </w:r>
          </w:p>
        </w:tc>
        <w:tc>
          <w:tcPr>
            <w:tcW w:w="13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349,989</w:t>
            </w:r>
          </w:p>
        </w:tc>
        <w:tc>
          <w:tcPr>
            <w:tcW w:w="8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349,989</w:t>
            </w:r>
          </w:p>
        </w:tc>
      </w:tr>
      <w:tr>
        <w:trPr/>
        <w:tc>
          <w:tcPr>
            <w:tcW w:w="259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Bruce Sewell </w:t>
            </w:r>
            <w:r>
              <w:rPr>
                <w:rFonts w:ascii="Times New Roman;serif" w:hAnsi="Times New Roman;serif"/>
                <w:b w:val="false"/>
                <w:color w:val="000000"/>
                <w:sz w:val="13"/>
              </w:rPr>
              <w:t>(4)(10)</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369,990</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369,990</w:t>
            </w:r>
          </w:p>
        </w:tc>
      </w:tr>
      <w:tr>
        <w:trPr/>
        <w:tc>
          <w:tcPr>
            <w:tcW w:w="259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Jim H. Snabe </w:t>
            </w:r>
            <w:r>
              <w:rPr>
                <w:rFonts w:ascii="Times New Roman;serif" w:hAnsi="Times New Roman;serif"/>
                <w:b w:val="false"/>
                <w:color w:val="000000"/>
                <w:sz w:val="13"/>
              </w:rPr>
              <w:t>(11)</w:t>
            </w:r>
          </w:p>
        </w:tc>
        <w:tc>
          <w:tcPr>
            <w:tcW w:w="13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349,989</w:t>
            </w:r>
          </w:p>
        </w:tc>
        <w:tc>
          <w:tcPr>
            <w:tcW w:w="8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349,989</w:t>
            </w:r>
          </w:p>
        </w:tc>
      </w:tr>
      <w:tr>
        <w:trPr/>
        <w:tc>
          <w:tcPr>
            <w:tcW w:w="259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KR Sridhar </w:t>
            </w:r>
            <w:r>
              <w:rPr>
                <w:rFonts w:ascii="Times New Roman;serif" w:hAnsi="Times New Roman;serif"/>
                <w:b w:val="false"/>
                <w:color w:val="000000"/>
                <w:sz w:val="13"/>
              </w:rPr>
              <w:t>(4)</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349,989</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349,989</w:t>
            </w:r>
          </w:p>
        </w:tc>
      </w:tr>
      <w:tr>
        <w:trPr/>
        <w:tc>
          <w:tcPr>
            <w:tcW w:w="259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Stephen M. Ward, Jr. </w:t>
            </w:r>
            <w:r>
              <w:rPr>
                <w:rFonts w:ascii="Times New Roman;serif" w:hAnsi="Times New Roman;serif"/>
                <w:b w:val="false"/>
                <w:color w:val="000000"/>
                <w:sz w:val="13"/>
              </w:rPr>
              <w:t>(4)(10)</w:t>
            </w:r>
          </w:p>
        </w:tc>
        <w:tc>
          <w:tcPr>
            <w:tcW w:w="13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369,990</w:t>
            </w:r>
          </w:p>
        </w:tc>
        <w:tc>
          <w:tcPr>
            <w:tcW w:w="8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369,990</w:t>
            </w:r>
          </w:p>
        </w:tc>
      </w:tr>
    </w:tbl>
    <w:p>
      <w:pPr>
        <w:pStyle w:val="TextBody"/>
        <w:bidi w:val="0"/>
        <w:spacing w:lineRule="auto" w:line="288" w:before="18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(1)The amounts disclosed represent the aggregate grant date fair value of each award of restricted stock units (“RSUs”) or stock option, as applicable, granted under our 2020 Equity Incentive Plan, as amended and restated (the “2020 Plan”), in each case computed in accordance with the provisions of Financial Accounting Standards Board (FASB) Accounting Standards Codification (ASC) Topic 718. The assumptions used in calculating these amounts are set forth in the notes to our audited consolidated financial statements included in our Annual Report on Form 10-K for the fiscal year ended April 30, 2026, filed with the SEC. This amount does not reflect the actual economic value that may be realized by each non-employee director.</w:t>
      </w:r>
    </w:p>
    <w:p>
      <w:pPr>
        <w:pStyle w:val="TextBody"/>
        <w:bidi w:val="0"/>
        <w:spacing w:lineRule="auto" w:line="288" w:before="18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(2)Generally, twelve and a half percent (12.5%) of the shares subject to the option vest on a quarterly basis over the two-year period following the grant date subject to continuous service with us on each vesting date, provided, however, that if the director fails to attend any regularly scheduled meeting of our board of directors during a quarter, vesting for such quarter shall not occur and will be suspended. If the director satisfies the attendance requirements in subsequent quarters, then any shares that did not vest during prior quarters will vest upon the second anniversary of the applicable grant date. Each option also vests in full upon a change in control (as defined in the 2020 Plan), subject to the director remaining in service until the closing of the change in control. In addition, the options permit early exercise, whereby the director may purchase shares subject to such options prior to vesting, subject to our right to repurchase such shares, lapsing over time in accordance with the vesting schedule of the option.</w:t>
      </w:r>
    </w:p>
    <w:p>
      <w:pPr>
        <w:pStyle w:val="TextBody"/>
        <w:bidi w:val="0"/>
        <w:spacing w:lineRule="auto" w:line="288" w:before="18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(3)The amounts disclosed include (other than for Mr. Goldman) an annual option to purchase shares of our Class A common stock having a value of up to $350,000, based on the grant date fair value of the underlying Class A common stock for the non-employee director’s service on our board of directors. Mr. Goldman joined our board of directors on May 21, 2025. In June 2025, Mr. Goldman received an option award having a grant date fair value of $900,000, vesting over a five 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036955"/>
                <wp:effectExtent l="0" t="0" r="0" b="0"/>
                <wp:wrapNone/>
                <wp:docPr id="23" name="Frame23"/>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(4)As of April 30, 2026, the number of shares subject to outstanding equity awards held by each non-employee director was as follows: 34,091 shares subject to outstanding options for Mr. Clayville; 245,768 shares subject to outstanding stock awards for Mr. Clayville; 54,722 shares subject to outstanding options for Mr. Goldman; 49,232 shares subject to outstanding options for General (Ret.) John Hyten; 74,214 shares subject to outstanding stock awards for General (Ret.) John Hyten; 241,369 shares subject to outstanding options for Dr. Levin; 369,091 shares subject to outstanding options for Mr. McCaffery; 89,139 shares subject to outstanding options for Mr. Murray; 518,870 shares subject to outstanding options for Dr. Rice; 749,499 shares subject to outstanding options for Mr. Sewell; 136,114 shares subject to outstanding options for Dr. Sridhar; and 312,258 shares subject to outstanding options for Mr. Ward. </w:t>
      </w:r>
    </w:p>
    <w:p>
      <w:pPr>
        <w:pStyle w:val="TextBody"/>
        <w:bidi w:val="0"/>
        <w:spacing w:lineRule="auto" w:line="288" w:before="18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(5)300,000 RSUs were granted to Mr. Clayville in November 2024 pursuant to a consulting agreement (the “Consulting Agreement”), as consideration for his service as special advisor to our Chief Executive Officer, with vesting tied to Mr. Clayville’s continued service provision of such advice and counsel. Beginning on February 15, 2025, 1/20th of such RSUs commenced vesting on a quarterly basis. In August 2025, the Consulting Agreement was amended to provide that the number of RSUs vesting on a quarterly basis will equal 577 multiplied by the total number of 8-hour days of services provided by Mr. Clayville during the previous quarter, not to exceed a maximum vesting of 15,000 shares in any quarter.</w:t>
      </w:r>
    </w:p>
    <w:p>
      <w:pPr>
        <w:pStyle w:val="TextBody"/>
        <w:bidi w:val="0"/>
        <w:spacing w:lineRule="auto" w:line="240" w:before="0" w:after="24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(6)Ms. Davis commenced serving on our board of directors from December 2021 and ceased such service as of the annual meeting of stockholders held on October 3, 2025.</w:t>
      </w:r>
    </w:p>
    <w:p>
      <w:pPr>
        <w:pStyle w:val="TextBody"/>
        <w:bidi w:val="0"/>
        <w:spacing w:lineRule="auto" w:line="240" w:before="0" w:after="24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(7)Mr. Dwyer joined our board of directors on August 25, 2026. He did not receive any compensation in fiscal year 2026. In August 2026, Mr. Dwyer received an option award having a grant date fair value of $900,000, vesting over a five year period.</w:t>
      </w:r>
    </w:p>
    <w:p>
      <w:pPr>
        <w:pStyle w:val="TextBody"/>
        <w:bidi w:val="0"/>
        <w:spacing w:lineRule="auto" w:line="288" w:before="18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(8)300,000 RSUs were granted to General (Ret.) Hyten in May 2022, as consideration for his service as a special advisor to our Chief Executive Officer, with vesting tied to General (Ret.) Hyten’s continued service of such advice and counsel. Beginning on June 15, 2022, 1/60th of such RSUs commenced vesting on a monthly basis over a term of 5 years. In December 2025, such RSU grants were amended to provide that, for a period of one year, 50% of such RSUs would be settled in shares of Class A Common Stock and 50% of such RSUs would be settled in cash in an amount equal to the fair market value of one share of Class A Common Stock as of the applicable vesting date. In February 2023, 26,300 RSUs were granted to General (Ret.) Hyten, as consideration for his services as a special advisor to our Chief Executive Officer, with vesting tied to General (Ret.) Hyten’s continued service provision of such advice and counsel. Such RSUs vest quarterly over 5 years after the date of grant.</w:t>
      </w:r>
    </w:p>
    <w:p>
      <w:pPr>
        <w:pStyle w:val="TextBody"/>
        <w:bidi w:val="0"/>
        <w:spacing w:lineRule="auto" w:line="288" w:before="18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(9)The amounts disclosed include an additional option granted on October 3, 2025 to purchase shares of our Class A common stock having a value of $45,000 based on the grant date fair market value of the underlying Class A common stock for such non-employee director’s service as lead independent director.</w:t>
      </w:r>
    </w:p>
    <w:p>
      <w:pPr>
        <w:pStyle w:val="TextBody"/>
        <w:bidi w:val="0"/>
        <w:spacing w:lineRule="auto" w:line="288" w:before="18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(10)The amounts disclosed include additional options granted on October 3, 2025 to purchase shares of our Class A common stock having a value of $20,000 based on the grant date fair market value of the underlying Class A common stock for such non-employee director’s service as chair of a committee of the board of directors.</w:t>
      </w:r>
    </w:p>
    <w:p>
      <w:pPr>
        <w:pStyle w:val="TextBody"/>
        <w:bidi w:val="0"/>
        <w:spacing w:lineRule="auto" w:line="240" w:before="0" w:after="24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(11)Mr. Snabe commenced serving on our board of directors from February 2021 and took a leave of absence from such service as of June 2026.</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Pursuant to our non-employee director compensation program for the fiscal year ended April 30, 2026, we compensated our non-employee directors with stock options for such fiscal year as described below. We believe this program reinforces alignment with our stockholders and is consistent with our overall compensation philosophy.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036955"/>
                <wp:effectExtent l="0" t="0" r="0" b="0"/>
                <wp:wrapNone/>
                <wp:docPr id="24" name="Frame24"/>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Each new non-employee director who joined the board of directors was granted an option to purchase shares of our Class A common stock having a value of no more than $900,000 based on the grant date fair value of the option for financial reporting purposes (the “Initial Award”). Each Initial Award vests over five years, with 5% of the Initial Award vesting quarterly after the date of grant, provided the grantee remains as a non-employee director and attends in person the regularly scheduled meeting of the board of directors during each fiscal quarter commencing following such grant (such shares, the “Initial Quarterly Shares”); however, if the grantee fails to attend any such regularly scheduled meeting, then vesting for the Initial Quarterly Shares will not occur and will be suspended (any such shares being referred to collectively as the “Initial Suspended Shares”). For any Initial Suspended Shares, such shares will vest following the fifth anniversary of the date of grant, if the non-employee director satisfies the attendance requirements in subsequent periods. Such Initial Awards are “early exercisable” such that the non-employee director may purchase shares underlying the Initial Award prior to vesting, subject to our right of repurchase lapsing in accordance with the vesting schedule of the Initial Award. Each Initial Award vests in full upon a change in control (as defined in the 2020 Plan), subject to the non-employee director remaining in service until the closing of the change in control.</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the date of the annual meeting of our stockholders, each person who was then a non-employee director was granted an option to purchase shares of our Class A common stock having a value of $350,000 based on the grant date fair value of the option for financial reporting purposes on the date of such annual meeting (the “Annual Award”); however, for a non-employee director who was appointed to the board of directors less than 365 days prior to the annual meeting of our stockholders (and subject to the annual compensation limit described below), the $350,000 value was pro-rated based on the number of days from the date of appointment until such annual meeting. Each Annual Award vests over two years, with 12.5% of the Annual Award vesting quarterly after the date of grant, provided the grantee remains as a director and attends in person the regularly scheduled meeting of the board of directors during each fiscal quarter commencing following such grant (such shares, the “Annual Quarterly Shares”); however, if the grantee fails to attend any such regularly scheduled meeting, then vesting for the Annual Quarterly Shares will not occur and will be suspended (any such shares being referred to collectively as the “Annual Suspended Shares”). For any Annual Suspended Shares, such shares will vest following the second anniversary of the date of grant, if the director satisfies the attendance requirements in subsequent periods. Such Annual Awards are “early exercisable” such that the non-employee director may purchase shares underlying the Annual Award prior to vesting, subject to our right of repurchase lapsing in accordance with the vesting schedule of the Annual Award. Each Annual Award vests in full upon a change in control (as defined in the option agreement with each director), subject to the director remaining in service until the closing of the change in control.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In addition to the Initial Awards and Annual Awards described above, for the fiscal year ended April 30, 2026, certain non-employee directors were granted the following stock options as additional compensation for services on our board of directors and its committees, as applicable, with each such option vesting in the same manner as the Annual Awards: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an additional option to purchase shares of our Class A common stock having a value of $45,000, based on the grant date fair market value of the underlying Class A common stock for service as lead independent director of the board of directors, if any; and</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an additional option to purchase shares of our Class A common stock having a value of $20,000, based on the grant date fair market value of the underlying Class A common stock for service as the Chair of a committee of the board of directors.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non-employee director compensation program and compensation outside such program for non-employee directors are reviewed periodically by our compensation committee and our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036955"/>
                <wp:effectExtent l="0" t="0" r="0" b="0"/>
                <wp:wrapNone/>
                <wp:docPr id="25" name="Frame25"/>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PROPOSAL ONE </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ELECTION OF DIRECTORS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August 27, 2026, our board of directors consists of twelve members and is divided into three classes. Each class currently consists of four directors and has a three-year term. At each annual meeting of stockholders, the successors to directors whose terms then expire will be elected to serve from the time of election until the third annual meeting following the election and until his or her successor is duly elected and qualified, or until his or her earlier death, resignation, or removal.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At the Annual Meeting, stockholders are being asked to elect three of the current Class III directors named in this proxy statement (John C. Dwyer, Michael G. McCaffery, and Stephen M. Ward, Jr.) who are standing for election at the Annual Meeting, each to serve a three-year term as outlined above to succeed the current Class III directors. Dr. Condoleezza Rice, a current Class III director, is not standing for re-election to our board upon the completion of her current term, which expires at the Annual Meeting. As of August 25, 2026, our board of directors appointed John Dwyer as a Class III director to serve until his term of office expires and until his successor is duly elected and qualified, or until his earlier death, resignation, or removal. Mr. Dwyer is standing for re-election at the Annual Meeting to serve a three-year term as a Class III director.</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board of directors, upon the recommendation of the nominating and corporate governance committee, approved a reduction in the number of directors constituting the full board of directors from twelve to eleven, effective immediately prior to the Annual Meeting. Accordingly, there are three nominees for director at the Annual Meeting and proxies cannot be voted for a greater number of individuals than the three nominees named above. Beginning immediately prior to the Annual Meeting, our board of directors will consist of eleven members divided into three classes, with Class I and Class II each consisting of four directors, and Class III consisting of three directors.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Director Nominees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nominating and corporate governance committee has recommended, and our board of directors has approved, John C. Dwyer, Michael G. McCaffery, and Stephen M. Ward, Jr. as nominees for election as Class III directors at the Annual Meeting. If elected, each of Messrs. Dwyer, McCaffery and Ward will serve as Class III directors for a full term of three years and until their successors are duly elected and qualified, or until his death, resignation, or removal. Each of Messrs. McCaffery and Ward is currently a director serving on our board of directors and was elected by our stockholders at our 2023 annual meeting of stockholders. Mr. Dwyer, who was identified by our board of directors, joined our board of directors in August 2026 after being considered and recommended by our nominating and corporate governance committee. For information concerning each of the nominees, please see the section titled “Information Regarding Our Board of Directors and Corporate Governance.”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Each nominee has consented to being named as a nominee in our proxy statement and has agreed to serve if elected. We have no reason to believe that any nominee will be unable to serve. If any nominee becomes unable or unwilling to stand for election as a result of an unexpected occurrence, the proxy holders will vote your proxy for the election of any substitute nominee as may be proposed by our nominating and corporate governance committee.</w:t>
      </w:r>
    </w:p>
    <w:p>
      <w:pPr>
        <w:pStyle w:val="TextBody"/>
        <w:bidi w:val="0"/>
        <w:spacing w:before="0" w:after="0"/>
        <w:jc w:val="both"/>
        <w:rPr/>
      </w:pPr>
      <w:r>
        <w:rPr/>
      </w:r>
    </w:p>
    <w:p>
      <w:pPr>
        <w:pStyle w:val="TextBody"/>
        <w:bidi w:val="0"/>
        <w:spacing w:lineRule="auto" w:line="288" w:before="180" w:after="180"/>
        <w:jc w:val="center"/>
        <w:rPr/>
      </w:pPr>
      <w:r>
        <w:rPr>
          <w:rFonts w:ascii="Times New Roman;serif" w:hAnsi="Times New Roman;serif"/>
          <w:b/>
          <w:color w:val="000000"/>
          <w:sz w:val="20"/>
        </w:rPr>
        <w:t xml:space="preserve">OUR BOARD OF DIRECTORS RECOMMENDS A VOTE </w:t>
      </w:r>
      <w:r>
        <w:rPr>
          <w:rFonts w:ascii="Times New Roman;serif" w:hAnsi="Times New Roman;serif"/>
          <w:b/>
          <w:color w:val="000000"/>
          <w:sz w:val="20"/>
          <w:u w:val="single"/>
        </w:rPr>
        <w:t>FOR</w:t>
      </w:r>
      <w:r>
        <w:rPr>
          <w:color w:val="000000"/>
        </w:rPr>
        <w:t xml:space="preserve"> </w:t>
      </w:r>
      <w:r>
        <w:rPr>
          <w:rFonts w:ascii="Times New Roman;serif" w:hAnsi="Times New Roman;serif"/>
          <w:b/>
          <w:color w:val="000000"/>
          <w:sz w:val="20"/>
        </w:rPr>
        <w:t>THE ELECTION OF EACH DIRECTOR NOMINEE NAMED ABOVE.</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036955"/>
                <wp:effectExtent l="0" t="0" r="0" b="0"/>
                <wp:wrapNone/>
                <wp:docPr id="26" name="Frame26"/>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PROPOSAL TWO</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APPROVAL, ON A NON-BINDING, ADVISORY BASIS, OF THE </w:t>
        <w:br/>
        <w:t xml:space="preserve">COMPENSATION OF OUR NAMED EXECUTIVE OFFICERS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the requirements of Section 14A of the Exchange Act, we are providing our stockholders the opportunity to vote to approve, on a non-binding, advisory basis, the compensation of our named executive officers (as disclosed under “Executive Compensation—Compensation Discussion and Analysis,” the compensation tables included under the heading “Executive Compensation” and the accompanying narrative).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You are encouraged to review the section titled “Executive Compensation” and, in particular, the section titled “Executive Compensation—Compensation Discussion and Analysis” in this proxy statement, which provide a comprehensive review of our executive compensation program and its elements, objectives and rationale.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vote on this resolution is not intended to address any specific element of compensation, rather the vote relates to the compensation of our named executive officers in its totality, as described in this proxy statement in accordance with the compensation disclosure rules of the SEC.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Section 14A of the Exchange Act, stockholders are asked to approve the following non-binding resolution: </w:t>
      </w:r>
    </w:p>
    <w:p>
      <w:pPr>
        <w:pStyle w:val="TextBody"/>
        <w:bidi w:val="0"/>
        <w:spacing w:lineRule="auto" w:line="288" w:before="180" w:after="180"/>
        <w:jc w:val="both"/>
        <w:rPr>
          <w:color w:val="000000"/>
        </w:rPr>
      </w:pPr>
      <w:r>
        <w:rPr>
          <w:color w:val="000000"/>
        </w:rPr>
        <w:t>“</w:t>
      </w:r>
      <w:r>
        <w:rPr>
          <w:rFonts w:ascii="Times New Roman;serif" w:hAnsi="Times New Roman;serif"/>
          <w:b w:val="false"/>
          <w:color w:val="000000"/>
          <w:sz w:val="20"/>
        </w:rPr>
        <w:t xml:space="preserve">RESOLVED, that the Company’s stockholders hereby approve, on a non-binding, advisory basis, the compensation of the Company’s named executive officers, as disclosed in the Company’s proxy statement for the 2026 Annual Meeting of Stockholders, pursuant to the compensation disclosure rules of the Securities and Exchange Commission, including the Compensation Discussion and Analysis, the compensation tables and the accompanying narrative.”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Since this proposal is an advisory vote, the result will not be binding on our board of directors or our compensation committee. However, our board of directors values our stockholders’ opinions, and our board of directors and the compensation committee will take into account the outcome of the advisory vote when considering future executive compensation decisions. </w:t>
      </w:r>
    </w:p>
    <w:p>
      <w:pPr>
        <w:pStyle w:val="TextBody"/>
        <w:bidi w:val="0"/>
        <w:spacing w:before="0" w:after="0"/>
        <w:jc w:val="both"/>
        <w:rPr/>
      </w:pPr>
      <w:r>
        <w:rPr/>
      </w:r>
    </w:p>
    <w:p>
      <w:pPr>
        <w:pStyle w:val="TextBody"/>
        <w:bidi w:val="0"/>
        <w:spacing w:lineRule="auto" w:line="288" w:before="180" w:after="180"/>
        <w:jc w:val="center"/>
        <w:rPr/>
      </w:pPr>
      <w:r>
        <w:rPr>
          <w:rFonts w:ascii="Times New Roman;serif" w:hAnsi="Times New Roman;serif"/>
          <w:b/>
          <w:color w:val="000000"/>
          <w:sz w:val="20"/>
        </w:rPr>
        <w:t xml:space="preserve">OUR BOARD OF DIRECTORS RECOMMENDS A VOTE </w:t>
      </w:r>
      <w:r>
        <w:rPr>
          <w:rFonts w:ascii="Times New Roman;serif" w:hAnsi="Times New Roman;serif"/>
          <w:b/>
          <w:color w:val="000000"/>
          <w:sz w:val="20"/>
          <w:u w:val="single"/>
        </w:rPr>
        <w:t>FOR</w:t>
      </w:r>
      <w:r>
        <w:rPr>
          <w:color w:val="000000"/>
        </w:rPr>
        <w:t xml:space="preserve"> </w:t>
      </w:r>
      <w:r>
        <w:rPr>
          <w:rFonts w:ascii="Times New Roman;serif" w:hAnsi="Times New Roman;serif"/>
          <w:b/>
          <w:color w:val="000000"/>
          <w:sz w:val="20"/>
        </w:rPr>
        <w:t>THE APPROVAL OF THE NON-BINDING RESOLUTION ON NAMED EXECUTIVE OFFICER COMPENSATION</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036955"/>
                <wp:effectExtent l="0" t="0" r="0" b="0"/>
                <wp:wrapNone/>
                <wp:docPr id="27" name="Frame27"/>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PROPOSAL THREE</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RATIFICATION OF INDEPENDENT REGISTERED PUBLIC ACCOUNTING FIRM </w:t>
      </w:r>
    </w:p>
    <w:p>
      <w:pPr>
        <w:pStyle w:val="TextBody"/>
        <w:bidi w:val="0"/>
        <w:spacing w:lineRule="auto" w:line="288" w:before="180" w:after="180"/>
        <w:jc w:val="both"/>
        <w:rPr/>
      </w:pPr>
      <w:r>
        <w:rPr>
          <w:rFonts w:ascii="Times New Roman;serif" w:hAnsi="Times New Roman;serif"/>
          <w:b w:val="false"/>
          <w:color w:val="000000"/>
          <w:sz w:val="20"/>
        </w:rPr>
        <w:t>Our audit committee has appointed Deloitte &amp; Touche LLP (“Deloitte</w:t>
      </w:r>
      <w:r>
        <w:rPr>
          <w:color w:val="000000"/>
        </w:rPr>
        <w:t>”</w:t>
      </w:r>
      <w:r>
        <w:rPr>
          <w:rFonts w:ascii="Times New Roman;serif" w:hAnsi="Times New Roman;serif"/>
          <w:b w:val="false"/>
          <w:color w:val="000000"/>
          <w:sz w:val="20"/>
        </w:rPr>
        <w:t>) as our independent registered public accounting firm to audit our consolidated financial statements for the fiscal year ending April 30, 2027. Deloitte has served as our independent registered public accounting firm since 2018. Representatives of Deloitte are expected to be present during the Annual Meeting. They will have an opportunity to make a statement if they so desire and will be available to respond to appropriate questions.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Neither our amended and restated bylaws nor law require stockholder ratification of the appointment of Deloitte as our independent registered public accounting firm. However, our audit committee is asking our stockholders to ratify its appointment of Deloitte because it values the views of our stockholders. If the stockholders fail to ratify the appointment, our audit committee may review the appointment of Deloitte as our independent registered public accounting firm but is under no obligation to review the appointment. Even if the appointment is ratified, our audit committee may, in its sole discretion, appoint different independent auditors at any time during the fiscal year if they determine that such a change would be in our best interests and the best interests of our stockholders.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Fees Paid to Our Independent Registered Public Accounting Firm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fees billed to us by Deloitte for the fiscal years ended April 30, 2026, and April 30, 2025.</w:t>
      </w:r>
    </w:p>
    <w:tbl>
      <w:tblPr>
        <w:tblW w:w="5275" w:type="dxa"/>
        <w:jc w:val="left"/>
        <w:tblInd w:w="0" w:type="dxa"/>
        <w:tblLayout w:type="fixed"/>
        <w:tblCellMar>
          <w:top w:w="28" w:type="dxa"/>
          <w:left w:w="28" w:type="dxa"/>
          <w:bottom w:w="28" w:type="dxa"/>
          <w:right w:w="28" w:type="dxa"/>
        </w:tblCellMar>
      </w:tblPr>
      <w:tblGrid>
        <w:gridCol w:w="666"/>
        <w:gridCol w:w="585"/>
        <w:gridCol w:w="593"/>
        <w:gridCol w:w="429"/>
        <w:gridCol w:w="465"/>
        <w:gridCol w:w="466"/>
        <w:gridCol w:w="222"/>
        <w:gridCol w:w="222"/>
        <w:gridCol w:w="222"/>
        <w:gridCol w:w="429"/>
        <w:gridCol w:w="404"/>
        <w:gridCol w:w="572"/>
      </w:tblGrid>
      <w:tr>
        <w:trPr/>
        <w:tc>
          <w:tcPr>
            <w:tcW w:w="66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 April 30,</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844"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Audit Fees</w:t>
            </w:r>
            <w:r>
              <w:rPr>
                <w:rFonts w:ascii="Times New Roman;serif" w:hAnsi="Times New Roman;serif"/>
                <w:b w:val="false"/>
                <w:color w:val="000000"/>
                <w:sz w:val="13"/>
              </w:rPr>
              <w:t>(1)</w:t>
            </w:r>
          </w:p>
        </w:tc>
        <w:tc>
          <w:tcPr>
            <w:tcW w:w="42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2,535,000</w:t>
            </w:r>
          </w:p>
        </w:tc>
        <w:tc>
          <w:tcPr>
            <w:tcW w:w="6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2,475,643</w:t>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Audit-Related Fees</w:t>
            </w:r>
            <w:r>
              <w:rPr>
                <w:rFonts w:ascii="Times New Roman;serif" w:hAnsi="Times New Roman;serif"/>
                <w:b w:val="false"/>
                <w:color w:val="000000"/>
                <w:sz w:val="13"/>
              </w:rPr>
              <w:t>(2)</w:t>
            </w:r>
          </w:p>
        </w:tc>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844"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Tax Fees</w:t>
            </w:r>
            <w:r>
              <w:rPr>
                <w:rFonts w:ascii="Times New Roman;serif" w:hAnsi="Times New Roman;serif"/>
                <w:b w:val="false"/>
                <w:color w:val="000000"/>
                <w:sz w:val="13"/>
              </w:rPr>
              <w:t>(2)</w:t>
            </w:r>
          </w:p>
        </w:tc>
        <w:tc>
          <w:tcPr>
            <w:tcW w:w="13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All Other Fees</w:t>
            </w:r>
            <w:r>
              <w:rPr>
                <w:rFonts w:ascii="Times New Roman;serif" w:hAnsi="Times New Roman;serif"/>
                <w:b w:val="false"/>
                <w:color w:val="000000"/>
                <w:sz w:val="13"/>
              </w:rPr>
              <w:t>(3)</w:t>
            </w:r>
          </w:p>
        </w:tc>
        <w:tc>
          <w:tcPr>
            <w:tcW w:w="4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w:t>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w:t>
            </w:r>
          </w:p>
        </w:tc>
      </w:tr>
      <w:tr>
        <w:trPr/>
        <w:tc>
          <w:tcPr>
            <w:tcW w:w="18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Fees</w:t>
            </w:r>
          </w:p>
        </w:tc>
        <w:tc>
          <w:tcPr>
            <w:tcW w:w="42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2,538,790</w:t>
            </w:r>
          </w:p>
        </w:tc>
        <w:tc>
          <w:tcPr>
            <w:tcW w:w="6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2,479,433</w:t>
            </w:r>
          </w:p>
        </w:tc>
      </w:tr>
    </w:tbl>
    <w:p>
      <w:pPr>
        <w:pStyle w:val="TextBody"/>
        <w:bidi w:val="0"/>
        <w:spacing w:lineRule="auto" w:line="288" w:before="18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(1)Audit fees consist of fees for professional services provided in connection with the audit of our annual consolidated financial statements, reviews of our quarterly condensed consolidated financial statements, and statutory and regulatory filings or engagements. For the fiscal years ended April 30, 2026, and April 30, 2025, this category also included fees for attestation services related to Section 404 of the Sarbanes-Oxley Act of 2002.</w:t>
      </w:r>
    </w:p>
    <w:p>
      <w:pPr>
        <w:pStyle w:val="TextBody"/>
        <w:bidi w:val="0"/>
        <w:spacing w:lineRule="auto" w:line="288" w:before="180" w:after="18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(2)There were no audit-related or tax fees billed by Deloitte during the fiscal years ended April 30, 2026, and April 30, 2025.</w:t>
      </w:r>
    </w:p>
    <w:p>
      <w:pPr>
        <w:pStyle w:val="TextBody"/>
        <w:bidi w:val="0"/>
        <w:spacing w:lineRule="auto" w:line="288" w:before="180" w:after="18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(3)All other fees consist of software subscription fees.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Pre-Approval Policies and Procedures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audit committee approves all audit and non-audit services provided to us by our independent registered public accounting firm in accordance with our Audit Committee Pre-Approval Policy for Services of Independent Auditor. Pre-approval may be given as part of our audit committee’s approval of the scope of the engagement of the independent registered public accounting firm or on an individual, explicit, case-by-case basis before the independent registered public accounting firm is engaged to provide each service. All of the services relating to the fees described in the table above were pre-approved by our audit committee in accordance with our audit committee’s pre-approval policies and procedures. </w:t>
      </w:r>
    </w:p>
    <w:p>
      <w:pPr>
        <w:pStyle w:val="TextBody"/>
        <w:bidi w:val="0"/>
        <w:spacing w:before="0" w:after="0"/>
        <w:jc w:val="both"/>
        <w:rPr/>
      </w:pPr>
      <w:r>
        <w:rPr/>
      </w:r>
    </w:p>
    <w:p>
      <w:pPr>
        <w:pStyle w:val="TextBody"/>
        <w:bidi w:val="0"/>
        <w:spacing w:lineRule="auto" w:line="288" w:before="180" w:after="180"/>
        <w:jc w:val="center"/>
        <w:rPr/>
      </w:pPr>
      <w:r>
        <w:rPr>
          <w:rFonts w:ascii="Times New Roman;serif" w:hAnsi="Times New Roman;serif"/>
          <w:b/>
          <w:color w:val="000000"/>
          <w:sz w:val="20"/>
        </w:rPr>
        <w:t xml:space="preserve">OUR BOARD OF DIRECTORS RECOMMENDS A VOTE </w:t>
      </w:r>
      <w:r>
        <w:rPr>
          <w:rFonts w:ascii="Times New Roman;serif" w:hAnsi="Times New Roman;serif"/>
          <w:b/>
          <w:color w:val="000000"/>
          <w:sz w:val="20"/>
          <w:u w:val="single"/>
        </w:rPr>
        <w:t>FOR</w:t>
      </w:r>
      <w:r>
        <w:rPr>
          <w:color w:val="000000"/>
        </w:rPr>
        <w:t xml:space="preserve"> </w:t>
      </w:r>
      <w:r>
        <w:rPr>
          <w:rFonts w:ascii="Times New Roman;serif" w:hAnsi="Times New Roman;serif"/>
          <w:b/>
          <w:color w:val="000000"/>
          <w:sz w:val="20"/>
        </w:rPr>
        <w:t>THE RATIFICATION OF DELOITTE &amp; TOUCHE LLP AS OUR INDEPENDENT REGISTERED PUBLIC ACCOUNTING FIRM.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036955"/>
                <wp:effectExtent l="0" t="0" r="0" b="0"/>
                <wp:wrapNone/>
                <wp:docPr id="28" name="Frame28"/>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PROPOSAL FOUR</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APPROVAL OF THE AMENDMENT AND RESTATEMENT</w:t>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 xml:space="preserve">OF OUR 2020 EQUITY INCENTIVE PLAN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are asking our stockholders to approve the amendment and restatement of our 2020 Equity Incentive Plan (the “2020 Plan” and, as so amended and restated, the “A&amp;R 2020 Plan”) to (a) increase the number of shares of Class A common stock reserved for issuance thereunder by 10,000,000 shares and (b) extend the “evergreen” provision thereunder through May 1, 2036 to enable us to continue to issue awards thereunder. Our board of directors approved the A&amp;R 2020 Plan on August 25, 2026, subject to approval by our stockholders. If approved by our stockholders, the A&amp;R 2020 Plan will become effective on October 26, 2026, the date of our Annual Meeting. If the A&amp;R 2020 Plan is not approved, our current 2020 Plan will remain as-is, including its existing automatic annual share increase (“evergreen”) provision.</w:t>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Background</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2020 Plan was initially adopted by our board of directors in connection with our initial public offering in December 2020 and subsequently approved by our stockholders. Further, our 2020 Plan was amended at our annual meeting of stockholders held on October 4, 2023 in respect of an increase to the evergreen provisions thereunder from five percent (5%) to seven percent (7%). Our 2020 Plan provides for the grant of awards to eligible employees, directors, consultants, and advisors in the form of stock options, restricted stock awards, stock appreciation rights, restricted stock units (“RSU awards”), performance awards, including performance-based RSU awards (“PRSU awards”), and other awards. Our 2020 Plan includes an evergreen provision under which the share reserve automatically increases each May 1 through May 1, 2030, by an amount equal to 7% of the total outstanding shares of our Class A and Class B common stock as of the immediately preceding April 30 (or a lesser number of shares as determined by our board of directors). As of August 4, 2026, there were 10,913,010 shares available for grant under our 2020 Plan.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board of directors has determined that it is in the best interests of the Company and our stockholders to seek stockholder approval of the A&amp;R 2020 Plan to increase the number of shares of Class A common stock reserved for issuance thereunder by 10,000,000 shares and to extend the term of the plan’s evergreen provision described above by six years, through (and including) May 1, 2036, in addition to the shares that will become available under the existing evergreen provision.</w:t>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Reasons for the Amendment and Restatement of our 2020 Plan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C3 AI operates in a highly competitive and rapidly evolving Enterprise AI market, and we compete intensely for software engineering, applied AI, and go-to-market talent with much larger, well-capitalized technology companies. We do not expect required rates of compensation to decline, particularly for the specialized AI and machine learning talent critical to our roadmap. We have granted, and expect to continue to grant, meaningful equity awards to recruit and retain this talent, including through our broad-based RSU and option programs and our 2025 Inducement Plan for certain new-hire awards. If the A&amp;R 2020 Plan is not approved by our stockholders, we do not expect there to be a sufficient reserve to allow us to continue to grant awards to our employees, consultants, officers, and directors, and to respond to market competition and potential stock price fluctuations, between now and our 2027 Annual Meeting of Stockholders.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are asking our stockholders to approve the A&amp;R 2020 Plan because we believe our future success and our ability to remain competitive depend on our continuing efforts to attract, retain, and motivate highly qualified personnel who represent, in our view, best-in-class talent in their respective fields. Equity awards, whose value depends on our stock performance and which generally require continued service over time before value can be realized, help achieve these objectives and are a key element of our compensation program. Equity awards also incentivize our employees to manage our business as owners, aligning their interests with those of our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036955"/>
                <wp:effectExtent l="0" t="0" r="0" b="0"/>
                <wp:wrapNone/>
                <wp:docPr id="29" name="Frame29"/>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believe we must continue to use equity compensation broadly to attract, retain, and motivate our employees as we grow our business, develop new products, and increase stockholder value. Our ability to attract and retain the talent we need to compete in our industry would be significantly hindered if the A&amp;R 2020 Plan is not approved, which could affect our long-term success. If the A&amp;R 2020 Plan is not approved, we would expect to again seek stockholder approval for a share increase or a new equity incentive plan prior to our next Annual Meeting of Stockholders, which would increase costs and distract management from executing our business goals.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In addition to the share increase described above, we are asking our stockholders to approve an extension of the evergreen provision under our 2020 Plan, so that automatic annual increases to the share reserve, subject to the annual percentage limit described above, would continue from May 1 of each year through May 1, 2036 (rather than through May 1, 2030). We believe this extension will reduce the frequency with which we need to seek additional new-share approvals from our stockholders, while preserving stockholders’ ability to evaluate the size of each annual increase, as our board of directors retains discretion to set the actual increase below the applicable cap in any given year.</w:t>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We Manage our Equity Incentive Program Thoughtfully</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compensation committee thoughtfully manages our equity incentive programs to balance long-term stockholder dilution, burn rate, and stock-based compensation expense against our need to attract, reward, and retain key talent in a hypercompetitive market for AI and enterprise software talent. In evaluating the proposed A&amp;R 2020 Plan, our board of directors and its compensation committee considered a number of factors, including the costs of our 2020 Plan and an analysis of our burn rate summarized below.</w:t>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Burn Rate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detailed information regarding the activity related to our 2020 Plan for the fiscal years ended April 30, 2026, 2025 and 2024. We define “burn rate” for a given fiscal year as (a) the number of stock options, restricted stock unit awards, and performance-based equity awards granted, minus forfeitures for equity awards, in each case for the applicable fiscal year, divided by (b) the weighted average total number of shares of our Class A common stock outstanding for the applicable fiscal year.</w:t>
      </w:r>
    </w:p>
    <w:tbl>
      <w:tblPr>
        <w:tblW w:w="7564" w:type="dxa"/>
        <w:jc w:val="left"/>
        <w:tblInd w:w="0" w:type="dxa"/>
        <w:tblLayout w:type="fixed"/>
        <w:tblCellMar>
          <w:top w:w="28" w:type="dxa"/>
          <w:left w:w="28" w:type="dxa"/>
          <w:bottom w:w="28" w:type="dxa"/>
          <w:right w:w="28" w:type="dxa"/>
        </w:tblCellMar>
      </w:tblPr>
      <w:tblGrid>
        <w:gridCol w:w="1576"/>
        <w:gridCol w:w="1385"/>
        <w:gridCol w:w="1389"/>
        <w:gridCol w:w="260"/>
        <w:gridCol w:w="260"/>
        <w:gridCol w:w="261"/>
        <w:gridCol w:w="260"/>
        <w:gridCol w:w="260"/>
        <w:gridCol w:w="261"/>
        <w:gridCol w:w="260"/>
        <w:gridCol w:w="260"/>
        <w:gridCol w:w="261"/>
        <w:gridCol w:w="255"/>
        <w:gridCol w:w="255"/>
        <w:gridCol w:w="361"/>
      </w:tblGrid>
      <w:tr>
        <w:trPr/>
        <w:tc>
          <w:tcPr>
            <w:tcW w:w="1576"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where noted)</w:t>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FY2026</w:t>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FY2025</w:t>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FY2024</w:t>
            </w:r>
          </w:p>
        </w:tc>
        <w:tc>
          <w:tcPr>
            <w:tcW w:w="8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Average</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 net of forfeitures</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6,547</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w:t>
            </w:r>
          </w:p>
        </w:tc>
      </w:tr>
      <w:tr>
        <w:trPr/>
        <w:tc>
          <w:tcPr>
            <w:tcW w:w="43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 awards/PRSU awards Granted, net of forfeitures</w:t>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6,201</w:t>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10,969</w:t>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4,385</w:t>
            </w:r>
          </w:p>
        </w:tc>
        <w:tc>
          <w:tcPr>
            <w:tcW w:w="8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7,185</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Avg. Shares Outstanding</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140,513</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129,089</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119,362</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129,655</w:t>
            </w:r>
          </w:p>
        </w:tc>
      </w:tr>
      <w:tr>
        <w:trPr/>
        <w:tc>
          <w:tcPr>
            <w:tcW w:w="43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Burn Rate (%)</w:t>
            </w:r>
          </w:p>
        </w:tc>
        <w:tc>
          <w:tcPr>
            <w:tcW w:w="5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3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increase of an additional 10,000,000 shares to be reserved for issuance under our A&amp;R 2020 Plan constitutes approximately 6.4% of the shares of Class A common stock that are issued and outstanding as of August 4, 2026.</w:t>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Description of the A&amp;R 2020 Plan</w:t>
      </w:r>
    </w:p>
    <w:p>
      <w:pPr>
        <w:pStyle w:val="TextBody"/>
        <w:bidi w:val="0"/>
        <w:spacing w:lineRule="auto" w:line="288" w:before="180" w:after="180"/>
        <w:jc w:val="both"/>
        <w:rPr/>
      </w:pPr>
      <w:r>
        <w:rPr>
          <w:rFonts w:ascii="Times New Roman;serif" w:hAnsi="Times New Roman;serif"/>
          <w:b w:val="false"/>
          <w:color w:val="000000"/>
          <w:sz w:val="20"/>
        </w:rPr>
        <w:t xml:space="preserve">The material features of the A&amp;R 2020 Plan are summarized below. The following description of the A&amp;R 2020 Plan is a summary only and is qualified in its entirety by reference to the A&amp;R 2020 Plan itself, which is attached to this Proxy Statement as </w:t>
      </w:r>
      <w:hyperlink w:anchor="i42336e8fd3bd413e877b4e5e7d3b58da_306">
        <w:r>
          <w:rPr>
            <w:rStyle w:val="InternetLink"/>
            <w:rFonts w:ascii="Times New Roman;serif" w:hAnsi="Times New Roman;serif"/>
            <w:b w:val="false"/>
            <w:color w:val="0000FF"/>
            <w:sz w:val="20"/>
            <w:u w:val="single"/>
          </w:rPr>
          <w:t>Appendix A</w:t>
        </w:r>
      </w:hyperlink>
      <w:r>
        <w:rPr>
          <w:rFonts w:ascii="Times New Roman;serif" w:hAnsi="Times New Roman;serif"/>
          <w:b w:val="false"/>
          <w:color w:val="000000"/>
          <w:sz w:val="20"/>
        </w:rPr>
        <w:t>.</w:t>
      </w:r>
    </w:p>
    <w:p>
      <w:pPr>
        <w:pStyle w:val="TextBody"/>
        <w:bidi w:val="0"/>
        <w:spacing w:lineRule="auto" w:line="288" w:before="180" w:after="180"/>
        <w:jc w:val="both"/>
        <w:rPr/>
      </w:pPr>
      <w:r>
        <w:rPr>
          <w:rFonts w:ascii="Times New Roman;serif" w:hAnsi="Times New Roman;serif"/>
          <w:b/>
          <w:i/>
          <w:color w:val="000000"/>
          <w:sz w:val="20"/>
        </w:rPr>
        <w:t>General</w:t>
      </w:r>
      <w:r>
        <w:rPr>
          <w:rFonts w:ascii="Times New Roman;serif" w:hAnsi="Times New Roman;serif"/>
          <w:b w:val="false"/>
          <w:color w:val="000000"/>
          <w:sz w:val="20"/>
        </w:rPr>
        <w:t>. The A&amp;R 2020 Plan provides for the grant of incentive stock options, or ISOs, nonstatutory stock options, or NSOs, stock appreciation rights, restricted stock awards, RSU awards, performance awards and other stock awards, which we refer to collectively as awards. ISOs granted under the A&amp;R 2020 Plan are intended to qualify as “incentive stock options” within the meaning of Section 422 of the Code. NSOs granted under the A&amp;R 2020 Plan are not intended to qualify as “incentive stock options” under the Code.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036955"/>
                <wp:effectExtent l="0" t="0" r="0" b="0"/>
                <wp:wrapNone/>
                <wp:docPr id="30" name="Frame30"/>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All of our (including our affiliates’) employees, consultants and non-employee directors are eligible to participate in the A&amp;R 2020 Plan and may receive all types of awards other than ISOs. ISOs may be granted under the A&amp;R 2020 Plan only to our (including our subsidiary corporations’) employees. As of April 30, 2026, we (including our affiliates) had 764 employees, 2 consultants and 11 non-employee directors.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board of directors, or a duly authorized committee of our board of directors, will administer our A&amp;R 2020 Plan. Our board of directors may delegate to one or more of our officers the authority to (i) designate employees (other than officers) to receive specified stock awards; and (ii) determine the number of shares subject to such stock awards. Under our A&amp;R 2020 Plan, our board of directors will have the authority to determine stock award recipients, the types of stock awards to be granted, grant dates, the number of shares subject to each stock award, the fair market value of our Class A common stock, and the provisions of each stock award, including the period of exercisability and the vesting schedule applicable to a stock award. Under our A&amp;R 2020 Plan, our board of directors also generally will have the authority to effect, with the consent of any materially adversely affected participant, (i) the reduction of the exercise, purchase, or strike price of any outstanding option or stock appreciation right; (ii) the cancellation of any outstanding option or stock appreciation right and the grant in substitution therefore of other awards, cash, or other consideration; or (iii) any other action that is treated as a repricing under generally accepted accounting principles.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board of directors has the power to delegate administration of the A&amp;R 2020 Plan to a committee of the board of directors. The board of directors has delegated concurrent authority to administer the A&amp;R 2020 Plan to our compensation committee. As used in this description of the A&amp;R 2020 Plan, the “board of directors” refers to the compensation committee as well as to the board of directors itself.</w:t>
      </w:r>
    </w:p>
    <w:p>
      <w:pPr>
        <w:pStyle w:val="TextBody"/>
        <w:bidi w:val="0"/>
        <w:spacing w:lineRule="auto" w:line="288" w:before="180" w:after="180"/>
        <w:jc w:val="both"/>
        <w:rPr/>
      </w:pPr>
      <w:r>
        <w:rPr>
          <w:rFonts w:ascii="Times New Roman;serif" w:hAnsi="Times New Roman;serif"/>
          <w:b/>
          <w:i/>
          <w:color w:val="000000"/>
          <w:sz w:val="20"/>
        </w:rPr>
        <w:t>Authorized Shares Subject to the A&amp;R 2020 Plan</w:t>
      </w:r>
      <w:r>
        <w:rPr>
          <w:rFonts w:ascii="Times New Roman;serif" w:hAnsi="Times New Roman;serif"/>
          <w:b w:val="false"/>
          <w:color w:val="000000"/>
          <w:sz w:val="20"/>
        </w:rPr>
        <w:t>. Subject to adjustment for certain changes in our capitalization, the maximum number of shares of our Class A common stock that may be issued pursuant to awards under the A&amp;R 2020 Plan is 112,047,556 shares, plus the additional 10,000,000 shares requested under this Proposal No. 4 (for a total of 122,047,556 shares), which 112,047,556 share figure is the sum of: (i) 22,000,000 shares that were initially reserved for issuance under the 2020 Plan and approved by our stockholders in November 2020; (ii) 5,108,355 shares that were added to the share reserve on May 1, 2021 pursuant to the evergreen provision of the 2020 Plan; (iii) 5,311,251 shares that were added to the share reserve on May 1, 2022 pursuant to the evergreen provision of the 2020 Plan; (iv) 5,697,128 shares that were added to the share reserve on May 1, 2023 pursuant to the evergreen provision of the 2020 Plan; (v) 8,659,414 shares that were added to the share reserve on May 1, 2024 pursuant to the evergreen provision of the 2020 Plan; (vi) 9,375,694 shares that were added to the share reserve on May 1, 2025 pursuant to the evergreen provision of the 2020 Plan; (vii) 10,360,509 shares that were added to the share reserve on May 1, 2026 pursuant to the evergreen provision of the 2020 Plan; plus (viii) a number of shares of Class A common stock equal to our 2012 Equity Incentive Plan’s (such plan, the “2012 Plan”) available reserve as of the time the 2020 Plan became effective; plus (ix) a number of shares of Class A common stock equal to the number of “Returning Shares” (as defined in the A&amp;R 2020 Plan), if any, as such shares become available from time to time, consisting generally of shares subject to awards under the 2012 Plan or the 2020 Plan that expire, are forfeited, are settled in cash, or are withheld to satisfy an exercise, strike, or purchase price or a tax withholding obligation.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In addition, if this Proposal No. 4 is approved by our stockholders, pursuant to the evergreen provision of the A&amp;R 2020 Plan, the aggregate number of shares of our Class A common stock reserved for issuance under the A&amp;R 2020 Plan will automatically increase on May 1 of each year, beginning on May 1, 2027 and continuing through (and including) May 1, 2036, by 7.0% of the total number of shares of our capital stock outstanding on April 30 of the immediately preceding fiscal year, or a lesser number of shares determined by the board of directors. Shares issuable under the A&amp;R 2020 Plan will be shares of authorized but unissued or reacquired Class A common stock, including shares repurchased by us on the open market or otherwise.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036955"/>
                <wp:effectExtent l="0" t="0" r="0" b="0"/>
                <wp:wrapNone/>
                <wp:docPr id="31" name="Frame31"/>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Shares subject to stock awards granted under our A&amp;R 2020 Plan that expire or terminate without being exercised in full or that are paid out in cash rather than in shares will not reduce the number of shares available for issuance under our A&amp;R 2020 Plan. Shares withheld under a stock award to satisfy the exercise, strike or purchase price of a stock award or to satisfy a tax withholding obligation will not reduce the number of shares available for issuance under our A&amp;R 2020 Plan. If any shares of our Class A common stock issued pursuant to a stock award are (i) forfeited back to or repurchased or reacquired by us because of a failure to meet a contingency or condition required for the vesting of such shares; (ii) reacquired to satisfy the exercise, strike or purchase price of a stock award (which under the A&amp;R 2020 Plan will be limited to reacquisitions through October 26, 2036); or (iii) reacquired to satisfy a tax withholding obligation in connection with a stock award (which, under the A&amp;R 2020 Plan, after October 26, 2036, will be limited to shares subject to restricted stock upon vesting), the shares that are forfeited or repurchased or reacquired will revert to and again become available for issuance under our A&amp;R 2020 Plan.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Subject to adjustment for certain changes in our capitalization, the aggregate maximum number of shares of Class A common stock that may be issued pursuant to the exercise of ISOs under the A&amp;R 2020 Plan is 202,605,615 shares.</w:t>
      </w:r>
    </w:p>
    <w:p>
      <w:pPr>
        <w:pStyle w:val="TextBody"/>
        <w:bidi w:val="0"/>
        <w:spacing w:lineRule="auto" w:line="288" w:before="180" w:after="180"/>
        <w:jc w:val="both"/>
        <w:rPr/>
      </w:pPr>
      <w:r>
        <w:rPr>
          <w:rFonts w:ascii="Times New Roman;serif" w:hAnsi="Times New Roman;serif"/>
          <w:b/>
          <w:i/>
          <w:color w:val="000000"/>
          <w:sz w:val="20"/>
        </w:rPr>
        <w:t>Stock Options</w:t>
      </w:r>
      <w:r>
        <w:rPr>
          <w:rFonts w:ascii="Times New Roman;serif" w:hAnsi="Times New Roman;serif"/>
          <w:b w:val="false"/>
          <w:color w:val="000000"/>
          <w:sz w:val="20"/>
        </w:rPr>
        <w:t>. Stock options are granted under stock option agreements adopted by the plan administrator. The plan administrator determines the exercise price for stock options, within the terms and conditions of the A&amp;R 2020 Plan, except the exercise price generally cannot be less than 100% of the fair market value of our Class A common stock on the date of grant. Options granted under the A&amp;R 2020 Plan vest at the rate determined by the plan administrator and can have a term up to a maximum of 10 years. Unless the terms of an optionholder’s stock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This period may be further extended if following such a termination of service, exercise of the option is prohibited by applicable securities laws or the immediate sale of any shares acquired upon exercise would violate the Company’s insider trading policy. If an optionholder’s service relationship with us or any of our affiliates ceases due to disability or death, or an optionholder dies within a certain period following cessation of service, the optionholder or a beneficiary may generally exercise any vested options for a period of 12 months in the event of disability and 18 months in the event of death. In the event of a termination for cause, options generally terminate upon the termination date. In no event may an option be exercised beyond the expiration of its term.</w:t>
      </w:r>
    </w:p>
    <w:p>
      <w:pPr>
        <w:pStyle w:val="TextBody"/>
        <w:bidi w:val="0"/>
        <w:spacing w:lineRule="auto" w:line="288" w:before="180" w:after="180"/>
        <w:jc w:val="both"/>
        <w:rPr/>
      </w:pPr>
      <w:r>
        <w:rPr>
          <w:rFonts w:ascii="Times New Roman;serif" w:hAnsi="Times New Roman;serif"/>
          <w:b/>
          <w:i/>
          <w:color w:val="000000"/>
          <w:sz w:val="20"/>
        </w:rPr>
        <w:t>Tax Limitations on ISOs</w:t>
      </w:r>
      <w:r>
        <w:rPr>
          <w:rFonts w:ascii="Times New Roman;serif" w:hAnsi="Times New Roman;serif"/>
          <w:b w:val="false"/>
          <w:color w:val="000000"/>
          <w:sz w:val="20"/>
        </w:rPr>
        <w:t>. The aggregate fair market value, determined at the time of grant, of our Class A common stock with respect to ISOs that are exercisable for the first time by an award holder during any calendar year under all of our stock plans, including the A&amp;R 2020 Plan,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parent or subsidiary corporations unless (i) the option exercise price is at least 110% of the fair market value of the stock subject to the option on the date of grant; and (ii) the term of the ISO does not exceed five years from the date of grant.</w:t>
      </w:r>
    </w:p>
    <w:p>
      <w:pPr>
        <w:pStyle w:val="TextBody"/>
        <w:bidi w:val="0"/>
        <w:spacing w:lineRule="auto" w:line="288" w:before="180" w:after="180"/>
        <w:jc w:val="both"/>
        <w:rPr/>
      </w:pPr>
      <w:r>
        <w:rPr>
          <w:rFonts w:ascii="Times New Roman;serif" w:hAnsi="Times New Roman;serif"/>
          <w:b/>
          <w:i/>
          <w:color w:val="000000"/>
          <w:sz w:val="20"/>
        </w:rPr>
        <w:t>Restricted Stock Unit Awards</w:t>
      </w:r>
      <w:r>
        <w:rPr>
          <w:rFonts w:ascii="Times New Roman;serif" w:hAnsi="Times New Roman;serif"/>
          <w:b w:val="false"/>
          <w:color w:val="000000"/>
          <w:sz w:val="20"/>
        </w:rPr>
        <w:t>. Restricted stock unit awards are granted under restricted stock unit award agreements adopted by the plan administrator. A restricted stock unit award may be settled by cash, delivery of stock, a combination of cash and stock as deemed appropriate by the plan administrator, or in any other form of consideration set forth in the restricted stock unit award agreement. Except as otherwise provided in the applicable award agreement, restricted stock unit awards that have not vested will be forfeited once the participant’s continuous service ends for any reason.</w:t>
      </w:r>
    </w:p>
    <w:p>
      <w:pPr>
        <w:pStyle w:val="TextBody"/>
        <w:bidi w:val="0"/>
        <w:spacing w:lineRule="auto" w:line="288" w:before="180" w:after="180"/>
        <w:jc w:val="both"/>
        <w:rPr/>
      </w:pPr>
      <w:r>
        <w:rPr>
          <w:rFonts w:ascii="Times New Roman;serif" w:hAnsi="Times New Roman;serif"/>
          <w:b/>
          <w:i/>
          <w:color w:val="000000"/>
          <w:sz w:val="20"/>
        </w:rPr>
        <w:t>Restricted Stock Awards</w:t>
      </w:r>
      <w:r>
        <w:rPr>
          <w:rFonts w:ascii="Times New Roman;serif" w:hAnsi="Times New Roman;serif"/>
          <w:b w:val="false"/>
          <w:color w:val="000000"/>
          <w:sz w:val="20"/>
        </w:rPr>
        <w:t>. Restricted stock awards are granted under restricted stock award agreements adopted by the administrator. A restricted stock award may be awarded in consideration for cash, check, bank draft or money order, past or future services to us, or any other form of legal consideration that may be acceptable to our board of directors and permissible under applicable law. The administrator will determine the terms and conditions of restricted stock awards, including vesting and forfeiture terms. If a participant’s service relationship with us ends for any reason, we may receive any or all of the shares of Class A common stock held by the participant that have not vested as of the date the participant terminates service with us through a forfeiture condition or a repurchase right.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036955"/>
                <wp:effectExtent l="0" t="0" r="0" b="0"/>
                <wp:wrapNone/>
                <wp:docPr id="32" name="Frame32"/>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pPr>
      <w:r>
        <w:rPr>
          <w:rFonts w:ascii="Times New Roman;serif" w:hAnsi="Times New Roman;serif"/>
          <w:b/>
          <w:i/>
          <w:color w:val="000000"/>
          <w:sz w:val="20"/>
        </w:rPr>
        <w:t>Stock Appreciation Rights</w:t>
      </w:r>
      <w:r>
        <w:rPr>
          <w:rFonts w:ascii="Times New Roman;serif" w:hAnsi="Times New Roman;serif"/>
          <w:b w:val="false"/>
          <w:color w:val="000000"/>
          <w:sz w:val="20"/>
        </w:rPr>
        <w:t>. Stock appreciation rights are granted under stock appreciation right agreements adopted by the administrator. The administrator will determine the purchase price or strike price for a stock appreciation right, which generally will not be less than 100% of the fair market value of our Class A common stock on the date of grant. A stock appreciation right granted under our A&amp;R 2020 Plan will vest at the rate specified in the stock appreciation right agreement as will be determined by the administrator. Stock appreciation rights may be settled in cash or shares of our Class A common stock or in any other form of payment as determined by our board of directors and specified in the stock appreciation right agreement. The administrator will determine the term of stock appreciation rights granted under our A&amp;R 2020 Plan, up to a maximum of 10 years. If a participant’s service relationship with us or any of our affiliates ceases for any reason other than cause, disability, or death, the participant may generally exercise any vested stock appreciation right for a period of three months following the cessation of service. This period may be further extended if following such a termination of service, exercise of the stock appreciation right is prohibited by applicable securities laws or the immediate sale of any shares acquired upon exercise would violate the Company’s insider trading policy.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upon the termination date. In no event may a stock appreciation right be exercised beyond the expiration of its term.</w:t>
      </w:r>
    </w:p>
    <w:p>
      <w:pPr>
        <w:pStyle w:val="TextBody"/>
        <w:bidi w:val="0"/>
        <w:spacing w:lineRule="auto" w:line="288" w:before="180" w:after="180"/>
        <w:jc w:val="both"/>
        <w:rPr/>
      </w:pPr>
      <w:r>
        <w:rPr>
          <w:rFonts w:ascii="Times New Roman;serif" w:hAnsi="Times New Roman;serif"/>
          <w:b/>
          <w:i/>
          <w:color w:val="000000"/>
          <w:sz w:val="20"/>
        </w:rPr>
        <w:t>Performance Awards</w:t>
      </w:r>
      <w:r>
        <w:rPr>
          <w:rFonts w:ascii="Times New Roman;serif" w:hAnsi="Times New Roman;serif"/>
          <w:b w:val="false"/>
          <w:color w:val="000000"/>
          <w:sz w:val="20"/>
        </w:rPr>
        <w:t>. Our A&amp;R 2020 Plan permits the grant of performance awards that may be settled in stock, cash or other property. Performance awards may be 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our Class A common stock. The performance goals may be based on any measure of performance selected by our board of directors. 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Unless specified otherwise by our board of directors at the time the performance award is granted, our board will appropriately make adjustments in the method of calculating the attainment of performance goals to account for items such as restructuring or other nonrecurring charges, exchange rate effects, changes to generally accepted accounting principles, statutory tax rate changes, unusual or infrequently occurring items, the dilutive effects of acquisitions or joint ventures, divestitures, changes in outstanding shares by reason of stock dividends, splits, or similar corporate events, stock-based compensation and bonus awards, acquisition- or divestiture-related costs, and goodwill or intangible asset impairment charges.</w:t>
      </w:r>
    </w:p>
    <w:p>
      <w:pPr>
        <w:pStyle w:val="TextBody"/>
        <w:bidi w:val="0"/>
        <w:spacing w:lineRule="auto" w:line="288" w:before="180" w:after="180"/>
        <w:jc w:val="both"/>
        <w:rPr/>
      </w:pPr>
      <w:r>
        <w:rPr>
          <w:rFonts w:ascii="Times New Roman;serif" w:hAnsi="Times New Roman;serif"/>
          <w:b/>
          <w:i/>
          <w:color w:val="000000"/>
          <w:sz w:val="20"/>
        </w:rPr>
        <w:t>Other Stock Awards</w:t>
      </w:r>
      <w:r>
        <w:rPr>
          <w:rFonts w:ascii="Times New Roman;serif" w:hAnsi="Times New Roman;serif"/>
          <w:b w:val="false"/>
          <w:color w:val="000000"/>
          <w:sz w:val="20"/>
        </w:rPr>
        <w:t>. The administrator will be permitted to grant other awards based in whole or in part by reference to our Class A common stock. The administrator will set the number of shares under the stock award (or cash equivalent) and all other terms and conditions of such awards.</w:t>
      </w:r>
    </w:p>
    <w:p>
      <w:pPr>
        <w:pStyle w:val="TextBody"/>
        <w:bidi w:val="0"/>
        <w:spacing w:lineRule="auto" w:line="288" w:before="180" w:after="180"/>
        <w:jc w:val="both"/>
        <w:rPr/>
      </w:pPr>
      <w:r>
        <w:rPr>
          <w:rFonts w:ascii="Times New Roman;serif" w:hAnsi="Times New Roman;serif"/>
          <w:b/>
          <w:i/>
          <w:color w:val="000000"/>
          <w:sz w:val="20"/>
        </w:rPr>
        <w:t>Non-Employee Director Compensation Limit</w:t>
      </w:r>
      <w:r>
        <w:rPr>
          <w:rFonts w:ascii="Times New Roman;serif" w:hAnsi="Times New Roman;serif"/>
          <w:b w:val="false"/>
          <w:color w:val="000000"/>
          <w:sz w:val="20"/>
        </w:rPr>
        <w:t>. The aggregate value of all compensation granted or paid to any non-employee director with respect to any calendar year, including awards granted and cash fees paid by us to such non-employee director, will not exceed $700,000 in total value, except such amount will increase to $900,000 for the calendar year in which the non-employee director is first appointed or elected to the board of directors.</w:t>
      </w:r>
    </w:p>
    <w:p>
      <w:pPr>
        <w:pStyle w:val="TextBody"/>
        <w:bidi w:val="0"/>
        <w:spacing w:lineRule="auto" w:line="288" w:before="180" w:after="180"/>
        <w:jc w:val="both"/>
        <w:rPr/>
      </w:pPr>
      <w:r>
        <w:rPr>
          <w:rFonts w:ascii="Times New Roman;serif" w:hAnsi="Times New Roman;serif"/>
          <w:b/>
          <w:i/>
          <w:color w:val="000000"/>
          <w:sz w:val="20"/>
        </w:rPr>
        <w:t>Changes to Capital Structure</w:t>
      </w:r>
      <w:r>
        <w:rPr>
          <w:rFonts w:ascii="Times New Roman;serif" w:hAnsi="Times New Roman;serif"/>
          <w:b w:val="false"/>
          <w:color w:val="000000"/>
          <w:sz w:val="20"/>
        </w:rPr>
        <w:t>. In the event there is a specified type of change in our capital structure, such as a stock split, reverse stock split, or recapitalization, appropriate adjustments will be made to (i) the class and maximum number of shares reserved for issuance under our A&amp;R 2020 Plan, (ii) the class and maximum number of shares by which the share reserve may increase automatically each year, (iii) the class and maximum number of shares that may be issued on the exercise of ISOs, and (iv) the class and number of shares and exercise price, strike price, or purchase price, if applicable, of all outstanding stock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036955"/>
                <wp:effectExtent l="0" t="0" r="0" b="0"/>
                <wp:wrapNone/>
                <wp:docPr id="33" name="Frame33"/>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pPr>
      <w:r>
        <w:rPr>
          <w:rFonts w:ascii="Times New Roman;serif" w:hAnsi="Times New Roman;serif"/>
          <w:b/>
          <w:i/>
          <w:color w:val="000000"/>
          <w:sz w:val="20"/>
        </w:rPr>
        <w:t>Corporate Transactions</w:t>
      </w:r>
      <w:r>
        <w:rPr>
          <w:rFonts w:ascii="Times New Roman;serif" w:hAnsi="Times New Roman;serif"/>
          <w:b w:val="false"/>
          <w:color w:val="000000"/>
          <w:sz w:val="20"/>
        </w:rPr>
        <w:t>. In the event of a corporate transaction (as defined below), unless otherwise provided in a participant’s stock award agreement or other written agreement with us or one of our affiliates or unless otherwise expressly provided by the administrator at the time of grant, any stock awards outstanding under our A&amp;R 2020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(or, in the case of performance awards with multiple vesting levels depending on the level of performance, vesting will accelerate at 100% of the target level)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In the event a stock award will terminate if not exercised prior to the effective time of a corporate transaction, the administrator may provide, in its sole discretion, that the holder of such stock award may not exercise such stock award but instead will receive a payment equal in value to the excess (if any) of (i) the value of the property the participant would have received upon the exercise of the stock award, over (ii) any per share exercise price payable by such holder, if applicable. In addition, any escrow, holdback, earn out or similar provisions in the definitive agreement for the corporate transaction may apply to such payment to the same extent and in the same manner as such provisions apply to the holders of our Class A common stock.</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Under our A&amp;R 2020 Plan, a “corporate transaction” is generally the consummation of (i) a sale or other disposition of all or substantially all of our consolidated assets; (ii) a sale or other disposition of at least 50% of our outstanding securities; (iii) a merger, consolidation or similar transaction following which we are not the surviving corporation; or (iv) a merger, consolidation or similar transaction following which we are the surviving corporation but the shares of our Class A common stock outstanding immediately prior to such transaction are converted or exchanged into other property by virtue of the transaction.</w:t>
      </w:r>
    </w:p>
    <w:p>
      <w:pPr>
        <w:pStyle w:val="TextBody"/>
        <w:bidi w:val="0"/>
        <w:spacing w:lineRule="auto" w:line="288" w:before="180" w:after="180"/>
        <w:jc w:val="both"/>
        <w:rPr/>
      </w:pPr>
      <w:r>
        <w:rPr>
          <w:rFonts w:ascii="Times New Roman;serif" w:hAnsi="Times New Roman;serif"/>
          <w:b/>
          <w:i/>
          <w:color w:val="000000"/>
          <w:sz w:val="20"/>
        </w:rPr>
        <w:t>Change in Control</w:t>
      </w:r>
      <w:r>
        <w:rPr>
          <w:rFonts w:ascii="Times New Roman;serif" w:hAnsi="Times New Roman;serif"/>
          <w:b w:val="false"/>
          <w:color w:val="000000"/>
          <w:sz w:val="20"/>
        </w:rPr>
        <w:t>. Stock awards granted under our A&amp;R 2020 Plan may be subject to acceleration of vesting and exercisability upon or after a change in control (as defined below) as may be provided in the applicable stock award agreement or in any other written agreement between us or any affiliate and the participant, but in the absence of such provision, no such acceleration will automatically occur.</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Under our A&amp;R 2020 Plan, a “change in control” is generally (i) the acquisition by any person or company of more than 50% of the combined voting power of our then outstanding stock; (ii) a merger, consolidation or similar transaction in which our stockholders immediately before the transaction do not own, directly or indirectly, more than 50% of the combined voting power of the surviving entity (or the parent of the surviving entity) in substantially the same proportions as their ownership immediately prior to such transaction; (iii) stockholder approval of a complete dissolution or liquidation; (iv) a sale, lease, exclusive license or other disposition of all or substantially all of our assets other than to an entity more than 50% of the combined voting power of which is owned by our stockholders in substantially the same proportions as their ownership of our outstanding voting securities immediately prior to such transaction; or (v) when a majority of our board of directors becomes comprised of individuals who were not serving on our board of directors on the date of the underwriting agreement related to our initial public offering, or the incumbent board, or whose nomination, appointment, or election was not approved by a majority of the incumbent board still in office.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036955"/>
                <wp:effectExtent l="0" t="0" r="0" b="0"/>
                <wp:wrapNone/>
                <wp:docPr id="34" name="Frame34"/>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pPr>
      <w:r>
        <w:rPr>
          <w:rFonts w:ascii="Times New Roman;serif" w:hAnsi="Times New Roman;serif"/>
          <w:b/>
          <w:i/>
          <w:color w:val="000000"/>
          <w:sz w:val="20"/>
        </w:rPr>
        <w:t>Plan Amendment or Termination</w:t>
      </w:r>
      <w:r>
        <w:rPr>
          <w:rFonts w:ascii="Times New Roman;serif" w:hAnsi="Times New Roman;serif"/>
          <w:b w:val="false"/>
          <w:color w:val="000000"/>
          <w:sz w:val="20"/>
        </w:rPr>
        <w:t>. Our board of directors has the authority to amend, suspend, or terminate our A&amp;R 2020 Plan at any time, as long as such action does not materially impair the existing rights of any participant without such participant’s written consent. Certain material amendments also require the approval of our stockholders. No ISOs may be granted after the tenth anniversary of the date our board of directors adopts our A&amp;R 2020 Plan. No stock awards may be granted under our A&amp;R 2020 Plan while it is suspended or after it is terminated.</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U.S. FEDERAL INCOME TAX CONSEQUENCES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principal United States federal income tax consequences to participants and us with respect to participation in the A&amp;R 2020 Plan. This summary is not intended to be exhaustive and does not discuss the income tax laws of any local, state or foreign jurisdiction in which a participant may reside. The information is based upon current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an award or the disposition of stock acquired under the A&amp;R 2020 Plan. The A&amp;R 2020 Plan is not qualified under the provisions of Section 401(a) of the Internal Revenue Code of 1986, as amended (the “Code”), and is not subject to any of the provisions of the Employee Retirement Income Security Act of 1974. Our ability to realize the benefit of any tax deductions described below depends on our generation of taxable income as well as the requirement of reasonableness and the satisfaction of our tax reporting obligations.</w:t>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Nonstatutory Stock Options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Generally, there is no taxation upon the grant of an NSO if the stock option is granted with an exercise price equal to the fair market value of the underlying stock on the grant date. Upon exercise, a participant will recognize ordinary income equal to the excess, if any, of the fair market value of the underlying stock on the date of exercise of the stock option over the exercise price. If the participant is employed by us or one of our affiliates, that income will be subject to withholding taxes. The participant’s tax basis in those shares will be equal to their fair market value on the date of exercise of the stock option, and the participant’s capital gain holding period for those shares will begin on that date.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will generally be entitled to a tax deduction equal to the taxable ordinary income realized by the participant.</w:t>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Incentive Stock Options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A&amp;R 2020 Plan provides for the grant of stock options that are intended to qualify as “incentive stock options,” as defined in Section 422 of the Code. Under the Code, a participant generally is not subject to ordinary income tax upon the grant or exercise of an ISO. If the participant holds a share received upon exercise of an ISO for more than two years from the date the stock option was granted and more than one year from the date the stock option was exercised, which is referred to as the required holding period, the difference, if any, between the amount realized on a sale or other taxable disposition of that share and the participant’s tax basis in that share will be long-term capital gain or loss.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If, however, a participant disposes of a share acquired upon exercise of an ISO before the end of the required holding period, which is referred to as a disqualifying disposition, the participant generally will recognize ordinary income in the year of the disqualifying disposition equal to the excess, if any, of the fair market value of the share on the date of exercise of the stock option over the exercise price. However, if the sales proceeds are less than the fair market value of the share on the date of exercise of the stock option, the amount of ordinary income recognized by the participant will not exceed the gain, if any, realized on the sale. If the amount realized on a disqualifying disposition exceeds the fair market value of the share on the date of exercise of the stock option, that excess will be short-term or long-term capital gain, depending on whether the holding period for the share exceeds one year.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036955"/>
                <wp:effectExtent l="0" t="0" r="0" b="0"/>
                <wp:wrapNone/>
                <wp:docPr id="35" name="Frame35"/>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For purposes of the alternative minimum tax, the amount by which the fair market value of a share of stock acquired upon exercise of an ISO exceeds the exercise price of the stock option generally will be an adjustment included in the participant’s alternative minimum taxable income for the year in which the stock option is exercised. If, however, there is a disqualifying disposition of the share in the year in which the stock option is exercised, there will be no adjustment for alternative minimum tax purposes with respect to that share. In computing alternative minimum taxable income, the tax basis of a share acquired upon exercise of an ISO is increased by the amount of the adjustment taken into account with respect to that share for alternative minimum tax purposes in the year the stock option is exercised.</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are not allowed a tax deduction with respect to the grant or exercise of an ISO or the disposition of a share acquired upon exercise of an ISO after the required holding period. If there is a disqualifying disposition of a share, however, we will generally be entitled to a tax deduction equal to the taxable ordinary income realized by the participant, so long as either the employee includes that amount in income or we timely satisfy our reporting requirements with respect to that amount.</w:t>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Restricted Stock Awards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Generally, the recipient of a restricted stock award will recognize ordinary income at the time the stock is received equal to the excess, if any, of the fair market value of the stock received over any amount paid by the recipient in exchange for the stock. If, however, the stock is not vested when it is received (for example, if the employee is required to work for a period of time in order to have the right to sell the stock), the recipient generally will not recognize income until the stock becomes vested, at which time the recipient will recognize ordinary income equal to the excess, if any, of the fair market value of the stock on the date it becomes vested over any amount paid by the recipient in exchange for the stock. A recipient may, however, file an election with the Internal Revenue Service, within 30 days following his or her receipt of the award, to recognize ordinary income, as of the date the recipient receives the award, equal to the excess, if any, of the fair market value of the stock on the date the award is granted over any amount paid by the recipient for the stock.</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recipient’s basis for the determination of gain or loss upon the subsequent disposition of shares acquired from a restricted stock award will be the amount paid for such shares plus any ordinary income recognized either when the stock is received or when the stock becomes vested.</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will generally be entitled to a tax deduction equal to the taxable ordinary income realized by the recipient of the restricted stock award.</w:t>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Restricted Stock Unit Awards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Generally, the recipient of a restricted stock unit award structured to comply with the requirements of Section 409A of the Code or an exemption to Section 409A of the Code will recognize ordinary income at the time the stock is delivered equal to the excess, if any, of the fair market value of the stock received over any amount paid by the recipient in exchange for the stock.</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recipient’s basis for the determination of gain or loss upon the subsequent disposition of shares acquired from a restricted stock unit award will be the amount paid for such shares plus any ordinary income recognized when the stock is delivered.</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will generally be entitled to a tax deduction equal to the taxable ordinary income realized by the recipient of the restricted stock unit award.</w:t>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Stock Appreciation Rights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Generally, if a stock appreciation right is granted with an exercise price equal to the fair market value of the underlying stock on the grant date, the recipient will recognize ordinary income equal to the fair market value of the stock or cash received upon such exercise. We will generally be entitled to a tax deduction equal to the taxable ordinary income realized by the recipient of the stock appreciation right.</w:t>
      </w:r>
    </w:p>
    <w:p>
      <w:pPr>
        <w:pStyle w:val="TextBody"/>
        <w:bidi w:val="0"/>
        <w:spacing w:before="18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036955"/>
                <wp:effectExtent l="0" t="0" r="0" b="0"/>
                <wp:wrapNone/>
                <wp:docPr id="36" name="Frame36"/>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180" w:after="180"/>
        <w:jc w:val="both"/>
        <w:rPr>
          <w:rFonts w:ascii="Times New Roman;serif" w:hAnsi="Times New Roman;serif"/>
          <w:b/>
          <w:color w:val="000000"/>
          <w:sz w:val="20"/>
        </w:rPr>
      </w:pPr>
      <w:r>
        <w:rPr>
          <w:rFonts w:ascii="Times New Roman;serif" w:hAnsi="Times New Roman;serif"/>
          <w:b/>
          <w:color w:val="000000"/>
          <w:sz w:val="20"/>
        </w:rPr>
        <w:t>PLAN BENEFITS UNDER 2020 PLAN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named executive officers and members of our board of directors have an interest in this proposal by virtue of their eligibility to receive awards under the A&amp;R 2020 Plan.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No awards have been granted that are contingent on the approval of the A&amp;R 2020 Plan. Awards under the A&amp;R 2020 Plan will be made at the discretion of the Compensation Committee or the board of directors, or, subject to the terms of the A&amp;R 2020 Plan and applicable law, its delegate. Therefore, the benefits and amounts that will be received or allocated under the A&amp;R 2020 Plan in the future are not determinable at this time.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Currently, our non-employee directors are entitled to receive equity compensation for their service as directors as described above under the “Non-Employee Director Compensation” section of this Proxy Statement.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for each of the individuals indicated, the total number of shares of our Class A common stock subject to awards that have been granted (even if not currently outstanding) under the 2020 Plan as of August 4, 2026. As of August 4, 2026, the closing price of the underlying shares of our common stock listed on the NYSE was $10.05 per share.</w:t>
      </w:r>
    </w:p>
    <w:tbl>
      <w:tblPr>
        <w:tblW w:w="10205" w:type="dxa"/>
        <w:jc w:val="left"/>
        <w:tblInd w:w="0" w:type="dxa"/>
        <w:tblLayout w:type="fixed"/>
        <w:tblCellMar>
          <w:top w:w="28" w:type="dxa"/>
          <w:left w:w="28" w:type="dxa"/>
          <w:bottom w:w="28" w:type="dxa"/>
          <w:right w:w="28" w:type="dxa"/>
        </w:tblCellMar>
      </w:tblPr>
      <w:tblGrid>
        <w:gridCol w:w="1490"/>
        <w:gridCol w:w="1014"/>
        <w:gridCol w:w="1018"/>
        <w:gridCol w:w="687"/>
        <w:gridCol w:w="599"/>
        <w:gridCol w:w="601"/>
        <w:gridCol w:w="791"/>
        <w:gridCol w:w="742"/>
        <w:gridCol w:w="744"/>
        <w:gridCol w:w="735"/>
        <w:gridCol w:w="735"/>
        <w:gridCol w:w="1049"/>
      </w:tblGrid>
      <w:tr>
        <w:trPr/>
        <w:tc>
          <w:tcPr>
            <w:tcW w:w="1490"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3522"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Name and Position</w:t>
            </w:r>
          </w:p>
        </w:tc>
        <w:tc>
          <w:tcPr>
            <w:tcW w:w="188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Number of Shares Subject to Stock Options</w:t>
            </w:r>
          </w:p>
        </w:tc>
        <w:tc>
          <w:tcPr>
            <w:tcW w:w="227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 xml:space="preserve">Number of Shares Subject to Restricted Stock Awards </w:t>
            </w:r>
          </w:p>
        </w:tc>
        <w:tc>
          <w:tcPr>
            <w:tcW w:w="2519"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Number of Shares Subject to Performance Stock Awards</w:t>
            </w:r>
          </w:p>
        </w:tc>
      </w:tr>
      <w:tr>
        <w:trPr/>
        <w:tc>
          <w:tcPr>
            <w:tcW w:w="35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Thomas M. Siebel</w:t>
            </w:r>
          </w:p>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Chairman and Chief Executive Officer</w:t>
            </w:r>
          </w:p>
        </w:tc>
        <w:tc>
          <w:tcPr>
            <w:tcW w:w="18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3,891,207</w:t>
            </w:r>
          </w:p>
        </w:tc>
        <w:tc>
          <w:tcPr>
            <w:tcW w:w="22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2,607,727</w:t>
            </w:r>
          </w:p>
        </w:tc>
        <w:tc>
          <w:tcPr>
            <w:tcW w:w="25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1,700,000</w:t>
            </w:r>
          </w:p>
        </w:tc>
      </w:tr>
      <w:tr>
        <w:trPr/>
        <w:tc>
          <w:tcPr>
            <w:tcW w:w="3522"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Hitesh Lath</w:t>
            </w:r>
          </w:p>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and Chief Financial Officer &amp; Chief Administrative Officer</w:t>
            </w:r>
          </w:p>
        </w:tc>
        <w:tc>
          <w:tcPr>
            <w:tcW w:w="188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100,000</w:t>
            </w:r>
          </w:p>
        </w:tc>
        <w:tc>
          <w:tcPr>
            <w:tcW w:w="227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962,556</w:t>
            </w:r>
          </w:p>
        </w:tc>
        <w:tc>
          <w:tcPr>
            <w:tcW w:w="2519"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Stephen B. Ehikian</w:t>
            </w:r>
          </w:p>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President</w:t>
            </w:r>
          </w:p>
        </w:tc>
        <w:tc>
          <w:tcPr>
            <w:tcW w:w="18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22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77,686</w:t>
            </w:r>
          </w:p>
        </w:tc>
        <w:tc>
          <w:tcPr>
            <w:tcW w:w="25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3522"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All current executive officers as a group</w:t>
            </w:r>
          </w:p>
        </w:tc>
        <w:tc>
          <w:tcPr>
            <w:tcW w:w="188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3,991,207</w:t>
            </w:r>
          </w:p>
        </w:tc>
        <w:tc>
          <w:tcPr>
            <w:tcW w:w="227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3,570,283</w:t>
            </w:r>
          </w:p>
        </w:tc>
        <w:tc>
          <w:tcPr>
            <w:tcW w:w="2519"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1,700,000</w:t>
            </w:r>
          </w:p>
        </w:tc>
      </w:tr>
      <w:tr>
        <w:trPr/>
        <w:tc>
          <w:tcPr>
            <w:tcW w:w="35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All current directors who are not executive officers as a group</w:t>
            </w:r>
          </w:p>
        </w:tc>
        <w:tc>
          <w:tcPr>
            <w:tcW w:w="18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1,117,338</w:t>
            </w:r>
          </w:p>
        </w:tc>
        <w:tc>
          <w:tcPr>
            <w:tcW w:w="22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626,300</w:t>
            </w:r>
          </w:p>
        </w:tc>
        <w:tc>
          <w:tcPr>
            <w:tcW w:w="251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Each nominee for election as a director:</w:t>
            </w:r>
          </w:p>
        </w:tc>
        <w:tc>
          <w:tcPr>
            <w:tcW w:w="1887"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John C. Dwyer</w:t>
            </w:r>
          </w:p>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Director Nominee</w:t>
            </w:r>
          </w:p>
        </w:tc>
        <w:tc>
          <w:tcPr>
            <w:tcW w:w="18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22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25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68" w:before="0" w:after="283"/>
              <w:jc w:val="right"/>
              <w:rPr>
                <w:color w:val="000000"/>
              </w:rPr>
            </w:pPr>
            <w:r>
              <w:rPr>
                <w:color w:val="000000"/>
              </w:rPr>
              <w:t>—</w:t>
            </w:r>
          </w:p>
        </w:tc>
      </w:tr>
      <w:tr>
        <w:trPr/>
        <w:tc>
          <w:tcPr>
            <w:tcW w:w="3522"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Michael G. McCaffery</w:t>
            </w:r>
          </w:p>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Director Nominee</w:t>
            </w:r>
          </w:p>
        </w:tc>
        <w:tc>
          <w:tcPr>
            <w:tcW w:w="188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167,424</w:t>
            </w:r>
          </w:p>
        </w:tc>
        <w:tc>
          <w:tcPr>
            <w:tcW w:w="227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2519"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68" w:before="0" w:after="283"/>
              <w:jc w:val="right"/>
              <w:rPr>
                <w:color w:val="000000"/>
              </w:rPr>
            </w:pPr>
            <w:r>
              <w:rPr>
                <w:color w:val="000000"/>
              </w:rPr>
              <w:t>—</w:t>
            </w:r>
          </w:p>
        </w:tc>
      </w:tr>
      <w:tr>
        <w:trPr/>
        <w:tc>
          <w:tcPr>
            <w:tcW w:w="35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Stephen M. Ward Jr.</w:t>
            </w:r>
          </w:p>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Director Nominee</w:t>
            </w:r>
          </w:p>
        </w:tc>
        <w:tc>
          <w:tcPr>
            <w:tcW w:w="18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150,728</w:t>
            </w:r>
          </w:p>
        </w:tc>
        <w:tc>
          <w:tcPr>
            <w:tcW w:w="22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25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68" w:before="0" w:after="283"/>
              <w:jc w:val="right"/>
              <w:rPr>
                <w:color w:val="000000"/>
              </w:rPr>
            </w:pPr>
            <w:r>
              <w:rPr>
                <w:color w:val="000000"/>
              </w:rPr>
              <w:t>—</w:t>
            </w:r>
          </w:p>
        </w:tc>
      </w:tr>
      <w:tr>
        <w:trPr/>
        <w:tc>
          <w:tcPr>
            <w:tcW w:w="3522"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Each associate of any executive officers, current directors or director nominees</w:t>
            </w:r>
          </w:p>
        </w:tc>
        <w:tc>
          <w:tcPr>
            <w:tcW w:w="188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227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2519"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68" w:before="0" w:after="283"/>
              <w:jc w:val="right"/>
              <w:rPr>
                <w:color w:val="000000"/>
              </w:rPr>
            </w:pPr>
            <w:r>
              <w:rPr>
                <w:color w:val="000000"/>
              </w:rPr>
              <w:t>—</w:t>
            </w:r>
          </w:p>
        </w:tc>
      </w:tr>
      <w:tr>
        <w:trPr/>
        <w:tc>
          <w:tcPr>
            <w:tcW w:w="35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Each other person who has received or is to receive 5% of awards</w:t>
            </w:r>
          </w:p>
        </w:tc>
        <w:tc>
          <w:tcPr>
            <w:tcW w:w="18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22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25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68" w:before="0" w:after="283"/>
              <w:jc w:val="right"/>
              <w:rPr>
                <w:color w:val="000000"/>
              </w:rPr>
            </w:pPr>
            <w:r>
              <w:rPr>
                <w:color w:val="000000"/>
              </w:rPr>
              <w:t>—</w:t>
            </w:r>
          </w:p>
        </w:tc>
      </w:tr>
      <w:tr>
        <w:trPr/>
        <w:tc>
          <w:tcPr>
            <w:tcW w:w="3522" w:type="dxa"/>
            <w:gridSpan w:val="3"/>
            <w:tcBorders>
              <w:top w:val="single" w:sz="4" w:space="0" w:color="000000"/>
              <w:left w:val="single" w:sz="4" w:space="0" w:color="000000"/>
              <w:bottom w:val="single" w:sz="4" w:space="0" w:color="000000"/>
            </w:tcBorders>
            <w:shd w:fill="D9D9D9" w:val="clear"/>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All current employees, including all current officers who are not executive officers, as a group</w:t>
            </w:r>
          </w:p>
        </w:tc>
        <w:tc>
          <w:tcPr>
            <w:tcW w:w="1887" w:type="dxa"/>
            <w:gridSpan w:val="3"/>
            <w:tcBorders>
              <w:top w:val="single" w:sz="4" w:space="0" w:color="000000"/>
              <w:left w:val="single" w:sz="4" w:space="0" w:color="000000"/>
              <w:bottom w:val="single" w:sz="4" w:space="0" w:color="000000"/>
            </w:tcBorders>
            <w:shd w:fill="D9D9D9" w:val="clear"/>
            <w:tcMar>
              <w:top w:w="3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6,363,500</w:t>
            </w:r>
          </w:p>
        </w:tc>
        <w:tc>
          <w:tcPr>
            <w:tcW w:w="2277" w:type="dxa"/>
            <w:gridSpan w:val="3"/>
            <w:tcBorders>
              <w:top w:val="single" w:sz="4" w:space="0" w:color="000000"/>
              <w:left w:val="single" w:sz="4" w:space="0" w:color="000000"/>
              <w:bottom w:val="single" w:sz="4" w:space="0" w:color="000000"/>
            </w:tcBorders>
            <w:shd w:fill="D9D9D9" w:val="clear"/>
            <w:tcMar>
              <w:top w:w="3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34,458,181</w:t>
            </w:r>
          </w:p>
        </w:tc>
        <w:tc>
          <w:tcPr>
            <w:tcW w:w="2519" w:type="dxa"/>
            <w:gridSpan w:val="3"/>
            <w:tcBorders>
              <w:top w:val="single" w:sz="4" w:space="0" w:color="000000"/>
              <w:left w:val="single" w:sz="4" w:space="0" w:color="000000"/>
              <w:bottom w:val="single" w:sz="4" w:space="0" w:color="000000"/>
              <w:right w:val="single" w:sz="4" w:space="0" w:color="000000"/>
            </w:tcBorders>
            <w:shd w:fill="D9D9D9" w:val="clear"/>
            <w:tcMar>
              <w:top w:w="30" w:type="dxa"/>
              <w:bottom w:w="30" w:type="dxa"/>
            </w:tcMar>
            <w:vAlign w:val="center"/>
          </w:tcPr>
          <w:p>
            <w:pPr>
              <w:pStyle w:val="TableContents"/>
              <w:bidi w:val="0"/>
              <w:spacing w:lineRule="auto" w:line="268" w:before="0" w:after="283"/>
              <w:jc w:val="right"/>
              <w:rPr>
                <w:color w:val="000000"/>
              </w:rPr>
            </w:pPr>
            <w:r>
              <w:rPr>
                <w:color w:val="000000"/>
              </w:rPr>
              <w:t>—</w:t>
            </w:r>
          </w:p>
        </w:tc>
      </w:tr>
    </w:tbl>
    <w:p>
      <w:pPr>
        <w:pStyle w:val="TextBody"/>
        <w:bidi w:val="0"/>
        <w:spacing w:lineRule="auto" w:line="276" w:before="0" w:after="0"/>
        <w:jc w:val="both"/>
        <w:rPr>
          <w:rFonts w:ascii="Times New Roman;serif" w:hAnsi="Times New Roman;serif"/>
          <w:b/>
          <w:color w:val="000000"/>
          <w:sz w:val="20"/>
          <w:u w:val="single"/>
        </w:rPr>
      </w:pPr>
      <w:r>
        <w:rPr>
          <w:rFonts w:ascii="Times New Roman;serif" w:hAnsi="Times New Roman;serif"/>
          <w:b/>
          <w:color w:val="000000"/>
          <w:sz w:val="20"/>
          <w:u w:val="single"/>
        </w:rPr>
        <w:br/>
        <w:t>Registration with the SEC</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If the amendment and restatement described in this Proposal Four is approved by our stockholders, we will file a Registration Statement on Form S-8 with the SEC with respect to the shares of our Class A common stock to be registered pursuant to the A&amp;R 2020 Plan, as soon as reasonably practicable following stockholder approval.</w:t>
      </w:r>
    </w:p>
    <w:p>
      <w:pPr>
        <w:pStyle w:val="TextBody"/>
        <w:bidi w:val="0"/>
        <w:spacing w:lineRule="auto" w:line="288" w:before="180" w:after="180"/>
        <w:jc w:val="center"/>
        <w:rPr/>
      </w:pPr>
      <w:r>
        <w:rPr>
          <w:rFonts w:ascii="Times New Roman;serif" w:hAnsi="Times New Roman;serif"/>
          <w:b/>
          <w:color w:val="000000"/>
          <w:sz w:val="20"/>
        </w:rPr>
        <w:t xml:space="preserve">OUR BOARD OF DIRECTORS RECOMMENDS A VOTE </w:t>
      </w:r>
      <w:r>
        <w:rPr>
          <w:rFonts w:ascii="Times New Roman;serif" w:hAnsi="Times New Roman;serif"/>
          <w:b/>
          <w:color w:val="000000"/>
          <w:sz w:val="20"/>
          <w:u w:val="single"/>
        </w:rPr>
        <w:t>FOR</w:t>
      </w:r>
      <w:r>
        <w:rPr>
          <w:color w:val="000000"/>
        </w:rPr>
        <w:t xml:space="preserve"> </w:t>
      </w:r>
      <w:r>
        <w:rPr>
          <w:rFonts w:ascii="Times New Roman;serif" w:hAnsi="Times New Roman;serif"/>
          <w:b/>
          <w:color w:val="000000"/>
          <w:sz w:val="20"/>
        </w:rPr>
        <w:t>THE APPROVAL OF THE AMENDMENT AND RESTATEMENT OF OUR 2020 EQUITY INCENTIVE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036955"/>
                <wp:effectExtent l="0" t="0" r="0" b="0"/>
                <wp:wrapNone/>
                <wp:docPr id="37" name="Frame37"/>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REPORT OF THE AUDIT COMMITTEE OF THE BOARD OF DIRECTORS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audit committee is a committee of the Company’s board of directors composed solely of independent directors as required by the NYSE listing rules and the rules and regulations of the SEC. The audit committee operates under a written charter adopted by the Company’s board of directors. This written charter is reviewed periodically for changes, as appropriate.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With respect to the Company’s financial reporting process, the Company’s management is responsible for establishing and maintaining internal controls, and for preparing the Company’s consolidated financial statements. Deloitte &amp; Touche LLP (“Deloitte”), the Company’s independent registered public accounting firm, is responsible for performing an independent audit of the Company’s consolidated financial statements. It is the responsibility of the audit committee to oversee these activities. It is not the responsibility of the audit committee to prepare the Company’s consolidated financial statements. In the performance of its oversight function, the audit committee has: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reviewed and discussed the audited consolidated financial statements with management and Deloitte;</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 xml:space="preserve">discussed with Deloitte the matters required to be discussed by the applicable requirements of the Public Company Accounting Oversight Board (“PCAOB”) and the SEC; and </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 xml:space="preserve">received the written disclosures and the letter from Deloitte required by the applicable requirements of the PCAOB regarding the independent accountant’s communications with the audit committee concerning independence and has discussed with Deloitte its independence.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review and discussions noted above, the audit committee recommended to the Company’s board of directors that the audited consolidated financial statements be included in the Company’s Annual Report on Form 10-K for the fiscal year ended April 30, 2026, for filing with the SEC.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Respectfully submitted by the members of the audit committee of the board of directors: </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br/>
        <w:t>Kenneth A. Goldman (Chair)</w:t>
        <w:br/>
        <w:t>Richard C. Levin</w:t>
        <w:br/>
        <w:t>Michael G. McCaffery</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The material in this report is not “soliciting material,” is not deemed “filed” with the SEC and is not to be incorporated by reference in any filing of the Company under the Securities Act of 1933 or the Securities Exchange Act of 1934, whether made before or after the date hereof and irrespective of any general incorporation language in any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036955"/>
                <wp:effectExtent l="0" t="0" r="0" b="0"/>
                <wp:wrapNone/>
                <wp:docPr id="38" name="Frame38"/>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EXECUTIVE OFFICERS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identifies certain information about our executive officers as of August 4, 2026. Our executive officers are appointed by, and serve at the discretion of, our board of directors. There are no family relationships among any of our directors or executive officers. </w:t>
      </w:r>
    </w:p>
    <w:tbl>
      <w:tblPr>
        <w:tblW w:w="8715" w:type="dxa"/>
        <w:jc w:val="left"/>
        <w:tblInd w:w="0" w:type="dxa"/>
        <w:tblLayout w:type="fixed"/>
        <w:tblCellMar>
          <w:top w:w="28" w:type="dxa"/>
          <w:left w:w="28" w:type="dxa"/>
          <w:bottom w:w="28" w:type="dxa"/>
          <w:right w:w="28" w:type="dxa"/>
        </w:tblCellMar>
      </w:tblPr>
      <w:tblGrid>
        <w:gridCol w:w="575"/>
        <w:gridCol w:w="504"/>
        <w:gridCol w:w="510"/>
        <w:gridCol w:w="145"/>
        <w:gridCol w:w="145"/>
        <w:gridCol w:w="146"/>
        <w:gridCol w:w="1961"/>
        <w:gridCol w:w="1961"/>
        <w:gridCol w:w="2768"/>
      </w:tblGrid>
      <w:tr>
        <w:trPr/>
        <w:tc>
          <w:tcPr>
            <w:tcW w:w="57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Age</w:t>
            </w:r>
          </w:p>
        </w:tc>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Position(s)</w:t>
            </w:r>
          </w:p>
        </w:tc>
      </w:tr>
      <w:tr>
        <w:trPr/>
        <w:tc>
          <w:tcPr>
            <w:tcW w:w="1589"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M. Siebel</w:t>
            </w:r>
          </w:p>
        </w:tc>
        <w:tc>
          <w:tcPr>
            <w:tcW w:w="43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w:t>
            </w:r>
          </w:p>
        </w:tc>
        <w:tc>
          <w:tcPr>
            <w:tcW w:w="6690"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Hitesh Lath</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48</w:t>
            </w:r>
          </w:p>
        </w:tc>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Senior Vice President and Chief Financial Officer &amp; Chief Administrative Officer</w:t>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For Mr. Siebel’s biography, see “Information Regarding Our Board of Directors and Corporate Governance.”</w:t>
      </w:r>
    </w:p>
    <w:p>
      <w:pPr>
        <w:pStyle w:val="TextBody"/>
        <w:bidi w:val="0"/>
        <w:spacing w:lineRule="auto" w:line="288" w:before="180" w:after="180"/>
        <w:jc w:val="both"/>
        <w:rPr/>
      </w:pPr>
      <w:r>
        <w:rPr>
          <w:rFonts w:ascii="Times New Roman;serif" w:hAnsi="Times New Roman;serif"/>
          <w:b w:val="false"/>
          <w:i/>
          <w:color w:val="000000"/>
          <w:sz w:val="20"/>
        </w:rPr>
        <w:t>Hitesh Lath</w:t>
      </w:r>
      <w:r>
        <w:rPr>
          <w:rFonts w:ascii="Times New Roman;serif" w:hAnsi="Times New Roman;serif"/>
          <w:b w:val="false"/>
          <w:color w:val="000000"/>
          <w:sz w:val="20"/>
        </w:rPr>
        <w:t>. Mr. Lath has served as our Chief Financial Officer since March 2024 and our Chief Administrative Officer since May 2026. He previously served as our Vice President and Chief Accounting Officer from December 2023 to February 2024. Prior to joining us, Mr. Lath spent over 22 years with Ernst &amp; Young and was most recently a partner in their San Jose, California office. At Ernst &amp; Young, he served several technology clients ranging from Fortune 100 companies to Silicon Valley startups. Mr. Lath holds a Bachelor of Commerce degree from Shri Ram College of Commerce, Delhi University and Master of Business Administration from The Wharton School of the University of Pennsylvania. He is a Certified Public Accountant (inactive status) in the State of California.</w:t>
      </w:r>
    </w:p>
    <w:p>
      <w:pPr>
        <w:pStyle w:val="TextBody"/>
        <w:bidi w:val="0"/>
        <w:spacing w:before="180" w:after="18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036955"/>
                <wp:effectExtent l="0" t="0" r="0" b="0"/>
                <wp:wrapNone/>
                <wp:docPr id="39" name="Frame39"/>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EXECUTIVE COMPENSATION</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Compensation Discussion and Analysis </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This Compensation Discussion and Analysis discusses our executive compensation policies and how and why our compensation committee arrived at specific compensation decisions for the individuals who served as our “named executive officers” pursuant to Item 402(a)(3) of Regulation S-K:</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named executive officers for the fiscal year ended April 30, 2026, were: </w:t>
      </w:r>
    </w:p>
    <w:tbl>
      <w:tblPr>
        <w:tblW w:w="8445" w:type="dxa"/>
        <w:jc w:val="left"/>
        <w:tblInd w:w="0" w:type="dxa"/>
        <w:tblLayout w:type="fixed"/>
        <w:tblCellMar>
          <w:top w:w="28" w:type="dxa"/>
          <w:left w:w="28" w:type="dxa"/>
          <w:bottom w:w="28" w:type="dxa"/>
          <w:right w:w="28" w:type="dxa"/>
        </w:tblCellMar>
      </w:tblPr>
      <w:tblGrid>
        <w:gridCol w:w="635"/>
        <w:gridCol w:w="557"/>
        <w:gridCol w:w="563"/>
        <w:gridCol w:w="1961"/>
        <w:gridCol w:w="1961"/>
        <w:gridCol w:w="2768"/>
      </w:tblGrid>
      <w:tr>
        <w:trPr/>
        <w:tc>
          <w:tcPr>
            <w:tcW w:w="63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Name</w:t>
            </w:r>
          </w:p>
        </w:tc>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Position(s)</w:t>
            </w:r>
          </w:p>
        </w:tc>
      </w:tr>
      <w:tr>
        <w:trPr/>
        <w:tc>
          <w:tcPr>
            <w:tcW w:w="1755"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Thomas M. Siebel</w:t>
            </w:r>
            <w:r>
              <w:rPr>
                <w:rFonts w:ascii="Times New Roman;serif" w:hAnsi="Times New Roman;serif"/>
                <w:b w:val="false"/>
                <w:color w:val="000000"/>
                <w:sz w:val="13"/>
              </w:rPr>
              <w:t>(1)</w:t>
            </w:r>
          </w:p>
        </w:tc>
        <w:tc>
          <w:tcPr>
            <w:tcW w:w="6690"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Hitesh Lath</w:t>
            </w:r>
          </w:p>
        </w:tc>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 &amp; Chief Administrative Officer</w:t>
            </w:r>
          </w:p>
        </w:tc>
      </w:tr>
      <w:tr>
        <w:trPr/>
        <w:tc>
          <w:tcPr>
            <w:tcW w:w="175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Stephen Ehikian</w:t>
            </w:r>
            <w:r>
              <w:rPr>
                <w:rFonts w:ascii="Times New Roman;serif" w:hAnsi="Times New Roman;serif"/>
                <w:b w:val="false"/>
                <w:color w:val="000000"/>
                <w:sz w:val="13"/>
              </w:rPr>
              <w:t>(1)</w:t>
            </w:r>
          </w:p>
        </w:tc>
        <w:tc>
          <w:tcPr>
            <w:tcW w:w="669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r>
              <w:rPr>
                <w:rFonts w:ascii="Times New Roman;serif" w:hAnsi="Times New Roman;serif"/>
                <w:b w:val="false"/>
                <w:color w:val="000000"/>
                <w:sz w:val="20"/>
              </w:rPr>
              <w:t>President</w:t>
            </w:r>
          </w:p>
        </w:tc>
      </w:tr>
    </w:tbl>
    <w:p>
      <w:pPr>
        <w:pStyle w:val="TextBody"/>
        <w:bidi w:val="0"/>
        <w:spacing w:lineRule="auto" w:line="288" w:before="180" w:after="180"/>
        <w:jc w:val="both"/>
        <w:rPr>
          <w:rFonts w:ascii="Times New Roman;serif" w:hAnsi="Times New Roman;serif"/>
          <w:b w:val="false"/>
          <w:color w:val="000000"/>
          <w:sz w:val="24"/>
        </w:rPr>
      </w:pPr>
      <w:r>
        <w:rPr>
          <w:rFonts w:ascii="Times New Roman;serif" w:hAnsi="Times New Roman;serif"/>
          <w:b w:val="false"/>
          <w:color w:val="000000"/>
          <w:sz w:val="24"/>
        </w:rPr>
      </w:r>
    </w:p>
    <w:p>
      <w:pPr>
        <w:pStyle w:val="TextBody"/>
        <w:bidi w:val="0"/>
        <w:spacing w:lineRule="auto" w:line="288" w:before="0" w:after="18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Mr. Ehikian succeeded Mr. Siebel as our Chief Executive Officer on September 1, 2025 and served in that role until May 8, 2026, during which time Mr. Siebel served as Executive Chairman. Mr. Siebel re-assumed the role of Chief Executive Officer effective May 8, 2026, at which time Mr. Ehikian assumed a non-executive role with the title of President.</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that the members of our current executive team represent best-in-class talent in their respective positions and that retaining and incentivizing them is critical for our future success.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Business Overview</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Key Developments During the Last Fiscal Year</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Total revenue for fiscal year 2026 was $250.3 million, reflecting the impact of sales execution challenges addressed through the leadership and organizational changes described above; the Company has since focused on sharpening its sales motion and product velocity under new operating leadership.</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We took decisive action to reposition the business for growth, implementing a comprehensive restructuring with workforce actions substantially complete and the remaining benefits expected to be realized in the second half of fiscal year 2027.</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On June 1, 2026, Mr. Siebel purchased 6.17 million shares of C3 AI common stock.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Federal, Defense, and Aerospace business delivered strong results, with bookings up 17% year-over-year representing 41% of total bookings, driven by new and expanded agreements across the U.S. Department of War, Department of Energy, Navy, and the Intelligence Community, amongst others.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We deepened our strategic alliances during the year: our Microsoft partnership surpassed 100 jointly closed customer agreements across 17 industries since inception, while our partner ecosystem overall drove a substantial majority of bookings in multiple quarters.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We ended fiscal year 2026 with a strong balance sheet, including a cash, cash equivalents, and marketable securities position of $673 million as of June 3, 2026, providing ample runway to execute our turnaround and growth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036955"/>
                <wp:effectExtent l="0" t="0" r="0" b="0"/>
                <wp:wrapNone/>
                <wp:docPr id="40" name="Frame40"/>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Our Culture of High Performance</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are dedicated to enabling companies to operationalize Enterprise AI at scale and capture economic benefit across their value chain. Our people are domain experts in their fields and are individuals with exceptional education and professional backgrounds. We are uncompromising in the quality of our work product. We build deep relationships with our customers grounded upon the highest levels of business ethics and professionalism, with a laser focus on customer success. We execute with precision.</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Rich Human Capital</w:t>
      </w:r>
    </w:p>
    <w:p>
      <w:pPr>
        <w:pStyle w:val="TextBody"/>
        <w:bidi w:val="0"/>
        <w:spacing w:lineRule="auto" w:line="288" w:before="18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One of our key assets is unquestionably the human capital that we have been able to attract, retain, and motivate. We attract exceptionally talented, highly educated, experienced, and motivated employees.</w:t>
      </w:r>
    </w:p>
    <w:p>
      <w:pPr>
        <w:pStyle w:val="TextBody"/>
        <w:bidi w:val="0"/>
        <w:spacing w:lineRule="auto" w:line="288" w:before="18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built a culture of high performance based on four core values:</w:t>
      </w:r>
    </w:p>
    <w:p>
      <w:pPr>
        <w:pStyle w:val="TextBody"/>
        <w:bidi w:val="0"/>
        <w:spacing w:lineRule="auto" w:line="288" w:before="180" w:after="180"/>
        <w:ind w:left="0" w:right="0" w:hanging="360"/>
        <w:jc w:val="both"/>
        <w:rPr/>
      </w:pPr>
      <w:r>
        <w:rPr>
          <w:color w:val="000000"/>
        </w:rPr>
        <w:t>•</w:t>
      </w:r>
      <w:r>
        <w:rPr>
          <w:rFonts w:ascii="Times New Roman;serif" w:hAnsi="Times New Roman;serif"/>
          <w:b/>
          <w:color w:val="000000"/>
          <w:sz w:val="20"/>
          <w:shd w:fill="FFFFFF" w:val="clear"/>
        </w:rPr>
        <w:t>Drive and Innovation Propelling Growth</w:t>
      </w:r>
      <w:r>
        <w:rPr>
          <w:rFonts w:ascii="Times New Roman;serif" w:hAnsi="Times New Roman;serif"/>
          <w:b w:val="false"/>
          <w:color w:val="000000"/>
          <w:sz w:val="20"/>
          <w:shd w:fill="FFFFFF" w:val="clear"/>
        </w:rPr>
        <w:t>. We self-select for people who love to work hard, think with rigor, speak with purpose, and act to achieve great things.</w:t>
      </w:r>
    </w:p>
    <w:p>
      <w:pPr>
        <w:pStyle w:val="TextBody"/>
        <w:bidi w:val="0"/>
        <w:spacing w:lineRule="auto" w:line="288" w:before="180" w:after="180"/>
        <w:ind w:left="0" w:right="0" w:hanging="360"/>
        <w:jc w:val="both"/>
        <w:rPr/>
      </w:pPr>
      <w:r>
        <w:rPr>
          <w:color w:val="000000"/>
        </w:rPr>
        <w:t>•</w:t>
      </w:r>
      <w:r>
        <w:rPr>
          <w:rFonts w:ascii="Times New Roman;serif" w:hAnsi="Times New Roman;serif"/>
          <w:b/>
          <w:color w:val="000000"/>
          <w:sz w:val="20"/>
          <w:shd w:fill="FFFFFF" w:val="clear"/>
        </w:rPr>
        <w:t>Natural Curiosity to Solve the Impossible</w:t>
      </w:r>
      <w:r>
        <w:rPr>
          <w:rFonts w:ascii="Times New Roman;serif" w:hAnsi="Times New Roman;serif"/>
          <w:b w:val="false"/>
          <w:color w:val="000000"/>
          <w:sz w:val="20"/>
          <w:shd w:fill="FFFFFF" w:val="clear"/>
        </w:rPr>
        <w:t>.</w:t>
      </w:r>
      <w:r>
        <w:rPr>
          <w:color w:val="000000"/>
          <w:shd w:fill="FFFFFF" w:val="clear"/>
        </w:rPr>
        <w:t xml:space="preserve"> </w:t>
      </w:r>
      <w:r>
        <w:rPr>
          <w:rFonts w:ascii="Times New Roman;serif" w:hAnsi="Times New Roman;serif"/>
          <w:b w:val="false"/>
          <w:color w:val="000000"/>
          <w:sz w:val="20"/>
          <w:shd w:fill="FFFFFF" w:val="clear"/>
        </w:rPr>
        <w:t>We are self-learners, always seeking knowledge to accelerate innovation.</w:t>
      </w:r>
    </w:p>
    <w:p>
      <w:pPr>
        <w:pStyle w:val="TextBody"/>
        <w:bidi w:val="0"/>
        <w:spacing w:lineRule="auto" w:line="288" w:before="180" w:after="180"/>
        <w:ind w:left="0" w:right="0" w:hanging="360"/>
        <w:jc w:val="both"/>
        <w:rPr/>
      </w:pPr>
      <w:r>
        <w:rPr>
          <w:color w:val="000000"/>
        </w:rPr>
        <w:t>•</w:t>
      </w:r>
      <w:r>
        <w:rPr>
          <w:rFonts w:ascii="Times New Roman;serif" w:hAnsi="Times New Roman;serif"/>
          <w:b/>
          <w:color w:val="000000"/>
          <w:sz w:val="20"/>
          <w:shd w:fill="FFFFFF" w:val="clear"/>
        </w:rPr>
        <w:t>Professional Integrity Governing All Endeavors</w:t>
      </w:r>
      <w:r>
        <w:rPr>
          <w:rFonts w:ascii="Times New Roman;serif" w:hAnsi="Times New Roman;serif"/>
          <w:b w:val="false"/>
          <w:color w:val="000000"/>
          <w:sz w:val="20"/>
          <w:shd w:fill="FFFFFF" w:val="clear"/>
        </w:rPr>
        <w:t>. We act with unwavering ethical integrity, respect, and courtesy.</w:t>
      </w:r>
    </w:p>
    <w:p>
      <w:pPr>
        <w:pStyle w:val="TextBody"/>
        <w:bidi w:val="0"/>
        <w:spacing w:lineRule="auto" w:line="288" w:before="180" w:after="180"/>
        <w:ind w:left="0" w:right="0" w:hanging="360"/>
        <w:jc w:val="both"/>
        <w:rPr/>
      </w:pPr>
      <w:r>
        <w:rPr>
          <w:color w:val="000000"/>
        </w:rPr>
        <w:t>•</w:t>
      </w:r>
      <w:r>
        <w:rPr>
          <w:rFonts w:ascii="Times New Roman;serif" w:hAnsi="Times New Roman;serif"/>
          <w:b/>
          <w:color w:val="000000"/>
          <w:sz w:val="20"/>
          <w:shd w:fill="FFFFFF" w:val="clear"/>
        </w:rPr>
        <w:t>Collective Intelligence</w:t>
      </w:r>
      <w:r>
        <w:rPr>
          <w:rFonts w:ascii="Times New Roman;serif" w:hAnsi="Times New Roman;serif"/>
          <w:b w:val="false"/>
          <w:color w:val="000000"/>
          <w:sz w:val="20"/>
          <w:shd w:fill="FFFFFF" w:val="clear"/>
        </w:rPr>
        <w:t>.</w:t>
      </w:r>
      <w:r>
        <w:rPr>
          <w:color w:val="000000"/>
          <w:shd w:fill="FFFFFF" w:val="clear"/>
        </w:rPr>
        <w:t xml:space="preserve"> </w:t>
      </w:r>
      <w:r>
        <w:rPr>
          <w:rFonts w:ascii="Times New Roman;serif" w:hAnsi="Times New Roman;serif"/>
          <w:b w:val="false"/>
          <w:color w:val="000000"/>
          <w:sz w:val="20"/>
          <w:shd w:fill="FFFFFF" w:val="clear"/>
        </w:rPr>
        <w:t>We believe the unity of our team is substantially greater than the sum of its parts.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compensation program has been designed to align our executives with our stockholders’ objectives through equity and performance-based compensation, to attract top talent as the Company grows, and, importantly, to retain our employees and leadership team in the face of significant competition for talent.</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Executive Compensation Program Highlights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important features of our executive compensation program include the following:</w:t>
      </w:r>
    </w:p>
    <w:p>
      <w:pPr>
        <w:pStyle w:val="TextBody"/>
        <w:bidi w:val="0"/>
        <w:spacing w:lineRule="auto" w:line="288" w:before="180" w:after="180"/>
        <w:ind w:left="0" w:right="0" w:hanging="360"/>
        <w:jc w:val="both"/>
        <w:rPr/>
      </w:pPr>
      <w:r>
        <w:rPr>
          <w:color w:val="000000"/>
        </w:rPr>
        <w:t>•</w:t>
      </w:r>
      <w:r>
        <w:rPr>
          <w:rFonts w:ascii="Times New Roman;serif" w:hAnsi="Times New Roman;serif"/>
          <w:b/>
          <w:color w:val="000000"/>
          <w:sz w:val="20"/>
        </w:rPr>
        <w:t>A majority of executive pay is equity-based</w:t>
      </w:r>
      <w:r>
        <w:rPr>
          <w:rFonts w:ascii="Times New Roman;serif" w:hAnsi="Times New Roman;serif"/>
          <w:b w:val="false"/>
          <w:color w:val="000000"/>
          <w:sz w:val="20"/>
        </w:rPr>
        <w:t>. We structure a majority of our named executive officers’ compensation in equity to achieve the best possible alignment with shareholders.</w:t>
      </w:r>
    </w:p>
    <w:p>
      <w:pPr>
        <w:pStyle w:val="TextBody"/>
        <w:bidi w:val="0"/>
        <w:spacing w:lineRule="auto" w:line="288" w:before="180" w:after="180"/>
        <w:ind w:left="0" w:right="0" w:hanging="360"/>
        <w:jc w:val="both"/>
        <w:rPr/>
      </w:pPr>
      <w:r>
        <w:rPr>
          <w:color w:val="000000"/>
        </w:rPr>
        <w:t>•</w:t>
      </w:r>
      <w:r>
        <w:rPr>
          <w:rFonts w:ascii="Times New Roman;serif" w:hAnsi="Times New Roman;serif"/>
          <w:b/>
          <w:color w:val="000000"/>
          <w:sz w:val="20"/>
        </w:rPr>
        <w:t>We emphasize long-term equity incentives</w:t>
      </w:r>
      <w:r>
        <w:rPr>
          <w:rFonts w:ascii="Times New Roman;serif" w:hAnsi="Times New Roman;serif"/>
          <w:b w:val="false"/>
          <w:color w:val="000000"/>
          <w:sz w:val="20"/>
        </w:rPr>
        <w:t>. Equity awards with multi-year vesting periods are an integral part of our executive compensation program and comprise the majority of our named executive officers’ compensation packages. We have awarded our Chief Executive Officer both stock options and restricted stock unit (“RSU”) awards, including some with five-year vesting schedules, and awarded our other named executive officers RSU awards, including some with five-year vesting schedules. These awards align our named executive officers’ interests with our stockholders’ objectives by providing a long-term financial incentive to maximize value for our stockholders and by encouraging our named executive officers to remain as leaders with us. We have also paid most bonuses in the form of stock (by granting fully vested RSUs) rather than cash in order to further link the interests of our named executive officers and our stockholders.</w:t>
      </w:r>
    </w:p>
    <w:p>
      <w:pPr>
        <w:pStyle w:val="TextBody"/>
        <w:bidi w:val="0"/>
        <w:spacing w:lineRule="auto" w:line="288" w:before="180" w:after="180"/>
        <w:ind w:left="0" w:right="0" w:hanging="360"/>
        <w:jc w:val="both"/>
        <w:rPr/>
      </w:pPr>
      <w:r>
        <w:rPr>
          <w:color w:val="000000"/>
        </w:rPr>
        <w:t>•</w:t>
      </w:r>
      <w:r>
        <w:rPr>
          <w:rFonts w:ascii="Times New Roman;serif" w:hAnsi="Times New Roman;serif"/>
          <w:b/>
          <w:color w:val="000000"/>
          <w:sz w:val="20"/>
        </w:rPr>
        <w:t>We have not provided our named executive officers with excise tax gross ups</w:t>
      </w:r>
      <w:r>
        <w:rPr>
          <w:rFonts w:ascii="Times New Roman;serif" w:hAnsi="Times New Roman;serif"/>
          <w:b w:val="false"/>
          <w:color w:val="000000"/>
          <w:sz w:val="20"/>
        </w:rPr>
        <w:t>.</w:t>
      </w:r>
    </w:p>
    <w:p>
      <w:pPr>
        <w:pStyle w:val="TextBody"/>
        <w:bidi w:val="0"/>
        <w:spacing w:lineRule="auto" w:line="288" w:before="180" w:after="180"/>
        <w:ind w:left="0" w:right="0" w:hanging="360"/>
        <w:jc w:val="both"/>
        <w:rPr/>
      </w:pPr>
      <w:r>
        <w:rPr>
          <w:color w:val="000000"/>
        </w:rPr>
        <w:t>•</w:t>
      </w:r>
      <w:r>
        <w:rPr>
          <w:rFonts w:ascii="Times New Roman;serif" w:hAnsi="Times New Roman;serif"/>
          <w:b/>
          <w:color w:val="000000"/>
          <w:sz w:val="20"/>
        </w:rPr>
        <w:t>We have not provided perquisites</w:t>
      </w:r>
      <w:r>
        <w:rPr>
          <w:color w:val="000000"/>
        </w:rPr>
        <w:t xml:space="preserve"> </w:t>
      </w:r>
      <w:r>
        <w:rPr>
          <w:rFonts w:ascii="Times New Roman;serif" w:hAnsi="Times New Roman;serif"/>
          <w:b w:val="false"/>
          <w:color w:val="000000"/>
          <w:sz w:val="20"/>
        </w:rPr>
        <w:t>to our named executive officers that are not otherwise provided to employees generally, other than certain security-related benefits discussed in more detail below under the section titled “Other Benefits; Perquisites.”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036955"/>
                <wp:effectExtent l="0" t="0" r="0" b="0"/>
                <wp:wrapNone/>
                <wp:docPr id="41" name="Frame41"/>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ind w:left="0" w:right="0" w:hanging="360"/>
        <w:jc w:val="both"/>
        <w:rPr/>
      </w:pPr>
      <w:r>
        <w:rPr>
          <w:color w:val="000000"/>
        </w:rPr>
        <w:t>•</w:t>
      </w:r>
      <w:r>
        <w:rPr>
          <w:rFonts w:ascii="Times New Roman;serif" w:hAnsi="Times New Roman;serif"/>
          <w:b/>
          <w:color w:val="000000"/>
          <w:sz w:val="20"/>
        </w:rPr>
        <w:t xml:space="preserve">Our practice is to require "double-trigger" for accelerated vesting. </w:t>
      </w:r>
      <w:r>
        <w:rPr>
          <w:rFonts w:ascii="Times New Roman;serif" w:hAnsi="Times New Roman;serif"/>
          <w:b w:val="false"/>
          <w:color w:val="000000"/>
          <w:sz w:val="20"/>
        </w:rPr>
        <w:t>Since becoming a publicly traded company in 2020, we have not provided “single-trigger” accelerated vesting of equity awards to our named executive officers on a change in control of the Company. Instead, we require both a change in control of the Company and a qualifying termination of employment (a “double trigger”) to receive accelerated vesting of equity awards.</w:t>
      </w:r>
    </w:p>
    <w:p>
      <w:pPr>
        <w:pStyle w:val="TextBody"/>
        <w:bidi w:val="0"/>
        <w:spacing w:lineRule="auto" w:line="288" w:before="180" w:after="180"/>
        <w:ind w:left="0" w:right="0" w:hanging="360"/>
        <w:jc w:val="both"/>
        <w:rPr/>
      </w:pPr>
      <w:r>
        <w:rPr>
          <w:color w:val="000000"/>
        </w:rPr>
        <w:t>•</w:t>
      </w:r>
      <w:r>
        <w:rPr>
          <w:rFonts w:ascii="Times New Roman;serif" w:hAnsi="Times New Roman;serif"/>
          <w:b/>
          <w:color w:val="000000"/>
          <w:sz w:val="20"/>
        </w:rPr>
        <w:t>Our compensation committee has retained an independent compensation consultant</w:t>
      </w:r>
      <w:r>
        <w:rPr>
          <w:color w:val="000000"/>
        </w:rPr>
        <w:t xml:space="preserve"> </w:t>
      </w:r>
      <w:r>
        <w:rPr>
          <w:rFonts w:ascii="Times New Roman;serif" w:hAnsi="Times New Roman;serif"/>
          <w:b w:val="false"/>
          <w:color w:val="000000"/>
          <w:sz w:val="20"/>
        </w:rPr>
        <w:t>for guidance and advice in making compensation decisions. The compensation consultant advises the compensation committee on competitive market practices, including reviewing the mix of companies that comprise our compensation peer group of companies and reviewing the compensation practices of our peer group companies. This work enables the compensation committee to regularly assess the Company’s compensation programs and executives’ compensation against our compensation peer group, the general marketplace, and other relevant industry data points.</w:t>
      </w:r>
    </w:p>
    <w:p>
      <w:pPr>
        <w:pStyle w:val="TextBody"/>
        <w:bidi w:val="0"/>
        <w:spacing w:lineRule="auto" w:line="288" w:before="180" w:after="180"/>
        <w:ind w:left="0" w:right="0" w:hanging="360"/>
        <w:jc w:val="both"/>
        <w:rPr/>
      </w:pPr>
      <w:r>
        <w:rPr>
          <w:color w:val="000000"/>
        </w:rPr>
        <w:t>•</w:t>
      </w:r>
      <w:r>
        <w:rPr>
          <w:rFonts w:ascii="Times New Roman;serif" w:hAnsi="Times New Roman;serif"/>
          <w:b/>
          <w:color w:val="000000"/>
          <w:sz w:val="20"/>
        </w:rPr>
        <w:t>Our compensation committee is comprised of independent members of our board of directors</w:t>
      </w:r>
      <w:r>
        <w:rPr>
          <w:rFonts w:ascii="Times New Roman;serif" w:hAnsi="Times New Roman;serif"/>
          <w:b w:val="false"/>
          <w:color w:val="000000"/>
          <w:sz w:val="20"/>
        </w:rPr>
        <w:t>.</w:t>
      </w:r>
    </w:p>
    <w:p>
      <w:pPr>
        <w:pStyle w:val="TextBody"/>
        <w:bidi w:val="0"/>
        <w:spacing w:lineRule="auto" w:line="288" w:before="180" w:after="180"/>
        <w:ind w:left="0" w:right="0" w:hanging="360"/>
        <w:jc w:val="both"/>
        <w:rPr/>
      </w:pPr>
      <w:r>
        <w:rPr>
          <w:color w:val="000000"/>
        </w:rPr>
        <w:t>•</w:t>
      </w:r>
      <w:r>
        <w:rPr>
          <w:rFonts w:ascii="Times New Roman;serif" w:hAnsi="Times New Roman;serif"/>
          <w:b/>
          <w:color w:val="000000"/>
          <w:sz w:val="20"/>
        </w:rPr>
        <w:t>We prohibit hedging, short sales and pledging of Company stock as collateral for a loan</w:t>
      </w:r>
      <w:r>
        <w:rPr>
          <w:rFonts w:ascii="Times New Roman;serif" w:hAnsi="Times New Roman;serif"/>
          <w:b w:val="false"/>
          <w:color w:val="000000"/>
          <w:sz w:val="20"/>
        </w:rPr>
        <w:t>.</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Advisory Vote on Executive Compensation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practice has been to hold a non-binding, advisory “say-on-pay” vote once every year. At our 2022 annual meeting of stockholders, we proposed holding a “say-on-pay” vote annually, and this proposal was overwhelmingly approved by our stockholders: over 99% of the votes cast approved the proposal. At last year’s annual meeting of stockholders, approximately 86% of the votes cast approved the “say-on-pay” proposal regarding the compensation awarded to our named executive officers.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Objectives, Philosophy and Elements of Executive Compensation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executive compensation program aims to achieve the following main objectives: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aligning our executives’ incentive compensation with the interests of our stockholders;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providing incentives that motivate and reward the achievement of company performance over the long-term;</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attracting and retaining highly qualified executives; and</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linking pay to Company performance.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executive compensation program generally consists of, and is intended to strike a balance among, the following three principal elements: base salary, annual discretionary performance-based bonuses, and long-term incentive compensation in the form of equity awards. We also provide our executive officers with benefits available to all our employees, including retirement benefits under the Company’s 401(k) plan and participation in employee health and welfare benefit plans. The following chart summarizes the three main elements of compensation, their objectives and key features.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036955"/>
                <wp:effectExtent l="0" t="0" r="0" b="0"/>
                <wp:wrapNone/>
                <wp:docPr id="42" name="Frame42"/>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40"/>
        <w:gridCol w:w="496"/>
        <w:gridCol w:w="498"/>
        <w:gridCol w:w="771"/>
        <w:gridCol w:w="771"/>
        <w:gridCol w:w="778"/>
        <w:gridCol w:w="2124"/>
        <w:gridCol w:w="1665"/>
        <w:gridCol w:w="2262"/>
      </w:tblGrid>
      <w:tr>
        <w:trPr/>
        <w:tc>
          <w:tcPr>
            <w:tcW w:w="84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r>
      <w:tr>
        <w:trPr/>
        <w:tc>
          <w:tcPr>
            <w:tcW w:w="1834" w:type="dxa"/>
            <w:gridSpan w:val="3"/>
            <w:tcBorders>
              <w:top w:val="single" w:sz="8" w:space="0" w:color="929292"/>
              <w:left w:val="single" w:sz="8" w:space="0" w:color="929292"/>
            </w:tcBorders>
            <w:shd w:fill="DBDBDB"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Element of Compensation</w:t>
            </w:r>
          </w:p>
        </w:tc>
        <w:tc>
          <w:tcPr>
            <w:tcW w:w="2320" w:type="dxa"/>
            <w:gridSpan w:val="3"/>
            <w:tcBorders>
              <w:top w:val="single" w:sz="8" w:space="0" w:color="929292"/>
              <w:left w:val="single" w:sz="8" w:space="0" w:color="929292"/>
            </w:tcBorders>
            <w:shd w:fill="DBDBDB"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Objectives</w:t>
            </w:r>
          </w:p>
        </w:tc>
        <w:tc>
          <w:tcPr>
            <w:tcW w:w="6051" w:type="dxa"/>
            <w:gridSpan w:val="3"/>
            <w:tcBorders>
              <w:top w:val="single" w:sz="8" w:space="0" w:color="929292"/>
              <w:left w:val="single" w:sz="8" w:space="0" w:color="929292"/>
              <w:right w:val="single" w:sz="8" w:space="0" w:color="929292"/>
            </w:tcBorders>
            <w:shd w:fill="DBDBDB"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Key Features</w:t>
            </w:r>
          </w:p>
        </w:tc>
      </w:tr>
      <w:tr>
        <w:trPr/>
        <w:tc>
          <w:tcPr>
            <w:tcW w:w="1834" w:type="dxa"/>
            <w:gridSpan w:val="3"/>
            <w:tcBorders>
              <w:top w:val="single" w:sz="8" w:space="0" w:color="929292"/>
              <w:left w:val="single" w:sz="8" w:space="0" w:color="929292"/>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Base Salary </w:t>
            </w:r>
          </w:p>
        </w:tc>
        <w:tc>
          <w:tcPr>
            <w:tcW w:w="2320" w:type="dxa"/>
            <w:gridSpan w:val="3"/>
            <w:tcBorders>
              <w:top w:val="single" w:sz="8" w:space="0" w:color="929292"/>
              <w:left w:val="single" w:sz="8" w:space="0" w:color="929292"/>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Provides financial stability and security through a fixed amount of cash for performing job responsibilities.</w:t>
            </w:r>
          </w:p>
        </w:tc>
        <w:tc>
          <w:tcPr>
            <w:tcW w:w="6051" w:type="dxa"/>
            <w:gridSpan w:val="3"/>
            <w:tcBorders>
              <w:top w:val="single" w:sz="8" w:space="0" w:color="929292"/>
              <w:left w:val="single" w:sz="8" w:space="0" w:color="929292"/>
              <w:right w:val="single" w:sz="8" w:space="0" w:color="929292"/>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Generally reviewed annually and adjusted based on a number of factors (including individual performance and the overall performance of our Company) and an analysis of competitive market data. </w:t>
            </w:r>
          </w:p>
        </w:tc>
      </w:tr>
      <w:tr>
        <w:trPr/>
        <w:tc>
          <w:tcPr>
            <w:tcW w:w="1834" w:type="dxa"/>
            <w:gridSpan w:val="3"/>
            <w:tcBorders>
              <w:top w:val="single" w:sz="8" w:space="0" w:color="929292"/>
              <w:left w:val="single" w:sz="8" w:space="0" w:color="929292"/>
            </w:tcBorders>
            <w:shd w:fill="DBDBDB" w:val="clear"/>
            <w:tcMar>
              <w:top w:w="30" w:type="dxa"/>
              <w:left w:w="4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Performance-based Bonus</w:t>
            </w:r>
          </w:p>
        </w:tc>
        <w:tc>
          <w:tcPr>
            <w:tcW w:w="2320" w:type="dxa"/>
            <w:gridSpan w:val="3"/>
            <w:tcBorders>
              <w:top w:val="single" w:sz="8" w:space="0" w:color="929292"/>
              <w:left w:val="single" w:sz="8" w:space="0" w:color="929292"/>
            </w:tcBorders>
            <w:shd w:fill="DBDBDB" w:val="clear"/>
            <w:tcMar>
              <w:top w:w="30" w:type="dxa"/>
              <w:left w:w="4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Serves as an incentive based on both annual corporate and individual performance.</w:t>
            </w:r>
          </w:p>
        </w:tc>
        <w:tc>
          <w:tcPr>
            <w:tcW w:w="6051" w:type="dxa"/>
            <w:gridSpan w:val="3"/>
            <w:tcBorders>
              <w:top w:val="single" w:sz="8" w:space="0" w:color="929292"/>
              <w:left w:val="single" w:sz="8" w:space="0" w:color="929292"/>
              <w:right w:val="single" w:sz="8" w:space="0" w:color="929292"/>
            </w:tcBorders>
            <w:shd w:fill="DBDBDB" w:val="clear"/>
            <w:tcMar>
              <w:top w:w="30" w:type="dxa"/>
              <w:left w:w="4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Actual bonus payments, if any, are determined after fiscal year end by the compensation committee after taking into account corporate performance, individual contributions to that performance, the recommendation of the Chief Executive Officer (other than for his own annual bonus) and other objective and subjective factors. Performance-based bonuses may be paid in cash or in fully vested RSUs, in the discretion of the compensation committee.</w:t>
            </w:r>
          </w:p>
        </w:tc>
      </w:tr>
      <w:tr>
        <w:trPr/>
        <w:tc>
          <w:tcPr>
            <w:tcW w:w="1834" w:type="dxa"/>
            <w:gridSpan w:val="3"/>
            <w:tcBorders>
              <w:top w:val="single" w:sz="8" w:space="0" w:color="929292"/>
              <w:left w:val="single" w:sz="8" w:space="0" w:color="929292"/>
              <w:bottom w:val="single" w:sz="8" w:space="0" w:color="929292"/>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Long-Term Incentive Compensation </w:t>
            </w:r>
          </w:p>
        </w:tc>
        <w:tc>
          <w:tcPr>
            <w:tcW w:w="2320" w:type="dxa"/>
            <w:gridSpan w:val="3"/>
            <w:tcBorders>
              <w:top w:val="single" w:sz="8" w:space="0" w:color="929292"/>
              <w:left w:val="single" w:sz="8" w:space="0" w:color="929292"/>
              <w:bottom w:val="single" w:sz="8" w:space="0" w:color="929292"/>
            </w:tcBorders>
            <w:tcMar>
              <w:top w:w="30" w:type="dxa"/>
              <w:left w:w="75" w:type="dxa"/>
              <w:bottom w:w="30" w:type="dxa"/>
              <w:right w:w="0" w:type="dxa"/>
            </w:tcMar>
            <w:vAlign w:val="center"/>
          </w:tcPr>
          <w:p>
            <w:pPr>
              <w:pStyle w:val="TableContents"/>
              <w:bidi w:val="0"/>
              <w:spacing w:lineRule="auto" w:line="240" w:before="0" w:after="283"/>
              <w:jc w:val="left"/>
              <w:rPr/>
            </w:pPr>
            <w:r>
              <w:rPr>
                <w:rFonts w:ascii="Times New Roman;serif" w:hAnsi="Times New Roman;serif"/>
                <w:b w:val="false"/>
                <w:color w:val="000000"/>
                <w:sz w:val="20"/>
              </w:rPr>
              <w:t>Aligns executive’s interests with stockholder interests and changes in stockholder value.</w:t>
              <w:br/>
            </w:r>
            <w:r>
              <w:rPr>
                <w:rFonts w:ascii="Times New Roman;serif" w:hAnsi="Times New Roman;serif"/>
                <w:b w:val="false"/>
                <w:sz w:val="20"/>
              </w:rPr>
              <w:br/>
            </w:r>
            <w:r>
              <w:rPr>
                <w:rFonts w:ascii="Times New Roman;serif" w:hAnsi="Times New Roman;serif"/>
                <w:b w:val="false"/>
                <w:color w:val="000000"/>
                <w:sz w:val="20"/>
              </w:rPr>
              <w:t>Attracts highly qualified executives and encourages their continued employment over the long-term.</w:t>
              <w:br/>
            </w:r>
            <w:r>
              <w:rPr>
                <w:rFonts w:ascii="Times New Roman;serif" w:hAnsi="Times New Roman;serif"/>
                <w:b w:val="false"/>
                <w:sz w:val="20"/>
              </w:rPr>
              <w:br/>
            </w:r>
            <w:r>
              <w:rPr>
                <w:rFonts w:ascii="Times New Roman;serif" w:hAnsi="Times New Roman;serif"/>
                <w:b w:val="false"/>
                <w:color w:val="000000"/>
                <w:sz w:val="20"/>
              </w:rPr>
              <w:t>Serves as an incentive for successful long-term Company performance.</w:t>
            </w:r>
          </w:p>
        </w:tc>
        <w:tc>
          <w:tcPr>
            <w:tcW w:w="6051" w:type="dxa"/>
            <w:gridSpan w:val="3"/>
            <w:tcBorders>
              <w:top w:val="single" w:sz="8" w:space="0" w:color="929292"/>
              <w:left w:val="single" w:sz="8" w:space="0" w:color="929292"/>
              <w:bottom w:val="single" w:sz="8" w:space="0" w:color="929292"/>
              <w:right w:val="single" w:sz="8" w:space="0" w:color="929292"/>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 and amount of individual equity awards are determined by the compensation committee after taking into account corporate performance, individual contributions to that performance, an analysis of competitive market data, the recommendations of the Chief Executive Officer (other than for his own annual equity awards) and other factors.</w:t>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focus on providing a competitive compensation package to our executive officers, which provides significant short-term and long-term incentives for the achievement of measurable corporate objectives. We believe that this approach provides an appropriate blend of short-term and long-term incentives to maximize stockholder value creation.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majority of our named executive officers’ target total direct compensation opportunity consists of equity awards and annual performance-based compensation. The compensation committee does not apply a fixed ratio of base salary, annual discretionary performance-based bonus awards, and equity awards. Instead, the compensation committee evaluates the results of a competitive market analysis prepared by Compensia, Inc. (“Compensia”) and data from Aon plc.’s Radford McLagan Compensation Database (“Radford”) and then exercises its own independent judgment, based on the experience of its members along with other factors, to establish a target total direct compensation opportunity for each executive officer. This direct compensation opportunity for each executive officer reflects a mix of current, short-term, and long-term incentive compensation and cash and non-cash compensation that the compensation committee believes appropriate to achieve the goals of our executive compensation program and our corporate objectives.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How We Determine Executive Compensation</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Role of our Compensation Committee, Management, and our Board of Directors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is appointed by our board of directors and has responsibilities related to the compensation of the Company’s executive officers, other members of senior management, our non-employee directors, and the development and administration of the Company’s compensation plans. For details on the compensation committee’s oversight of the executive compensation program, see the section titled “Board Meetings and Committees—Compensation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036955"/>
                <wp:effectExtent l="0" t="0" r="0" b="0"/>
                <wp:wrapNone/>
                <wp:docPr id="43" name="Frame43"/>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reviews all compensation paid to our executive officers, including our named executive officers. For purposes of executive officers other than himself, the Chief Executive Officer evaluates and provides to the compensation committee performance assessments and compensation recommendations, which are then subject to compensation committee review and approval. The Chief Executive Officer does not participate in the deliberations concerning, or the determination of, his own compensation.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meets periodically throughout the year to review our executive compensation program. The compensation committee does not delegate authority to approve executive officer compensation. The compensation committee does not maintain a fixed schedule regarding the timing of equity awards granted to our named executive officers.</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Role of Compensation Consultant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has the authority to retain compensation consultants, legal counsel, and other advisors to advise it, to provide research and data, and to assist in its evaluation of executive compensation. This includes the authority to approve the consultant’s reasonable fees and terms. The compensation committee has retained Compensia as its compensation consultant. Among its various projects, Compensia evaluated current executive pay practices and considered different compensation programs to aid the compensation committee in making executive pay decisions for the fiscal year ended April 30, 2026. Compensia also gathered compensation data from the compensation peer group companies and relevant surveys, evaluated such data, and prepared a competitive market analysis to assist the compensation committee in determining executive compensation levels.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conducts a review on an annual basis to determine if the work of Compensia as its compensation consultant raises any conflict of interest, taking into account the relevant factors set forth in SEC rules and the applicable New York Stock Exchange (“NYSE”) listing standards. Based on its analysis, our compensation committee has determined that the work of Compensia and the individual compensation advisors employed by Compensia do not create any conflict of interest pursuant to the SEC rules and NYSE listing standards.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Compensia also conducted a competitive market analysis review of our non-employee director compensation policies and practices for review by our board of directors. Director compensation is discussed in more detail in the section entitled “Non-Employee Director Compensation.”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In addition, for purposes of evaluating appropriate and competitive pay for each of our executive positions, including our Chief Executive Officer, the compensation committee and the Company’s human resources department has historically used competitive compensation data from Compensia and/or Radford to formulate recommendations on executive compensation levels for our executives, including our Chief Executive Officer. In addition, the Company has received input and advice, from time to time and as needed, from Infinite Equity, Inc. (“Infinite Equity”). Although the compensation committee carefully considers all input and data provided by Compensia, Radford and/or Infinite Equity, the compensation committee makes its determinations related to executive compensation design and amounts based on the independent judgment of its members.</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Use of Competitive Market Compensation Data and Equity Award Holdings for Compensation Decisions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believes that it is important when making its decisions to be informed as to the competitive market for executive talent as a whole, as well as the current practices of comparable public companies with which we compete for top talent. To this end, the following list of peer companies was used in connection with assessing the compensation practices of the publicly traded companies with which we compete. During the fiscal year ended April 30, 2026, the compensation committee believes the following compensation peer group of companies to be appropriate, as it includes companies with which we are competing for executive talent and which have similar or comparable positions and needs for comparable skills.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036955"/>
                <wp:effectExtent l="0" t="0" r="0" b="0"/>
                <wp:wrapNone/>
                <wp:docPr id="44" name="Frame44"/>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86" w:type="dxa"/>
        <w:jc w:val="left"/>
        <w:tblInd w:w="0" w:type="dxa"/>
        <w:tblLayout w:type="fixed"/>
        <w:tblCellMar>
          <w:top w:w="28" w:type="dxa"/>
          <w:left w:w="28" w:type="dxa"/>
          <w:bottom w:w="28" w:type="dxa"/>
          <w:right w:w="28" w:type="dxa"/>
        </w:tblCellMar>
      </w:tblPr>
      <w:tblGrid>
        <w:gridCol w:w="357"/>
        <w:gridCol w:w="314"/>
        <w:gridCol w:w="320"/>
        <w:gridCol w:w="626"/>
        <w:gridCol w:w="626"/>
        <w:gridCol w:w="637"/>
        <w:gridCol w:w="294"/>
        <w:gridCol w:w="294"/>
        <w:gridCol w:w="418"/>
      </w:tblGrid>
      <w:tr>
        <w:trPr/>
        <w:tc>
          <w:tcPr>
            <w:tcW w:w="35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Appian</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nCino</w:t>
            </w:r>
          </w:p>
        </w:tc>
        <w:tc>
          <w:tcPr>
            <w:tcW w:w="100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Snowflake</w:t>
            </w:r>
          </w:p>
        </w:tc>
      </w:tr>
      <w:tr>
        <w:trPr/>
        <w:tc>
          <w:tcPr>
            <w:tcW w:w="9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Datadog</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PagerDuty</w:t>
            </w:r>
          </w:p>
        </w:tc>
        <w:tc>
          <w:tcPr>
            <w:tcW w:w="100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Sprinklr</w:t>
            </w:r>
          </w:p>
        </w:tc>
      </w:tr>
      <w:tr>
        <w:trPr/>
        <w:tc>
          <w:tcPr>
            <w:tcW w:w="9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DocuSign</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Palantir Technologies</w:t>
            </w:r>
          </w:p>
        </w:tc>
        <w:tc>
          <w:tcPr>
            <w:tcW w:w="100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Twilio</w:t>
            </w:r>
          </w:p>
        </w:tc>
      </w:tr>
      <w:tr>
        <w:trPr/>
        <w:tc>
          <w:tcPr>
            <w:tcW w:w="9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JFrog</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Pegasystems</w:t>
            </w:r>
          </w:p>
        </w:tc>
        <w:tc>
          <w:tcPr>
            <w:tcW w:w="100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Workday</w:t>
            </w:r>
          </w:p>
        </w:tc>
      </w:tr>
      <w:tr>
        <w:trPr/>
        <w:tc>
          <w:tcPr>
            <w:tcW w:w="99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MongoDB</w:t>
            </w:r>
          </w:p>
        </w:tc>
        <w:tc>
          <w:tcPr>
            <w:tcW w:w="188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ServiceNow</w:t>
            </w:r>
          </w:p>
        </w:tc>
        <w:tc>
          <w:tcPr>
            <w:tcW w:w="100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Yext</w:t>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In addition to data drawn from the compensation peer group companies, the compensation committee also reviewed compensation trends for a larger cross-section of specific technology industry leaders and considered other compensation data bases, including those provided by Compensia and Radford.</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In making compensation decisions, the compensation committee also takes into account the value of existing Company equity awards held by our executives, the vesting periods for such awards, and the vested and unvested status of such awards.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Executive Compensation Program for Fiscal Year Ended April 30, 2026</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Annual Base Salary</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base salaries for our named executive officers are generally determined by our compensation committee in connection with its assessment of the base salaries of executives holding comparable positions at the companies in our compensation peer group based on a competitive market analysis prepared by Compensia, its desire to maintain parity in the base salaries of our executive officers, and its consideration of the recommendations of our Chief Executive Officer (other than with respect to himself). Mr. Siebel’s compensation for the fiscal year ending April 30, 2027 is yet to be determined.</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Annual Discretionary Performance-Based Bonus</w:t>
      </w:r>
    </w:p>
    <w:p>
      <w:pPr>
        <w:pStyle w:val="TextBody"/>
        <w:bidi w:val="0"/>
        <w:spacing w:lineRule="auto" w:line="288" w:before="180" w:after="180"/>
        <w:jc w:val="both"/>
        <w:rPr/>
      </w:pPr>
      <w:r>
        <w:rPr>
          <w:rFonts w:ascii="Times New Roman;serif" w:hAnsi="Times New Roman;serif"/>
          <w:b w:val="false"/>
          <w:color w:val="000000"/>
          <w:sz w:val="20"/>
          <w:shd w:fill="FFFFFF" w:val="clear"/>
        </w:rPr>
        <w:t xml:space="preserve">Each of our named executive officers was eligible to receive an annual discretionary performance-based bonus payment for the fiscal year ended </w:t>
      </w:r>
      <w:r>
        <w:rPr>
          <w:rFonts w:ascii="Times New Roman;serif" w:hAnsi="Times New Roman;serif"/>
          <w:b w:val="false"/>
          <w:color w:val="000000"/>
          <w:sz w:val="20"/>
        </w:rPr>
        <w:t>April 30, 2026</w:t>
      </w:r>
      <w:r>
        <w:rPr>
          <w:rFonts w:ascii="Times New Roman;serif" w:hAnsi="Times New Roman;serif"/>
          <w:b w:val="false"/>
          <w:color w:val="000000"/>
          <w:sz w:val="20"/>
          <w:shd w:fill="FFFFFF" w:val="clear"/>
        </w:rPr>
        <w:t>. The aggregate bonus pool for employees and executive officers was determined based on the Company’s performance, and then the amount of each individual bonus for the named executive officers was determined by the compensation committee based on a recommendation and assessment of the named executive officer’s individual achievements provided by the Chief Executive Officer (other than with respect to the Chief Executive Officer’s individual achievements, assessment of which is conducted by the compensation committee). To receive an annual bonus for the last fiscal year, a named executive officer generally must have been employed by the Company and in good standing on the date of payment. Set forth in the table below are the target annual bonus opportunities and the actual annual bonus payments that our compensation committee approved for the fiscal year ended April 30, 2026.</w:t>
      </w:r>
    </w:p>
    <w:tbl>
      <w:tblPr>
        <w:tblW w:w="9000" w:type="dxa"/>
        <w:jc w:val="left"/>
        <w:tblInd w:w="0" w:type="dxa"/>
        <w:tblLayout w:type="fixed"/>
        <w:tblCellMar>
          <w:top w:w="28" w:type="dxa"/>
          <w:left w:w="28" w:type="dxa"/>
          <w:bottom w:w="28" w:type="dxa"/>
          <w:right w:w="28" w:type="dxa"/>
        </w:tblCellMar>
      </w:tblPr>
      <w:tblGrid>
        <w:gridCol w:w="815"/>
        <w:gridCol w:w="716"/>
        <w:gridCol w:w="719"/>
        <w:gridCol w:w="639"/>
        <w:gridCol w:w="639"/>
        <w:gridCol w:w="642"/>
        <w:gridCol w:w="729"/>
        <w:gridCol w:w="729"/>
        <w:gridCol w:w="732"/>
        <w:gridCol w:w="772"/>
        <w:gridCol w:w="772"/>
        <w:gridCol w:w="1096"/>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Named Executive Officer</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Target Annual Bonus</w:t>
              <w:br/>
              <w:t>(% of Base Salary)</w:t>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Target Annual Bonus ($)</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Actual Annual Bonus Paid ($)</w:t>
            </w:r>
          </w:p>
        </w:tc>
      </w:tr>
      <w:tr>
        <w:trPr/>
        <w:tc>
          <w:tcPr>
            <w:tcW w:w="2250"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Thomas M. Siebel</w:t>
            </w:r>
            <w:r>
              <w:rPr>
                <w:rFonts w:ascii="Times New Roman;serif" w:hAnsi="Times New Roman;serif"/>
                <w:b w:val="false"/>
                <w:color w:val="000000"/>
                <w:sz w:val="13"/>
              </w:rPr>
              <w:t>(1)</w:t>
            </w:r>
          </w:p>
        </w:tc>
        <w:tc>
          <w:tcPr>
            <w:tcW w:w="1920"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2190"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w:t>
            </w:r>
          </w:p>
        </w:tc>
        <w:tc>
          <w:tcPr>
            <w:tcW w:w="2640"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Hitesh Lath</w:t>
            </w:r>
            <w:r>
              <w:rPr>
                <w:rFonts w:ascii="Times New Roman;serif" w:hAnsi="Times New Roman;serif"/>
                <w:b w:val="false"/>
                <w:color w:val="000000"/>
                <w:sz w:val="13"/>
              </w:rPr>
              <w:t>(2)</w:t>
            </w:r>
          </w:p>
        </w:tc>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375,000</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431,251</w:t>
            </w:r>
          </w:p>
        </w:tc>
      </w:tr>
      <w:tr>
        <w:trPr/>
        <w:tc>
          <w:tcPr>
            <w:tcW w:w="225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Stephen Ehikian</w:t>
            </w:r>
            <w:r>
              <w:rPr>
                <w:rFonts w:ascii="Times New Roman;serif" w:hAnsi="Times New Roman;serif"/>
                <w:b w:val="false"/>
                <w:color w:val="000000"/>
                <w:sz w:val="13"/>
              </w:rPr>
              <w:t>(3)</w:t>
            </w:r>
          </w:p>
        </w:tc>
        <w:tc>
          <w:tcPr>
            <w:tcW w:w="19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w:t>
            </w:r>
          </w:p>
        </w:tc>
        <w:tc>
          <w:tcPr>
            <w:tcW w:w="26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w:t>
            </w:r>
          </w:p>
        </w:tc>
      </w:tr>
    </w:tbl>
    <w:p>
      <w:pPr>
        <w:pStyle w:val="TextBody"/>
        <w:bidi w:val="0"/>
        <w:spacing w:lineRule="auto" w:line="288" w:before="180" w:after="18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At Mr. Siebel’s request, the target annual bonus for Mr. Siebel was reduced to $0 for fiscal year ended April 30, 2026. Our board of directors unanimously appointed Mr. Siebel as our Chief Executive Officer and Chairman, effective May 8, 2026. Mr. Siebel’s compensation for the fiscal year ending April 30, 2027 is yet to be determined and he is eligible for an annual discretionary performance-based bonus.</w:t>
      </w:r>
    </w:p>
    <w:p>
      <w:pPr>
        <w:pStyle w:val="TextBody"/>
        <w:bidi w:val="0"/>
        <w:spacing w:lineRule="auto" w:line="288" w:before="180" w:after="18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 xml:space="preserve">(2) The annual bonus for Mr. Lath was paid in fully vested RSUs in June 2026. </w:t>
      </w:r>
    </w:p>
    <w:p>
      <w:pPr>
        <w:pStyle w:val="TextBody"/>
        <w:bidi w:val="0"/>
        <w:spacing w:lineRule="auto" w:line="240" w:before="0" w:after="24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 xml:space="preserve">(3) Mr. Ehikian received a prorated bonus during fiscal year 2026 in the manner set forth in his offer letter dated as of August 29, 2025, as negotiated between the Company and Mr. Ehikian in connection with his hiring.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036955"/>
                <wp:effectExtent l="0" t="0" r="0" b="0"/>
                <wp:wrapNone/>
                <wp:docPr id="45" name="Frame45"/>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Equity Awards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view long-term incentive compensation in the form of equity awards as a critical element of our executive compensation program. The realized value of these equity awards bears a direct relationship to our stock price, and, therefore, these awards are an incentive for our executive officers to create value for our stockholders. Equity awards are also a critical component of our plan to retain top leadership talent.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Long-term incentive compensation in the form of equity awards is granted to our Chief Executive Officer and our other named executive officers by the compensation committee. As with other elements of compensation, the compensation committee generally determines the amount of long-term incentive compensation for our executive officers as part of its annual compensation review and after taking into consideration the individual executive officer’s responsibilities and performance and existing equity retention profiles, a competitive market analysis based on data drawn from and an understanding of the practices for the companies in our compensation peer group and relevant surveys. For awards to executive officers other than the Chief Executive Officer, the compensation committee also takes into account the recommendations of the Chief Executive Officer. The equity awards are intended to provide a target total direct compensation opportunity that the compensation committee believes is appropriate taking into consideration the factors described herein.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have historically granted equity awards to our executive officers primarily in the form of service-based stock options and RSU awards, many of which have a five-year vesting period. Beginning in the fiscal year ended April 30, 2023, the compensation committee has granted only service-based RSU awards with a five-year vesting requirement to our named executive officers (other than Mr. Siebel). Since our initial public offering, a majority of the equity awards granted to Mr. Siebel have consisted of full value equity awards in the form of performance-based vesting RSU awards (“PRSU awards”) or stock options with an exercise price per share equal to 110% of the fair market value of a share of our Class A common stock on the grant date. Each RSU award and PRSU award represents the right to receive one share of our Class A common stock on or following vesting and, in the case of PRSU awards, the certification of achievement of the related performance goals. The awards reward our executive officers for superior stock price performance, and also further our retention objectives, as these awards typically vest or are earned over multiple years and can maintain their motivational value during periods when there is volatility in the stock market. </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Annual Equity Awards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During the fiscal year ended April 30, 2026, the compensation committee granted: (i) Mr. Siebel and Mr. Lath the RSU and stock option awards set forth in the table below under the Company’s 2020 Equity Incentive Plan, as amended and restated (the “2020 Plan”); and (ii) Mr. Ehikian the initial RSU and stock option awards set forth in the table below under the Company’s 2025 Inducement Plan (the “2025 Inducement Plan”) and additional RSU awards under the 2020 Plan.</w:t>
      </w:r>
    </w:p>
    <w:tbl>
      <w:tblPr>
        <w:tblW w:w="10205" w:type="dxa"/>
        <w:jc w:val="left"/>
        <w:tblInd w:w="0" w:type="dxa"/>
        <w:tblLayout w:type="fixed"/>
        <w:tblCellMar>
          <w:top w:w="28" w:type="dxa"/>
          <w:left w:w="28" w:type="dxa"/>
          <w:bottom w:w="28" w:type="dxa"/>
          <w:right w:w="28" w:type="dxa"/>
        </w:tblCellMar>
      </w:tblPr>
      <w:tblGrid>
        <w:gridCol w:w="684"/>
        <w:gridCol w:w="601"/>
        <w:gridCol w:w="603"/>
        <w:gridCol w:w="1302"/>
        <w:gridCol w:w="1288"/>
        <w:gridCol w:w="1293"/>
        <w:gridCol w:w="1303"/>
        <w:gridCol w:w="1290"/>
        <w:gridCol w:w="1841"/>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1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Named Executive Officer </w:t>
            </w:r>
          </w:p>
        </w:tc>
        <w:tc>
          <w:tcPr>
            <w:tcW w:w="3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RSU Award (# of Shares of Class A Common Stock Covered)</w:t>
            </w:r>
          </w:p>
        </w:tc>
        <w:tc>
          <w:tcPr>
            <w:tcW w:w="4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Stock Option Award (# of Shares of Class A Common Stock Covered)</w:t>
            </w:r>
          </w:p>
        </w:tc>
      </w:tr>
      <w:tr>
        <w:trPr/>
        <w:tc>
          <w:tcPr>
            <w:tcW w:w="1888"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Thomas M. Siebel</w:t>
            </w:r>
          </w:p>
        </w:tc>
        <w:tc>
          <w:tcPr>
            <w:tcW w:w="3883"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 xml:space="preserve">762,487 </w:t>
            </w:r>
            <w:r>
              <w:rPr>
                <w:rFonts w:ascii="Times New Roman;serif" w:hAnsi="Times New Roman;serif"/>
                <w:b w:val="false"/>
                <w:color w:val="000000"/>
                <w:sz w:val="13"/>
              </w:rPr>
              <w:t>(1)(2)</w:t>
            </w:r>
          </w:p>
        </w:tc>
        <w:tc>
          <w:tcPr>
            <w:tcW w:w="4434"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 xml:space="preserve">1,133,474 </w:t>
            </w:r>
            <w:r>
              <w:rPr>
                <w:rFonts w:ascii="Times New Roman;serif" w:hAnsi="Times New Roman;serif"/>
                <w:b w:val="false"/>
                <w:color w:val="000000"/>
                <w:sz w:val="13"/>
              </w:rPr>
              <w:t>(3)</w:t>
            </w:r>
          </w:p>
        </w:tc>
      </w:tr>
      <w:tr>
        <w:trPr/>
        <w:tc>
          <w:tcPr>
            <w:tcW w:w="18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Hitesh Lath</w:t>
            </w:r>
          </w:p>
        </w:tc>
        <w:tc>
          <w:tcPr>
            <w:tcW w:w="3883"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 xml:space="preserve">177,689 </w:t>
            </w:r>
            <w:r>
              <w:rPr>
                <w:rFonts w:ascii="Times New Roman;serif" w:hAnsi="Times New Roman;serif"/>
                <w:b w:val="false"/>
                <w:color w:val="000000"/>
                <w:sz w:val="13"/>
              </w:rPr>
              <w:t>(1)(4)</w:t>
            </w:r>
          </w:p>
        </w:tc>
        <w:tc>
          <w:tcPr>
            <w:tcW w:w="4434"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 xml:space="preserve">100,000 </w:t>
            </w:r>
            <w:r>
              <w:rPr>
                <w:rFonts w:ascii="Times New Roman;serif" w:hAnsi="Times New Roman;serif"/>
                <w:b w:val="false"/>
                <w:color w:val="000000"/>
                <w:sz w:val="13"/>
              </w:rPr>
              <w:t>(5)</w:t>
            </w:r>
          </w:p>
        </w:tc>
      </w:tr>
      <w:tr>
        <w:trPr/>
        <w:tc>
          <w:tcPr>
            <w:tcW w:w="18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Stephen Ehikian</w:t>
            </w:r>
          </w:p>
        </w:tc>
        <w:tc>
          <w:tcPr>
            <w:tcW w:w="388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 xml:space="preserve">1,191,085 </w:t>
            </w:r>
            <w:r>
              <w:rPr>
                <w:rFonts w:ascii="Times New Roman;serif" w:hAnsi="Times New Roman;serif"/>
                <w:b w:val="false"/>
                <w:color w:val="000000"/>
                <w:sz w:val="13"/>
              </w:rPr>
              <w:t>(1)(6)</w:t>
            </w:r>
          </w:p>
        </w:tc>
        <w:tc>
          <w:tcPr>
            <w:tcW w:w="443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 xml:space="preserve">1,282,139 </w:t>
            </w:r>
            <w:r>
              <w:rPr>
                <w:rFonts w:ascii="Times New Roman;serif" w:hAnsi="Times New Roman;serif"/>
                <w:b w:val="false"/>
                <w:color w:val="000000"/>
                <w:sz w:val="13"/>
              </w:rPr>
              <w:t>(7)</w:t>
            </w:r>
          </w:p>
        </w:tc>
      </w:tr>
    </w:tbl>
    <w:p>
      <w:pPr>
        <w:pStyle w:val="TextBody"/>
        <w:bidi w:val="0"/>
        <w:spacing w:lineRule="auto" w:line="26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(1)Effective June 26, 2025, the compensation committee paid Mr. Lath the non-equity incentive plan bonus amount awarded to him for the fiscal year ended April 30, 2025, by granting him fully vested RSUs with respect to 17,689 shares of our Class A common stock. Effective August 1, 2025, the compensation committee paid Mr. Siebel the annual bonus amount awarded to him for the fiscal year ended April 30, 2025, by granting him fully vested RSUs with respect to 40,125 shares of our Class A common stock. Effective December 30, 2025, and March 30, 2026, the compensation committee paid Mr. Ehikian the bonus amounts set forth in his offer letter dated as of August 29, 2025, as negotiated between the Company and Mr. Ehikian in connection with his hiring, by granting him fully vested RSUs with respect to 18,090 and 32,093 shares of our Class A common stock,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036955"/>
                <wp:effectExtent l="0" t="0" r="0" b="0"/>
                <wp:wrapNone/>
                <wp:docPr id="46" name="Frame46"/>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Effective December 11, 2025, the compensation committee granted Mr. Siebel an RSU award with respect to 722,362 shares of our Class A common stock. One-third of such RSUs shall vest on December 11, 2026, and 1/12th of the RSU award shall vest quarterly thereafter, so long as Mr. Siebel continues to provide services through such vesting date. This RSU award is subject to acceleration upon certain events as described in the section titled “Potential Payments upon Termination or Change in Control.”</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Effective December 11, 2025, the compensation committee granted Mr. Siebel a premium priced stock option award, with an exercise price per share equal to 110% of the closing sales price on the grant date. The stock option vests in three equal annual installments, with the first installment vesting on December 11, 2026, and the remaining installments vesting on each subsequent annual anniversary thereafter, so long as Mr. Siebel continues to provide services through the applicable vesting date. This stock option award is subject to acceleration upon certain events as described in the section titled “Potential Payments upon Termination or Change in Control.” The stock option award may be exercised prior to vesting subject to a repurchase right in favor of the Company.</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Effective June 26, 2025, the compensation committee granted Mr. Lath an RSU award with respect to 160,000 shares of our Class A common stock. Twenty percent (20%) of such RSU award shall vest on the one-year anniversary of the grant date, and five percent (5%) of such RSU award shall vest on a quarterly basis thereafter, so long as Mr. Lath continues to provide services through each applicable vesting date.</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     Effective March 2, 2026, the compensation committee granted Mr. Lath a stock option to purchase 100,000 shares of our Class A common stock at an exercise price of $8.65 per share, issued in part as an incentive stock option and in part as a nonqualified stock option in accordance with applicable tax limitations. Thirty-three percent (33%) of the shares subject to the stock option shall vest on the one-year anniversary of the grant date, and eight and one-third percent (8.33%) of the shares subject to the stock option shall vest on a quarterly basis over the following two years, so long as Mr. Lath continues to provide services through each applicable vesting date.</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(6)     Effective September 15, 2025, in connection with his appointment as Chief Executive Officer, the Company granted Mr. Ehikian an RSU award with respect to 1,140,902 shares of our Class A common stock, pursuant to the 2025 Inducement Plan. 399,316 of such RSUs vested on December 30, 2025, and the remaining RSUs vest in eleven equal, successive quarterly installments thereafter, so long as Mr. Ehikian continues to provide services through each applicable vesting date. This RSU award is subject to acceleration upon certain events as described in the section titled “Potential Payments upon Termination or Change in Control.”</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(7)     Effective September 15, 2025, in connection with his appointment as Chief Executive Officer, the Company granted Mr. Ehikian an option to purchase 1,282,139 shares of our Class A common stock at an exercise price of $17.53 per share, pursuant to the 2025 Inducement Plan. Five percent (5%) of the shares subject to the option vested on December 15, 2025, and five percent (5%) vest on a quarterly basis thereafter, so long as Mr. Ehikian continues to provide services through each applicable vesting date. This stock option award is subject to acceleration upon certain events as described in the section titled “Potential Payments upon Termination or Change in Control.”</w:t>
      </w:r>
    </w:p>
    <w:p>
      <w:pPr>
        <w:pStyle w:val="TextBody"/>
        <w:bidi w:val="0"/>
        <w:spacing w:before="0" w:after="0"/>
        <w:ind w:left="0" w:right="0" w:hanging="360"/>
        <w:jc w:val="both"/>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On December 8, 2022, the compensation committee granted Mr. Siebel a PRSU award with respect to 850,000 shares of our Class A common stock, with such award to be earned and vest in three equal tranches subject to the achievement of certain pre-established stock price performance hurdles. The award also provided for the potential vesting of an additional 850,000 shares, subject to achievement of higher average stock prices (an “overperformance hurdle”), for a potential to earn up to a maximum of 1,700,000 shares. The overperformance hurdle for the second tranche of the award was met in December 2024, as our average stock price was at least $25.60 over 90 consecutive trading days from August 2, 2024 to August 2, 2025. As a result of meeting the overperformance hurdle, 566,666 shares vested on August 1, 2025. The terms of this PRSU award are further described in the section titled “Outstanding Equity Awards as of April 30, 2026.”</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Other Features of Our Executive Compensation Program</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Employment Offer Letters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have executed employment offer letters containing the terms and conditions of employment with each of our named executive officers, except for Mr. Siebel. Each offer letter has no specific term and provides for at-will employment. The other material terms of each offer letter are described below. In addition, each named executive officer has executed our standard form of confidential information and inventions assignment agreement. </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Thomas M. Siebel</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do not maintain an employment offer letter or employment agreement with Mr. Siebel, our Chief Executive Officer and the Chairman of our board of directors. Our board of directors unanimously appointed Mr. Siebel as our Chief Executive Officer and Chairman, effective May 8, 2026. Mr. Siebel’s compensation for the fiscal year ending April 30, 2027 is yet to be determined and he is eligible for an annual discretionary performance-based bonus.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036955"/>
                <wp:effectExtent l="0" t="0" r="0" b="0"/>
                <wp:wrapNone/>
                <wp:docPr id="47" name="Frame47"/>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Hitesh Lath</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entered into a letter agreement in February 2024 with Mr. Lath, our Senior Vice President and Chief Financial Officer &amp; Chief Administrative Officer, in connection with his appointment to that position. Mr. Lath’s current annual base salary is $500,000, and he is eligible for an annual discretionary performance-based bonus.</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Stephen Ehikian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entered into a letter agreement in August 2025 with Mr. Ehikian, our former Chief Executive Officer, in connection with his appointment to that position. Mr. Ehikian is currently serving as our President. His current annual base salary is $1,000,000, and he is eligible for an annual discretionary performance-based bonus.</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Severance and Change in Control Benefits</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Equity Awards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Certain equity awards we have granted to our named executive officers are subject to vesting acceleration rights as further described below in the section titled “Potential Payments upon Termination or Change of Control.”</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Cash Severance Benefits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Mr. Ehikian is eligible for certain cash severance payments upon certain qualifying terminations of his employment as further described below in the section titled “Potential Payments upon Termination or Change of Control.”</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Other Benefits; Perquisites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All of our current named executive officers are eligible to participate in our broad-based employee benefit plans, generally available to our employees, including our medical, dental, vision, life, disability, and accidental death and dismemberment insurance plans, in each case on the same basis as all of our other employees. We pay the premiums for the life, disability, and accidental death and dismemberment insurance for all of our employees, including our named executive officers.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maintain a 401(k) plan that provides eligible U.S. employees, including our named executive officers, with an opportunity to save for retirement on a tax advantaged basis. Eligible employees are able to defer eligible compensation up to certain Internal Revenue Code limits, which are updated annually. Currently, we do not make matching contributions or discretionary contributions to the 401(k) plan.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generally do not provide perquisites or personal benefits to our named executive officers, except certain infrastructure and security-related services for our Chief Executive Officer. We believe the network infrastructure and security related services provided to Mr. Siebel serve the Company’s interest by allowing Mr. Siebel to securely and safely perform his duties and conduct Company business, including domestic and international travel for meetings with our business partners, customers and stockholders, and other business related travel. We believe the expenses we incur for such network infrastructure and security services are reasonable and necessary and for the benefit of the Company, and not a personal benefit, given Mr. Siebel’s position as Chief Executive Officer and Chairman of our board of directors, and in light of increased security risks that have been highlighted by recent incidents of violence involving executives at other companies.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Clawback Policy</w:t>
      </w:r>
    </w:p>
    <w:p>
      <w:pPr>
        <w:pStyle w:val="TextBody"/>
        <w:bidi w:val="0"/>
        <w:spacing w:lineRule="auto" w:line="288" w:before="180" w:after="180"/>
        <w:jc w:val="both"/>
        <w:rPr/>
      </w:pPr>
      <w:r>
        <w:rPr>
          <w:rFonts w:ascii="Times New Roman;serif" w:hAnsi="Times New Roman;serif"/>
          <w:b w:val="false"/>
          <w:color w:val="000000"/>
          <w:sz w:val="20"/>
          <w:shd w:fill="FFFFFF" w:val="clear"/>
        </w:rPr>
        <w:t>In November 2023, we adopted a policy on the recoupment of incentive compensation (</w:t>
      </w:r>
      <w:r>
        <w:rPr>
          <w:color w:val="000000"/>
        </w:rPr>
        <w:t>“</w:t>
      </w:r>
      <w:r>
        <w:rPr>
          <w:rFonts w:ascii="Times New Roman;serif" w:hAnsi="Times New Roman;serif"/>
          <w:b w:val="false"/>
          <w:color w:val="000000"/>
          <w:sz w:val="20"/>
          <w:shd w:fill="FFFFFF" w:val="clear"/>
        </w:rPr>
        <w:t>Clawback Policy</w:t>
      </w:r>
      <w:r>
        <w:rPr>
          <w:color w:val="000000"/>
        </w:rPr>
        <w:t>”</w:t>
      </w:r>
      <w:r>
        <w:rPr>
          <w:rFonts w:ascii="Times New Roman;serif" w:hAnsi="Times New Roman;serif"/>
          <w:b w:val="false"/>
          <w:color w:val="000000"/>
          <w:sz w:val="20"/>
          <w:shd w:fill="FFFFFF" w:val="clear"/>
        </w:rPr>
        <w:t>) that complies with the requirements of Exchange Act Rule 10D-1 and the applicable NYSE listing standards. A copy of our Clawback Policy is filed as an exhibit to our Annual Report on Form 10-K for the fiscal year ended April 30, 2026, filed with the SEC.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036955"/>
                <wp:effectExtent l="0" t="0" r="0" b="0"/>
                <wp:wrapNone/>
                <wp:docPr id="48" name="Frame48"/>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Equity Grant Timing Practices</w:t>
      </w:r>
    </w:p>
    <w:p>
      <w:pPr>
        <w:pStyle w:val="TextBody"/>
        <w:bidi w:val="0"/>
        <w:spacing w:lineRule="auto" w:line="288" w:before="18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compensation committee approves all equity awards to our named executive officers on or before the grant date as described in the section titled “How We Determine Executive Compensation.” The compensation committee does not have a practice or policy of granting equity awards in anticipation of the release of material nonpublic information. Instead, the compensation committee seeks to grant equity awards after the Company’s financial results and other material information have been disclosed publicly. In addition, we do not time the release of material non-public information in coordination with grants of equity awards in a manner that intentionally benefits our named executive officers.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Prohibition on Hedging, Short Sales, and Pledging</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board of directors has adopted an insider trading policy that applies to our employees, officers, and directors. This policy prohibits hedging or similar transactions designed to decrease the risks associated with holding shares of our common stock. In addition, our insider trading policy prohibits trading in derivative securities related to our common stock, which include publicly traded call and put options, engaging in short selling of our common stock, purchasing our common stock on margin or holding it in a margin account, and pledging our shares as collateral for a loan. A copy of our insider trading policy is filed as an exhibit to our Annual Report on Form 10-K for the fiscal year ended April 30, 2026, filed with the SEC.</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Accounting and Tax Considerations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Under ASC 718, we are required to estimate and record an expense for each award of equity compensation over the vesting period of the award. We record share-based compensation expense on an ongoing basis according to ASC 718.</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Under Section 162(m) of the Internal Revenue Code (“Section 162(m)”), compensation paid to each of our “covered employees” that exceeds $1 million per taxable year is generally non-deductible. Although the compensation committee will continue to consider tax implications as one factor in determining executive compensation, the compensation committee also looks at other factors in making its decisions and retains the flexibility to provide compensation for our named executive officers in a manner consistent with the goals of our executive compensation program and the best interests of our stockholders, which may include providing for compensation that is not deductible due to the deduction limit under Section 162(m).</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Compensation Risk Assessment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has reviewed our compensation policies and practices, in consultation with Compensia and outside counsel, to assess whether they encourage employees to take inappropriate risks. The compensation committee has concluded that our compensation policies and practices are not reasonably likely to have a material adverse effect on our Company.</w:t>
      </w:r>
    </w:p>
    <w:p>
      <w:pPr>
        <w:pStyle w:val="TextBody"/>
        <w:bidi w:val="0"/>
        <w:spacing w:before="18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036955"/>
                <wp:effectExtent l="0" t="0" r="0" b="0"/>
                <wp:wrapNone/>
                <wp:docPr id="49" name="Frame49"/>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Compensation Committee Report*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has reviewed and discussed with management the “Compensation Discussion and Analysis” contained in this proxy statement. Based on this review and discussion, the compensation committee has recommended to our board of directors that the “Compensation Discussion and Analysis” be included in this proxy statement and incorporated into our Annual Report on Form 10-K for the fiscal year ended April 30, 2026.</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Respectfully submitted by the members of the compensation committee of the board of directors:</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Stephen M. Ward, Jr. (Chair) </w:t>
        <w:br/>
        <w:t>Bruce Sewell</w:t>
        <w:br/>
        <w:t>KR Sridhar</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*The material in this report is not “soliciting material,” is furnished to, but not deemed “filed” with, the SEC and is not deemed to be incorporated by reference in any of our filings under the Securities Act or the Exchange Act, other than our Annual Report on Form 10-K for the fiscal year ended April 30, 2026, where it shall be deemed to be “furnished,” whether made before or after the date hereof and irrespective of any general incorporation language in any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036955"/>
                <wp:effectExtent l="0" t="0" r="0" b="0"/>
                <wp:wrapNone/>
                <wp:docPr id="50" name="Frame50"/>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Summary Compensation Table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all of the compensation awarded to or earned by or paid to our named executive officers during the fiscal years ended April 30, 2026, 2025, and 2024.</w:t>
      </w:r>
    </w:p>
    <w:tbl>
      <w:tblPr>
        <w:tblW w:w="10205" w:type="dxa"/>
        <w:jc w:val="left"/>
        <w:tblInd w:w="0" w:type="dxa"/>
        <w:tblLayout w:type="fixed"/>
        <w:tblCellMar>
          <w:top w:w="28" w:type="dxa"/>
          <w:left w:w="28" w:type="dxa"/>
          <w:bottom w:w="28" w:type="dxa"/>
          <w:right w:w="28" w:type="dxa"/>
        </w:tblCellMar>
      </w:tblPr>
      <w:tblGrid>
        <w:gridCol w:w="865"/>
        <w:gridCol w:w="544"/>
        <w:gridCol w:w="547"/>
        <w:gridCol w:w="205"/>
        <w:gridCol w:w="205"/>
        <w:gridCol w:w="206"/>
        <w:gridCol w:w="284"/>
        <w:gridCol w:w="284"/>
        <w:gridCol w:w="263"/>
        <w:gridCol w:w="284"/>
        <w:gridCol w:w="220"/>
        <w:gridCol w:w="216"/>
        <w:gridCol w:w="456"/>
        <w:gridCol w:w="297"/>
        <w:gridCol w:w="298"/>
        <w:gridCol w:w="462"/>
        <w:gridCol w:w="303"/>
        <w:gridCol w:w="304"/>
        <w:gridCol w:w="526"/>
        <w:gridCol w:w="526"/>
        <w:gridCol w:w="528"/>
        <w:gridCol w:w="469"/>
        <w:gridCol w:w="469"/>
        <w:gridCol w:w="471"/>
        <w:gridCol w:w="280"/>
        <w:gridCol w:w="280"/>
        <w:gridCol w:w="413"/>
      </w:tblGrid>
      <w:tr>
        <w:trPr/>
        <w:tc>
          <w:tcPr>
            <w:tcW w:w="86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and Principal Position</w:t>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Salary ($)</w:t>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Bonus ($)</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 xml:space="preserve">Stock Awards ($) </w:t>
            </w:r>
            <w:r>
              <w:rPr>
                <w:rFonts w:ascii="Times New Roman;serif" w:hAnsi="Times New Roman;serif"/>
                <w:b/>
                <w:color w:val="000000"/>
                <w:sz w:val="12"/>
              </w:rPr>
              <w:t>(1)</w:t>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 xml:space="preserve">Option Awards ($) </w:t>
            </w:r>
            <w:r>
              <w:rPr>
                <w:rFonts w:ascii="Times New Roman;serif" w:hAnsi="Times New Roman;serif"/>
                <w:b/>
                <w:color w:val="000000"/>
                <w:sz w:val="12"/>
              </w:rPr>
              <w:t>(1)</w:t>
            </w:r>
          </w:p>
        </w:tc>
        <w:tc>
          <w:tcPr>
            <w:tcW w:w="1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Non-Equity Incentive Plan Compensation ($) </w:t>
            </w:r>
            <w:r>
              <w:rPr>
                <w:rFonts w:ascii="Times New Roman;serif" w:hAnsi="Times New Roman;serif"/>
                <w:b/>
                <w:color w:val="000000"/>
                <w:sz w:val="10"/>
              </w:rPr>
              <w:t>(2)</w:t>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All Other Compensation($)</w:t>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w:t>
            </w:r>
          </w:p>
        </w:tc>
      </w:tr>
      <w:tr>
        <w:trPr/>
        <w:tc>
          <w:tcPr>
            <w:tcW w:w="1956" w:type="dxa"/>
            <w:gridSpan w:val="3"/>
            <w:vMerge w:val="restart"/>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Thomas M. Siebel</w:t>
            </w:r>
          </w:p>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Chief Executive Officer and Chairman</w:t>
            </w:r>
          </w:p>
        </w:tc>
        <w:tc>
          <w:tcPr>
            <w:tcW w:w="6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8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6"/>
              </w:rPr>
              <w:t xml:space="preserve">751,536 </w:t>
            </w:r>
            <w:r>
              <w:rPr>
                <w:rFonts w:ascii="Times New Roman;serif" w:hAnsi="Times New Roman;serif"/>
                <w:b w:val="false"/>
                <w:color w:val="000000"/>
                <w:sz w:val="10"/>
              </w:rPr>
              <w:t>(3)</w:t>
            </w:r>
          </w:p>
        </w:tc>
        <w:tc>
          <w:tcPr>
            <w:tcW w:w="72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5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11,500,003</w:t>
            </w:r>
          </w:p>
        </w:tc>
        <w:tc>
          <w:tcPr>
            <w:tcW w:w="106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11,500,001</w:t>
            </w:r>
          </w:p>
        </w:tc>
        <w:tc>
          <w:tcPr>
            <w:tcW w:w="158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0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16"/>
              </w:rPr>
              <w:t xml:space="preserve">557,183 </w:t>
            </w:r>
            <w:r>
              <w:rPr>
                <w:rFonts w:ascii="Times New Roman;serif" w:hAnsi="Times New Roman;serif"/>
                <w:b w:val="false"/>
                <w:color w:val="000000"/>
                <w:sz w:val="10"/>
              </w:rPr>
              <w:t>(4)</w:t>
            </w:r>
          </w:p>
        </w:tc>
        <w:tc>
          <w:tcPr>
            <w:tcW w:w="97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24,308,723</w:t>
            </w:r>
          </w:p>
        </w:tc>
      </w:tr>
      <w:tr>
        <w:trPr/>
        <w:tc>
          <w:tcPr>
            <w:tcW w:w="1956" w:type="dxa"/>
            <w:gridSpan w:val="3"/>
            <w:vMerge w:val="continue"/>
            <w:tcBorders>
              <w:top w:val="single" w:sz="8" w:space="0" w:color="000000"/>
            </w:tcBorders>
            <w:shd w:fill="DBDBDB" w:val="clear"/>
            <w:tcMar>
              <w:top w:w="30" w:type="dxa"/>
              <w:left w:w="0" w:type="dxa"/>
              <w:bottom w:w="0" w:type="dxa"/>
              <w:right w:w="0" w:type="dxa"/>
            </w:tcMar>
            <w:vAlign w:val="center"/>
          </w:tcPr>
          <w:p>
            <w:pPr>
              <w:pStyle w:val="Normal"/>
              <w:bidi w:val="0"/>
              <w:jc w:val="left"/>
              <w:rPr/>
            </w:pPr>
            <w:r>
              <w:rPr/>
            </w:r>
          </w:p>
        </w:tc>
        <w:tc>
          <w:tcPr>
            <w:tcW w:w="6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8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1,000,000</w:t>
            </w:r>
          </w:p>
        </w:tc>
        <w:tc>
          <w:tcPr>
            <w:tcW w:w="7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11,506,012</w:t>
            </w:r>
          </w:p>
        </w:tc>
        <w:tc>
          <w:tcPr>
            <w:tcW w:w="1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11,506,017</w:t>
            </w:r>
          </w:p>
        </w:tc>
        <w:tc>
          <w:tcPr>
            <w:tcW w:w="15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900,000</w:t>
            </w:r>
          </w:p>
        </w:tc>
        <w:tc>
          <w:tcPr>
            <w:tcW w:w="1409"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16"/>
              </w:rPr>
              <w:t xml:space="preserve">604,847 </w:t>
            </w:r>
            <w:r>
              <w:rPr>
                <w:rFonts w:ascii="Times New Roman;serif" w:hAnsi="Times New Roman;serif"/>
                <w:b w:val="false"/>
                <w:color w:val="000000"/>
                <w:sz w:val="10"/>
              </w:rPr>
              <w:t>(4)</w:t>
            </w:r>
          </w:p>
        </w:tc>
        <w:tc>
          <w:tcPr>
            <w:tcW w:w="97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25,516,876</w:t>
            </w:r>
          </w:p>
        </w:tc>
      </w:tr>
      <w:tr>
        <w:trPr/>
        <w:tc>
          <w:tcPr>
            <w:tcW w:w="1956" w:type="dxa"/>
            <w:gridSpan w:val="3"/>
            <w:vMerge w:val="continue"/>
            <w:tcBorders>
              <w:top w:val="single" w:sz="8" w:space="0" w:color="000000"/>
            </w:tcBorders>
            <w:shd w:fill="DBDBDB" w:val="clear"/>
            <w:tcMar>
              <w:top w:w="30" w:type="dxa"/>
              <w:left w:w="0" w:type="dxa"/>
              <w:bottom w:w="0" w:type="dxa"/>
              <w:right w:w="0" w:type="dxa"/>
            </w:tcMar>
            <w:vAlign w:val="center"/>
          </w:tcPr>
          <w:p>
            <w:pPr>
              <w:pStyle w:val="Normal"/>
              <w:bidi w:val="0"/>
              <w:jc w:val="left"/>
              <w:rPr/>
            </w:pPr>
            <w:r>
              <w:rPr/>
            </w:r>
          </w:p>
        </w:tc>
        <w:tc>
          <w:tcPr>
            <w:tcW w:w="6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8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1,000,000</w:t>
            </w:r>
          </w:p>
        </w:tc>
        <w:tc>
          <w:tcPr>
            <w:tcW w:w="7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11,290,020</w:t>
            </w:r>
          </w:p>
        </w:tc>
        <w:tc>
          <w:tcPr>
            <w:tcW w:w="1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11,290,005</w:t>
            </w:r>
          </w:p>
        </w:tc>
        <w:tc>
          <w:tcPr>
            <w:tcW w:w="15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1,000,000</w:t>
            </w:r>
          </w:p>
        </w:tc>
        <w:tc>
          <w:tcPr>
            <w:tcW w:w="1409"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16"/>
              </w:rPr>
              <w:t xml:space="preserve">184,933 </w:t>
            </w:r>
            <w:r>
              <w:rPr>
                <w:rFonts w:ascii="Times New Roman;serif" w:hAnsi="Times New Roman;serif"/>
                <w:b w:val="false"/>
                <w:color w:val="000000"/>
                <w:sz w:val="10"/>
              </w:rPr>
              <w:t>(4)</w:t>
            </w:r>
          </w:p>
        </w:tc>
        <w:tc>
          <w:tcPr>
            <w:tcW w:w="97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24,764,958</w:t>
            </w:r>
          </w:p>
        </w:tc>
      </w:tr>
      <w:tr>
        <w:trPr/>
        <w:tc>
          <w:tcPr>
            <w:tcW w:w="195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Hitesh Lath</w:t>
            </w:r>
          </w:p>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Senior Vice President and Chief Financial Officer &amp; Chief Administrative Officer</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3,955,200</w:t>
            </w:r>
          </w:p>
        </w:tc>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568,810</w:t>
            </w:r>
          </w:p>
        </w:tc>
        <w:tc>
          <w:tcPr>
            <w:tcW w:w="15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431,251</w:t>
            </w:r>
          </w:p>
        </w:tc>
        <w:tc>
          <w:tcPr>
            <w:tcW w:w="14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6"/>
              </w:rPr>
              <w:t xml:space="preserve">1,128 </w:t>
            </w:r>
            <w:r>
              <w:rPr>
                <w:rFonts w:ascii="Times New Roman;serif" w:hAnsi="Times New Roman;serif"/>
                <w:b w:val="false"/>
                <w:color w:val="000000"/>
                <w:sz w:val="10"/>
              </w:rPr>
              <w:t>(5)</w:t>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5,456,389</w:t>
            </w:r>
          </w:p>
        </w:tc>
      </w:tr>
      <w:tr>
        <w:trPr/>
        <w:tc>
          <w:tcPr>
            <w:tcW w:w="19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397,500</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9,164,000</w:t>
            </w:r>
          </w:p>
        </w:tc>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437,250</w:t>
            </w:r>
          </w:p>
        </w:tc>
        <w:tc>
          <w:tcPr>
            <w:tcW w:w="14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6"/>
              </w:rPr>
              <w:t xml:space="preserve">1,156 </w:t>
            </w:r>
            <w:r>
              <w:rPr>
                <w:rFonts w:ascii="Times New Roman;serif" w:hAnsi="Times New Roman;serif"/>
                <w:b w:val="false"/>
                <w:color w:val="000000"/>
                <w:sz w:val="10"/>
              </w:rPr>
              <w:t>(5)</w:t>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9,999,906</w:t>
            </w:r>
          </w:p>
        </w:tc>
      </w:tr>
      <w:tr>
        <w:trPr/>
        <w:tc>
          <w:tcPr>
            <w:tcW w:w="19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83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16"/>
              </w:rPr>
              <w:t xml:space="preserve">142,045 </w:t>
            </w:r>
            <w:r>
              <w:rPr>
                <w:rFonts w:ascii="Times New Roman;serif" w:hAnsi="Times New Roman;serif"/>
                <w:b w:val="false"/>
                <w:color w:val="000000"/>
                <w:sz w:val="10"/>
              </w:rPr>
              <w:t>(6)</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6"/>
              </w:rPr>
              <w:t xml:space="preserve">50,000 </w:t>
            </w:r>
            <w:r>
              <w:rPr>
                <w:rFonts w:ascii="Times New Roman;serif" w:hAnsi="Times New Roman;serif"/>
                <w:b w:val="false"/>
                <w:color w:val="000000"/>
                <w:sz w:val="10"/>
              </w:rPr>
              <w:t>(7)</w:t>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5,000,008</w:t>
            </w:r>
          </w:p>
        </w:tc>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168,436</w:t>
            </w:r>
          </w:p>
        </w:tc>
        <w:tc>
          <w:tcPr>
            <w:tcW w:w="1409"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16"/>
              </w:rPr>
              <w:t xml:space="preserve">390 </w:t>
            </w:r>
            <w:r>
              <w:rPr>
                <w:rFonts w:ascii="Times New Roman;serif" w:hAnsi="Times New Roman;serif"/>
                <w:b w:val="false"/>
                <w:color w:val="000000"/>
                <w:sz w:val="10"/>
              </w:rPr>
              <w:t>(5)</w:t>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5,360,879</w:t>
            </w:r>
          </w:p>
        </w:tc>
      </w:tr>
      <w:tr>
        <w:trPr/>
        <w:tc>
          <w:tcPr>
            <w:tcW w:w="1956"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 xml:space="preserve">Stephen Ehikian </w:t>
            </w:r>
            <w:r>
              <w:rPr>
                <w:rFonts w:ascii="Times New Roman;serif" w:hAnsi="Times New Roman;serif"/>
                <w:b w:val="false"/>
                <w:color w:val="000000"/>
                <w:sz w:val="10"/>
              </w:rPr>
              <w:t>(8)</w:t>
            </w:r>
          </w:p>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President and former Chief Executive Officer</w:t>
            </w:r>
          </w:p>
        </w:tc>
        <w:tc>
          <w:tcPr>
            <w:tcW w:w="6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8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666,667</w:t>
            </w:r>
          </w:p>
        </w:tc>
        <w:tc>
          <w:tcPr>
            <w:tcW w:w="72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6"/>
              </w:rPr>
              <w:t xml:space="preserve">500,000 </w:t>
            </w:r>
            <w:r>
              <w:rPr>
                <w:rFonts w:ascii="Times New Roman;serif" w:hAnsi="Times New Roman;serif"/>
                <w:b w:val="false"/>
                <w:color w:val="000000"/>
                <w:sz w:val="10"/>
              </w:rPr>
              <w:t>(9)</w:t>
            </w:r>
          </w:p>
        </w:tc>
        <w:tc>
          <w:tcPr>
            <w:tcW w:w="1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20,000,012</w:t>
            </w:r>
          </w:p>
        </w:tc>
        <w:tc>
          <w:tcPr>
            <w:tcW w:w="1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15,000,001</w:t>
            </w:r>
          </w:p>
        </w:tc>
        <w:tc>
          <w:tcPr>
            <w:tcW w:w="15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0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6"/>
              </w:rPr>
              <w:t xml:space="preserve">662 </w:t>
            </w:r>
            <w:r>
              <w:rPr>
                <w:rFonts w:ascii="Times New Roman;serif" w:hAnsi="Times New Roman;serif"/>
                <w:b w:val="false"/>
                <w:color w:val="000000"/>
                <w:sz w:val="10"/>
              </w:rPr>
              <w:t>(5)</w:t>
            </w:r>
          </w:p>
        </w:tc>
        <w:tc>
          <w:tcPr>
            <w:tcW w:w="97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36,167,342</w:t>
            </w:r>
          </w:p>
        </w:tc>
      </w:tr>
    </w:tbl>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(1)The amounts disclosed represent the aggregate grant date fair value of the RSUs and options granted under the 2020 Plan or the Inducement Plan, as applicable, computed in accordance with Financial Accounting Standard Board (FASB) Accounting Standards Codification (ASC) Topic 718. The assumptions used in calculating the grant date fair value of the RSUs and options are set forth in the notes to our audited consolidated financial statements included in our Annual Report on Form 10-K for the fiscal year ended April 30, 2026. The amounts do not reflect the actual economic value that may be realized by each named executive officer. </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(2)The amounts disclosed in this column include bonus payments, paid in fully vested RSUs, that were made under our annual discretionary performance-based bonus program for the fiscal year ended April 30, 2026, as determined by our compensation committee. The terms of these payments are summarized under “Compensation Discussion and Analysis—Executive Compensation Program for Fiscal Year Ended April 30, 2026.”</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(3)At Mr. Siebel’s request, his annual base salary changed from $1,000,000 to $0 effective February 1, 2026, for the remainder of the fiscal year ended April 30, 2026. Mr. Siebel’s compensation for the fiscal year ending April 30, 2027 is yet to be determined.</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(4)The amount reported represents (a) amounts paid by us for personal security services for Mr. Siebel provided based on an independent security study, in an aggregate amount of approximately $553,830, $600,365 and $180,445, for the fiscal years ended April 30, 2026, 2025 and 2024, respectively, with such costs being calculated based on an allocation of total costs incurred by us attributable to personal use of such security services and (b) life insurance premiums paid by us on behalf of Mr. Siebel.</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(5)The amount reported represents life insurance premiums paid by us on behalf of the named executive officer.</w:t>
      </w:r>
    </w:p>
    <w:p>
      <w:pPr>
        <w:pStyle w:val="TextBody"/>
        <w:bidi w:val="0"/>
        <w:spacing w:lineRule="auto" w:line="240"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(6)The amount reported includes the March 2024 increase to Mr. Lath’s base salary in connection with his appointment as Senior Vice President and Chief Financial Officer</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(7)The amount reported represents a one-time sign-on bonus paid to Mr. Lath in connection with his initial appointment as Vice President and Chief Accounting Officer in December 2023.</w:t>
      </w:r>
    </w:p>
    <w:p>
      <w:pPr>
        <w:pStyle w:val="TextBody"/>
        <w:bidi w:val="0"/>
        <w:spacing w:lineRule="auto" w:line="240"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(8)Mr. Ehikian was not an employee of the Company for the fiscal year ended April 30, 2024 or 2025.</w:t>
      </w:r>
    </w:p>
    <w:p>
      <w:pPr>
        <w:pStyle w:val="TextBody"/>
        <w:bidi w:val="0"/>
        <w:spacing w:lineRule="auto" w:line="240"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(9)Represents the aggregate bonus amounts paid to Mr. Ehikian during the year ended April 30, 2026 pursuant to his offer letter dated as of August 29, 2025, as negotiated between the Company and Mr. Ehikian in connection with his hiring. On December 30, 2025 and March 30, 2026, the compensation committee paid such bonus amounts by granting him fully vested RSUs with respect to 18,090 and 32,093 shares of our Class A common stock, respectively. See “Grants of Plan-Based Awards in Fiscal Year 2026.”</w:t>
      </w:r>
    </w:p>
    <w:p>
      <w:pPr>
        <w:pStyle w:val="TextBody"/>
        <w:bidi w:val="0"/>
        <w:spacing w:before="18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036955"/>
                <wp:effectExtent l="0" t="0" r="0" b="0"/>
                <wp:wrapNone/>
                <wp:docPr id="51" name="Frame51"/>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Grants of Plan-Based Awards in Fiscal Year 2026</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shows, for the fiscal year ended April 30, 2026, certain information regarding grants of plan-based awards to our named executive officers:</w:t>
      </w:r>
    </w:p>
    <w:tbl>
      <w:tblPr>
        <w:tblW w:w="10205" w:type="dxa"/>
        <w:jc w:val="left"/>
        <w:tblInd w:w="0" w:type="dxa"/>
        <w:tblLayout w:type="fixed"/>
        <w:tblCellMar>
          <w:top w:w="28" w:type="dxa"/>
          <w:left w:w="28" w:type="dxa"/>
          <w:bottom w:w="28" w:type="dxa"/>
          <w:right w:w="28" w:type="dxa"/>
        </w:tblCellMar>
      </w:tblPr>
      <w:tblGrid>
        <w:gridCol w:w="284"/>
        <w:gridCol w:w="249"/>
        <w:gridCol w:w="254"/>
        <w:gridCol w:w="231"/>
        <w:gridCol w:w="206"/>
        <w:gridCol w:w="207"/>
        <w:gridCol w:w="205"/>
        <w:gridCol w:w="205"/>
        <w:gridCol w:w="206"/>
        <w:gridCol w:w="364"/>
        <w:gridCol w:w="311"/>
        <w:gridCol w:w="192"/>
        <w:gridCol w:w="554"/>
        <w:gridCol w:w="324"/>
        <w:gridCol w:w="192"/>
        <w:gridCol w:w="192"/>
        <w:gridCol w:w="192"/>
        <w:gridCol w:w="193"/>
        <w:gridCol w:w="531"/>
        <w:gridCol w:w="443"/>
        <w:gridCol w:w="444"/>
        <w:gridCol w:w="547"/>
        <w:gridCol w:w="547"/>
        <w:gridCol w:w="549"/>
        <w:gridCol w:w="360"/>
        <w:gridCol w:w="360"/>
        <w:gridCol w:w="362"/>
        <w:gridCol w:w="621"/>
        <w:gridCol w:w="356"/>
        <w:gridCol w:w="524"/>
      </w:tblGrid>
      <w:tr>
        <w:trPr/>
        <w:tc>
          <w:tcPr>
            <w:tcW w:w="28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Estimated Possible Payouts </w:t>
            </w:r>
          </w:p>
          <w:p>
            <w:pPr>
              <w:pStyle w:val="TableContents"/>
              <w:bidi w:val="0"/>
              <w:spacing w:lineRule="auto" w:line="240" w:before="0" w:after="0"/>
              <w:jc w:val="center"/>
              <w:rPr/>
            </w:pPr>
            <w:r>
              <w:rPr>
                <w:rFonts w:ascii="Times New Roman;serif" w:hAnsi="Times New Roman;serif"/>
                <w:b/>
                <w:color w:val="000000"/>
                <w:sz w:val="16"/>
              </w:rPr>
              <w:t xml:space="preserve">Under Non-Equity Incentive Plan Awards </w:t>
            </w:r>
            <w:r>
              <w:rPr>
                <w:rFonts w:ascii="Times New Roman;serif" w:hAnsi="Times New Roman;serif"/>
                <w:b/>
                <w:color w:val="000000"/>
                <w:sz w:val="10"/>
              </w:rPr>
              <w:t>(1)</w:t>
            </w:r>
          </w:p>
        </w:tc>
        <w:tc>
          <w:tcPr>
            <w:tcW w:w="1418"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All Other Stock Awards: Number of Shares of Stock or Units</w:t>
            </w:r>
          </w:p>
          <w:p>
            <w:pPr>
              <w:pStyle w:val="TableContents"/>
              <w:bidi w:val="0"/>
              <w:spacing w:lineRule="auto" w:line="288" w:before="0" w:after="0"/>
              <w:jc w:val="center"/>
              <w:rPr/>
            </w:pPr>
            <w:r>
              <w:rPr>
                <w:rFonts w:ascii="Times New Roman;serif" w:hAnsi="Times New Roman;serif"/>
                <w:b/>
                <w:color w:val="000000"/>
                <w:sz w:val="16"/>
              </w:rPr>
              <w:t xml:space="preserve">(#) </w:t>
            </w:r>
            <w:r>
              <w:rPr>
                <w:rFonts w:ascii="Times New Roman;serif" w:hAnsi="Times New Roman;serif"/>
                <w:b/>
                <w:color w:val="000000"/>
                <w:sz w:val="10"/>
              </w:rPr>
              <w:t>(2)</w:t>
            </w:r>
          </w:p>
        </w:tc>
        <w:tc>
          <w:tcPr>
            <w:tcW w:w="1643"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All Other Option Awards: Number of Securities Underlying Options (#) </w:t>
            </w:r>
            <w:r>
              <w:rPr>
                <w:rFonts w:ascii="Times New Roman;serif" w:hAnsi="Times New Roman;serif"/>
                <w:b/>
                <w:color w:val="000000"/>
                <w:sz w:val="10"/>
              </w:rPr>
              <w:t>(2)</w:t>
            </w:r>
          </w:p>
        </w:tc>
        <w:tc>
          <w:tcPr>
            <w:tcW w:w="10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Exercise or Base Price of Option Awards</w:t>
              <w:br/>
              <w:t>($/Sh)</w:t>
            </w:r>
          </w:p>
        </w:tc>
        <w:tc>
          <w:tcPr>
            <w:tcW w:w="15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Grant Date Fair Value of Stock and Option Awards</w:t>
              <w:br/>
              <w:t>($) (3)</w:t>
            </w:r>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Grant Type</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Grant Date</w:t>
            </w:r>
          </w:p>
        </w:tc>
        <w:tc>
          <w:tcPr>
            <w:tcW w:w="86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Threshold</w:t>
              <w:br/>
              <w:t>($)</w:t>
            </w:r>
          </w:p>
        </w:tc>
        <w:tc>
          <w:tcPr>
            <w:tcW w:w="107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Target</w:t>
              <w:br/>
              <w:t>($)</w:t>
            </w:r>
          </w:p>
        </w:tc>
        <w:tc>
          <w:tcPr>
            <w:tcW w:w="57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w:t>
              <w:br/>
              <w:t>($)</w:t>
            </w:r>
          </w:p>
        </w:tc>
        <w:tc>
          <w:tcPr>
            <w:tcW w:w="1418" w:type="dxa"/>
            <w:gridSpan w:val="3"/>
            <w:vMerge w:val="continue"/>
            <w:tcBorders/>
            <w:tcMar>
              <w:top w:w="0" w:type="dxa"/>
              <w:left w:w="0" w:type="dxa"/>
              <w:bottom w:w="0" w:type="dxa"/>
              <w:right w:w="0" w:type="dxa"/>
            </w:tcMar>
            <w:vAlign w:val="center"/>
          </w:tcPr>
          <w:p>
            <w:pPr>
              <w:pStyle w:val="Normal"/>
              <w:bidi w:val="0"/>
              <w:jc w:val="left"/>
              <w:rPr/>
            </w:pPr>
            <w:r>
              <w:rPr/>
            </w:r>
          </w:p>
        </w:tc>
        <w:tc>
          <w:tcPr>
            <w:tcW w:w="1643" w:type="dxa"/>
            <w:gridSpan w:val="3"/>
            <w:vMerge w:val="continue"/>
            <w:tcBorders/>
            <w:tcMar>
              <w:top w:w="0" w:type="dxa"/>
              <w:left w:w="0" w:type="dxa"/>
              <w:bottom w:w="0" w:type="dxa"/>
              <w:right w:w="0" w:type="dxa"/>
            </w:tcMar>
            <w:vAlign w:val="center"/>
          </w:tcPr>
          <w:p>
            <w:pPr>
              <w:pStyle w:val="Normal"/>
              <w:bidi w:val="0"/>
              <w:jc w:val="left"/>
              <w:rPr/>
            </w:pPr>
            <w:r>
              <w:rPr/>
            </w:r>
          </w:p>
        </w:tc>
        <w:tc>
          <w:tcPr>
            <w:tcW w:w="1082" w:type="dxa"/>
            <w:gridSpan w:val="3"/>
            <w:vMerge w:val="continue"/>
            <w:tcBorders/>
            <w:tcMar>
              <w:top w:w="0" w:type="dxa"/>
              <w:left w:w="0" w:type="dxa"/>
              <w:bottom w:w="0" w:type="dxa"/>
              <w:right w:w="0" w:type="dxa"/>
            </w:tcMar>
            <w:vAlign w:val="center"/>
          </w:tcPr>
          <w:p>
            <w:pPr>
              <w:pStyle w:val="Normal"/>
              <w:bidi w:val="0"/>
              <w:jc w:val="left"/>
              <w:rPr/>
            </w:pPr>
            <w:r>
              <w:rPr/>
            </w:r>
          </w:p>
        </w:tc>
        <w:tc>
          <w:tcPr>
            <w:tcW w:w="15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87" w:type="dxa"/>
            <w:gridSpan w:val="3"/>
            <w:vMerge w:val="restart"/>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Thomas M. Siebel</w:t>
            </w:r>
          </w:p>
        </w:tc>
        <w:tc>
          <w:tcPr>
            <w:tcW w:w="6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RSU</w:t>
            </w:r>
          </w:p>
        </w:tc>
        <w:tc>
          <w:tcPr>
            <w:tcW w:w="6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12/11/2025</w:t>
            </w:r>
          </w:p>
        </w:tc>
        <w:tc>
          <w:tcPr>
            <w:tcW w:w="8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7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722,362</w:t>
            </w:r>
          </w:p>
        </w:tc>
        <w:tc>
          <w:tcPr>
            <w:tcW w:w="164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11,500,003 </w:t>
            </w:r>
          </w:p>
        </w:tc>
      </w:tr>
      <w:tr>
        <w:trPr/>
        <w:tc>
          <w:tcPr>
            <w:tcW w:w="787"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6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Option</w:t>
            </w:r>
          </w:p>
        </w:tc>
        <w:tc>
          <w:tcPr>
            <w:tcW w:w="6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12/11/2025</w:t>
            </w:r>
          </w:p>
        </w:tc>
        <w:tc>
          <w:tcPr>
            <w:tcW w:w="8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7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64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1,133,474</w:t>
            </w:r>
          </w:p>
        </w:tc>
        <w:tc>
          <w:tcPr>
            <w:tcW w:w="10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$17.51</w:t>
            </w:r>
          </w:p>
        </w:tc>
        <w:tc>
          <w:tcPr>
            <w:tcW w:w="15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11,500,001 </w:t>
            </w:r>
          </w:p>
        </w:tc>
      </w:tr>
      <w:tr>
        <w:trPr/>
        <w:tc>
          <w:tcPr>
            <w:tcW w:w="787"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6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Cash</w:t>
            </w:r>
          </w:p>
        </w:tc>
        <w:tc>
          <w:tcPr>
            <w:tcW w:w="6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8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1,000,000 </w:t>
            </w:r>
          </w:p>
        </w:tc>
        <w:tc>
          <w:tcPr>
            <w:tcW w:w="19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8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Hitesh Lath</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RSU</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6/26/2025</w:t>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160,000</w:t>
            </w:r>
          </w:p>
        </w:tc>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3,955,200</w:t>
            </w:r>
          </w:p>
        </w:tc>
      </w:tr>
      <w:tr>
        <w:trPr/>
        <w:tc>
          <w:tcPr>
            <w:tcW w:w="787" w:type="dxa"/>
            <w:gridSpan w:val="3"/>
            <w:vMerge w:val="continue"/>
            <w:tcBorders/>
            <w:tcMar>
              <w:top w:w="0" w:type="dxa"/>
              <w:left w:w="0" w:type="dxa"/>
              <w:bottom w:w="0" w:type="dxa"/>
              <w:right w:w="0" w:type="dxa"/>
            </w:tcMar>
            <w:vAlign w:val="center"/>
          </w:tcPr>
          <w:p>
            <w:pPr>
              <w:pStyle w:val="Normal"/>
              <w:bidi w:val="0"/>
              <w:jc w:val="left"/>
              <w:rPr/>
            </w:pPr>
            <w:r>
              <w:rPr/>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Option</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3/2/2026</w:t>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w:t>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w:t>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568,810</w:t>
            </w:r>
          </w:p>
        </w:tc>
      </w:tr>
      <w:tr>
        <w:trPr/>
        <w:tc>
          <w:tcPr>
            <w:tcW w:w="787" w:type="dxa"/>
            <w:gridSpan w:val="3"/>
            <w:vMerge w:val="continue"/>
            <w:tcBorders/>
            <w:tcMar>
              <w:top w:w="0" w:type="dxa"/>
              <w:left w:w="0" w:type="dxa"/>
              <w:bottom w:w="0" w:type="dxa"/>
              <w:right w:w="0" w:type="dxa"/>
            </w:tcMar>
            <w:vAlign w:val="center"/>
          </w:tcPr>
          <w:p>
            <w:pPr>
              <w:pStyle w:val="Normal"/>
              <w:bidi w:val="0"/>
              <w:jc w:val="left"/>
              <w:rPr/>
            </w:pPr>
            <w:r>
              <w:rPr/>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Cash</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375,000</w:t>
            </w:r>
          </w:p>
        </w:tc>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1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64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87" w:type="dxa"/>
            <w:gridSpan w:val="3"/>
            <w:vMerge w:val="restart"/>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Stephen Ehikian</w:t>
            </w:r>
          </w:p>
        </w:tc>
        <w:tc>
          <w:tcPr>
            <w:tcW w:w="6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RSU</w:t>
            </w:r>
          </w:p>
        </w:tc>
        <w:tc>
          <w:tcPr>
            <w:tcW w:w="6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9/15/2025</w:t>
            </w:r>
          </w:p>
        </w:tc>
        <w:tc>
          <w:tcPr>
            <w:tcW w:w="8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7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1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6"/>
              </w:rPr>
              <w:t>1,140,902</w:t>
            </w:r>
            <w:r>
              <w:rPr>
                <w:color w:val="000000"/>
              </w:rPr>
              <w:t xml:space="preserve"> </w:t>
            </w:r>
            <w:r>
              <w:rPr>
                <w:rFonts w:ascii="Times New Roman;serif" w:hAnsi="Times New Roman;serif"/>
                <w:b w:val="false"/>
                <w:color w:val="000000"/>
                <w:sz w:val="10"/>
              </w:rPr>
              <w:t>(4)</w:t>
            </w:r>
          </w:p>
        </w:tc>
        <w:tc>
          <w:tcPr>
            <w:tcW w:w="164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20,000,012</w:t>
            </w:r>
          </w:p>
        </w:tc>
      </w:tr>
      <w:tr>
        <w:trPr/>
        <w:tc>
          <w:tcPr>
            <w:tcW w:w="787"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6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Option</w:t>
            </w:r>
          </w:p>
        </w:tc>
        <w:tc>
          <w:tcPr>
            <w:tcW w:w="6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9/15/2025</w:t>
            </w:r>
          </w:p>
        </w:tc>
        <w:tc>
          <w:tcPr>
            <w:tcW w:w="8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7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6"/>
              </w:rPr>
              <w:t xml:space="preserve">1,282,139 </w:t>
            </w:r>
            <w:r>
              <w:rPr>
                <w:rFonts w:ascii="Times New Roman;serif" w:hAnsi="Times New Roman;serif"/>
                <w:b w:val="false"/>
                <w:color w:val="000000"/>
                <w:sz w:val="10"/>
              </w:rPr>
              <w:t>(4)</w:t>
            </w:r>
          </w:p>
        </w:tc>
        <w:tc>
          <w:tcPr>
            <w:tcW w:w="10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17.53</w:t>
            </w:r>
          </w:p>
        </w:tc>
        <w:tc>
          <w:tcPr>
            <w:tcW w:w="15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15,000,001</w:t>
            </w:r>
          </w:p>
        </w:tc>
      </w:tr>
      <w:tr>
        <w:trPr/>
        <w:tc>
          <w:tcPr>
            <w:tcW w:w="787"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6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Bonus RSU</w:t>
            </w:r>
          </w:p>
        </w:tc>
        <w:tc>
          <w:tcPr>
            <w:tcW w:w="6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12/30/2025</w:t>
            </w:r>
          </w:p>
        </w:tc>
        <w:tc>
          <w:tcPr>
            <w:tcW w:w="8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7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1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6"/>
              </w:rPr>
              <w:t xml:space="preserve">18,090 </w:t>
            </w:r>
            <w:r>
              <w:rPr>
                <w:rFonts w:ascii="Times New Roman;serif" w:hAnsi="Times New Roman;serif"/>
                <w:b w:val="false"/>
                <w:color w:val="000000"/>
                <w:sz w:val="10"/>
              </w:rPr>
              <w:t>(5)</w:t>
            </w:r>
          </w:p>
        </w:tc>
        <w:tc>
          <w:tcPr>
            <w:tcW w:w="164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250,004</w:t>
            </w:r>
          </w:p>
        </w:tc>
      </w:tr>
      <w:tr>
        <w:trPr/>
        <w:tc>
          <w:tcPr>
            <w:tcW w:w="7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Bonus RSU</w:t>
            </w:r>
          </w:p>
        </w:tc>
        <w:tc>
          <w:tcPr>
            <w:tcW w:w="6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3/30/2026</w:t>
            </w:r>
          </w:p>
        </w:tc>
        <w:tc>
          <w:tcPr>
            <w:tcW w:w="8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7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1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6"/>
              </w:rPr>
              <w:t xml:space="preserve">32,093 </w:t>
            </w:r>
            <w:r>
              <w:rPr>
                <w:rFonts w:ascii="Times New Roman;serif" w:hAnsi="Times New Roman;serif"/>
                <w:b w:val="false"/>
                <w:color w:val="000000"/>
                <w:sz w:val="10"/>
              </w:rPr>
              <w:t>(5)</w:t>
            </w:r>
          </w:p>
        </w:tc>
        <w:tc>
          <w:tcPr>
            <w:tcW w:w="164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250,004</w:t>
            </w:r>
          </w:p>
        </w:tc>
      </w:tr>
    </w:tbl>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(1)Represents annual cash bonus target opportunity pursuant to our annual discretionary cash performance-based bonus program, the terms of which are summarized under “Compensation Discussion and Analysis—Executive Compensation Programs for Fiscal Year Ended April 30, 2026—Annual Discretionary Performance-Based Bonus” and “Compensation Discussion and Analysis—How We Determine Executive Compensation” above and do not represent actual compensation earned by our named executive officers for the year ended April 30, 2026. For the actual amounts paid to each of the other named executive officers, see the “Summary Compensation Table” above and the applicable footnotes. The plan does not provide for threshold or maximum payout amounts. </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(2)Shares reported represent awards of RSUs and options granted pursuant to our 2020 Plan unless otherwise indicated. Each award is subject to service-based vesting criteria described in the footnotes to the table below titled “Outstanding Equity Awards as of April 30, 2026,” except as otherwise indicated in the footnotes to this table. </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(3)The amounts disclosed represent the aggregate grant date fair value of the RSUs and options granted under the 2020 Plan or the Inducement Plan, as applicable, computed in accordance with FASB ASC Topic 718. The assumptions used in calculating the grant date fair value of the RSUs and options are set forth in the notes to our audited consolidated financial statements included in our Annual Report on Form 10-K for the fiscal year ended April 30, 2026. This amount does not reflect the actual economic value that may be realized by each named executive officer.</w:t>
      </w:r>
    </w:p>
    <w:p>
      <w:pPr>
        <w:pStyle w:val="TextBody"/>
        <w:bidi w:val="0"/>
        <w:spacing w:lineRule="auto" w:line="240"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(4)Shares reported represent awards of RSUs and options granted pursuant to our Inducement Plan.</w:t>
      </w:r>
    </w:p>
    <w:p>
      <w:pPr>
        <w:pStyle w:val="TextBody"/>
        <w:bidi w:val="0"/>
        <w:spacing w:lineRule="auto" w:line="240"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(5)Shares reported represent awards of fully vested RSUs paid to Mr. Ehikian in settlement of bonus amounts earned by him during the year ended April 30, 2026 pursuant to his offer letter dated as of August 29, 2025, as negotiated between the Company and Mr. Ehikian in connection with his hiring.</w:t>
      </w:r>
    </w:p>
    <w:p>
      <w:pPr>
        <w:pStyle w:val="TextBody"/>
        <w:bidi w:val="0"/>
        <w:spacing w:before="180" w:after="180"/>
        <w:ind w:left="0" w:right="0" w:hanging="720"/>
        <w:jc w:val="both"/>
        <w:rPr/>
      </w:pPr>
      <w:r>
        <w:rPr/>
      </w:r>
    </w:p>
    <w:p>
      <w:pPr>
        <w:pStyle w:val="TextBody"/>
        <w:bidi w:val="0"/>
        <w:spacing w:before="180" w:after="180"/>
        <w:jc w:val="both"/>
        <w:rPr/>
      </w:pPr>
      <w:r>
        <w:rPr/>
      </w:r>
    </w:p>
    <w:p>
      <w:pPr>
        <w:pStyle w:val="TextBody"/>
        <w:bidi w:val="0"/>
        <w:spacing w:before="18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036955"/>
                <wp:effectExtent l="0" t="0" r="0" b="0"/>
                <wp:wrapNone/>
                <wp:docPr id="52" name="Frame52"/>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Outstanding Equity Awards as of April 30, 2026</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outstanding equity incentive plan awards held by each named executive officer as of April 30, 2026.</w:t>
      </w:r>
    </w:p>
    <w:tbl>
      <w:tblPr>
        <w:tblW w:w="10205" w:type="dxa"/>
        <w:jc w:val="left"/>
        <w:tblInd w:w="0" w:type="dxa"/>
        <w:tblLayout w:type="fixed"/>
        <w:tblCellMar>
          <w:top w:w="28" w:type="dxa"/>
          <w:left w:w="28" w:type="dxa"/>
          <w:bottom w:w="28" w:type="dxa"/>
          <w:right w:w="28" w:type="dxa"/>
        </w:tblCellMar>
      </w:tblPr>
      <w:tblGrid>
        <w:gridCol w:w="292"/>
        <w:gridCol w:w="256"/>
        <w:gridCol w:w="260"/>
        <w:gridCol w:w="197"/>
        <w:gridCol w:w="197"/>
        <w:gridCol w:w="198"/>
        <w:gridCol w:w="296"/>
        <w:gridCol w:w="296"/>
        <w:gridCol w:w="300"/>
        <w:gridCol w:w="315"/>
        <w:gridCol w:w="315"/>
        <w:gridCol w:w="316"/>
        <w:gridCol w:w="443"/>
        <w:gridCol w:w="260"/>
        <w:gridCol w:w="261"/>
        <w:gridCol w:w="302"/>
        <w:gridCol w:w="302"/>
        <w:gridCol w:w="303"/>
        <w:gridCol w:w="274"/>
        <w:gridCol w:w="250"/>
        <w:gridCol w:w="251"/>
        <w:gridCol w:w="476"/>
        <w:gridCol w:w="476"/>
        <w:gridCol w:w="477"/>
        <w:gridCol w:w="263"/>
        <w:gridCol w:w="251"/>
        <w:gridCol w:w="252"/>
        <w:gridCol w:w="704"/>
        <w:gridCol w:w="583"/>
        <w:gridCol w:w="839"/>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808" w:type="dxa"/>
            <w:gridSpan w:val="3"/>
            <w:vMerge w:val="restart"/>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Name</w:t>
            </w:r>
          </w:p>
        </w:tc>
        <w:tc>
          <w:tcPr>
            <w:tcW w:w="4301" w:type="dxa"/>
            <w:gridSpan w:val="15"/>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4"/>
              </w:rPr>
              <w:t>Option Awards</w:t>
            </w:r>
            <w:r>
              <w:rPr>
                <w:rFonts w:ascii="Times New Roman;serif" w:hAnsi="Times New Roman;serif"/>
                <w:b/>
                <w:color w:val="000000"/>
                <w:sz w:val="9"/>
              </w:rPr>
              <w:t>(1)</w:t>
            </w:r>
          </w:p>
        </w:tc>
        <w:tc>
          <w:tcPr>
            <w:tcW w:w="5096" w:type="dxa"/>
            <w:gridSpan w:val="12"/>
            <w:tcBorders>
              <w:top w:val="single" w:sz="2" w:space="0" w:color="000000"/>
              <w:left w:val="single" w:sz="4" w:space="0" w:color="000000"/>
              <w:right w:val="single" w:sz="2" w:space="0" w:color="000000"/>
            </w:tcBorders>
            <w:tcMar>
              <w:top w:w="30" w:type="dxa"/>
              <w:bottom w:w="0" w:type="dxa"/>
            </w:tcMar>
            <w:vAlign w:val="center"/>
          </w:tcPr>
          <w:p>
            <w:pPr>
              <w:pStyle w:val="TableContents"/>
              <w:bidi w:val="0"/>
              <w:spacing w:lineRule="auto" w:line="288" w:before="0" w:after="0"/>
              <w:jc w:val="center"/>
              <w:rPr/>
            </w:pPr>
            <w:r>
              <w:rPr>
                <w:rFonts w:ascii="Times New Roman;serif" w:hAnsi="Times New Roman;serif"/>
                <w:b/>
                <w:color w:val="000000"/>
                <w:sz w:val="14"/>
              </w:rPr>
              <w:t>Stock Awards</w:t>
            </w:r>
            <w:r>
              <w:rPr>
                <w:rFonts w:ascii="Times New Roman;serif" w:hAnsi="Times New Roman;serif"/>
                <w:b/>
                <w:color w:val="000000"/>
                <w:sz w:val="9"/>
              </w:rPr>
              <w:t>(1)</w:t>
            </w:r>
          </w:p>
        </w:tc>
      </w:tr>
      <w:tr>
        <w:trPr/>
        <w:tc>
          <w:tcPr>
            <w:tcW w:w="808" w:type="dxa"/>
            <w:gridSpan w:val="3"/>
            <w:vMerge w:val="continue"/>
            <w:tcBorders>
              <w:top w:val="single" w:sz="2" w:space="0" w:color="000000"/>
              <w:left w:val="single" w:sz="2" w:space="0" w:color="000000"/>
            </w:tcBorders>
            <w:tcMar>
              <w:top w:w="30" w:type="dxa"/>
              <w:bottom w:w="0" w:type="dxa"/>
              <w:right w:w="0" w:type="dxa"/>
            </w:tcMar>
            <w:vAlign w:val="center"/>
          </w:tcPr>
          <w:p>
            <w:pPr>
              <w:pStyle w:val="Normal"/>
              <w:bidi w:val="0"/>
              <w:jc w:val="left"/>
              <w:rPr/>
            </w:pPr>
            <w:r>
              <w:rPr/>
            </w:r>
          </w:p>
        </w:tc>
        <w:tc>
          <w:tcPr>
            <w:tcW w:w="592" w:type="dxa"/>
            <w:gridSpan w:val="3"/>
            <w:tcBorders>
              <w:top w:val="single" w:sz="4"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Grant Date</w:t>
            </w:r>
          </w:p>
        </w:tc>
        <w:tc>
          <w:tcPr>
            <w:tcW w:w="8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Number of</w:t>
              <w:br/>
              <w:t>Securities</w:t>
              <w:br/>
              <w:t>Underlying</w:t>
              <w:br/>
              <w:t>Unexercised</w:t>
              <w:br/>
              <w:t>Options (#)</w:t>
              <w:br/>
              <w:t>Exercisable</w:t>
            </w:r>
          </w:p>
        </w:tc>
        <w:tc>
          <w:tcPr>
            <w:tcW w:w="9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Number of</w:t>
              <w:br/>
              <w:t>Securities</w:t>
              <w:br/>
              <w:t>Underlying</w:t>
              <w:br/>
              <w:t>Unexercised</w:t>
              <w:br/>
              <w:t>Options (#)</w:t>
              <w:br/>
              <w:t>Unexercisable</w:t>
            </w:r>
          </w:p>
        </w:tc>
        <w:tc>
          <w:tcPr>
            <w:tcW w:w="9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Option Exercise Price</w:t>
            </w:r>
            <w:r>
              <w:rPr>
                <w:rFonts w:ascii="Times New Roman;serif" w:hAnsi="Times New Roman;serif"/>
                <w:b/>
                <w:color w:val="000000"/>
                <w:sz w:val="9"/>
              </w:rPr>
              <w:t>(2)</w:t>
            </w:r>
          </w:p>
        </w:tc>
        <w:tc>
          <w:tcPr>
            <w:tcW w:w="9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Option Expiration Date</w:t>
            </w:r>
          </w:p>
        </w:tc>
        <w:tc>
          <w:tcPr>
            <w:tcW w:w="7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Number of</w:t>
              <w:br/>
              <w:t>Shares or</w:t>
              <w:br/>
              <w:t>Units of </w:t>
              <w:br/>
              <w:t>Stock</w:t>
              <w:br/>
              <w:t>that have not</w:t>
              <w:br/>
              <w:t>Vested (#)</w:t>
            </w:r>
          </w:p>
        </w:tc>
        <w:tc>
          <w:tcPr>
            <w:tcW w:w="14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Market </w:t>
            </w:r>
          </w:p>
          <w:p>
            <w:pPr>
              <w:pStyle w:val="TableContents"/>
              <w:bidi w:val="0"/>
              <w:spacing w:lineRule="auto" w:line="240" w:before="0" w:after="0"/>
              <w:jc w:val="center"/>
              <w:rPr/>
            </w:pPr>
            <w:r>
              <w:rPr>
                <w:rFonts w:ascii="Times New Roman;serif" w:hAnsi="Times New Roman;serif"/>
                <w:b/>
                <w:color w:val="000000"/>
                <w:sz w:val="14"/>
              </w:rPr>
              <w:t>Value of Shares of Units of Stock that have not Vested ($)</w:t>
            </w:r>
            <w:r>
              <w:rPr>
                <w:rFonts w:ascii="Times New Roman;serif" w:hAnsi="Times New Roman;serif"/>
                <w:b/>
                <w:color w:val="000000"/>
                <w:sz w:val="9"/>
              </w:rPr>
              <w:t>(3)</w:t>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Equity Incentive</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Plan Awards:</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Number of</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Unearned</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Shares, Units</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or Other Rights</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that have not</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Vested</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w:t>
            </w:r>
          </w:p>
        </w:tc>
        <w:tc>
          <w:tcPr>
            <w:tcW w:w="2126" w:type="dxa"/>
            <w:gridSpan w:val="3"/>
            <w:tcBorders>
              <w:top w:val="single" w:sz="4" w:space="0" w:color="000000"/>
              <w:right w:val="single" w:sz="2" w:space="0" w:color="000000"/>
            </w:tcBorders>
            <w:tcMar>
              <w:top w:w="30" w:type="dxa"/>
              <w:left w:w="0" w:type="dxa"/>
              <w:bottom w:w="0" w:type="dxa"/>
            </w:tcMar>
            <w:vAlign w:val="center"/>
          </w:tcPr>
          <w:p>
            <w:pPr>
              <w:pStyle w:val="TableContents"/>
              <w:bidi w:val="0"/>
              <w:spacing w:lineRule="auto" w:line="240" w:before="0" w:after="0"/>
              <w:jc w:val="center"/>
              <w:rPr/>
            </w:pPr>
            <w:r>
              <w:rPr>
                <w:rFonts w:ascii="Times New Roman;serif" w:hAnsi="Times New Roman;serif"/>
                <w:b/>
                <w:color w:val="000000"/>
                <w:sz w:val="14"/>
              </w:rPr>
              <w:t>Equity Incentive Plan Awards: Market or Payout Value of Unearned Shares, Units or other Rights that have not Vested ($)</w:t>
            </w:r>
            <w:r>
              <w:rPr>
                <w:rFonts w:ascii="Times New Roman;serif" w:hAnsi="Times New Roman;serif"/>
                <w:b/>
                <w:color w:val="000000"/>
                <w:sz w:val="9"/>
              </w:rPr>
              <w:t>(3)</w:t>
            </w:r>
          </w:p>
        </w:tc>
      </w:tr>
      <w:tr>
        <w:trPr/>
        <w:tc>
          <w:tcPr>
            <w:tcW w:w="808" w:type="dxa"/>
            <w:gridSpan w:val="3"/>
            <w:tcBorders>
              <w:top w:val="single" w:sz="4" w:space="0" w:color="000000"/>
              <w:left w:val="single" w:sz="2"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Thomas M. Siebel</w:t>
            </w:r>
          </w:p>
        </w:tc>
        <w:tc>
          <w:tcPr>
            <w:tcW w:w="592" w:type="dxa"/>
            <w:gridSpan w:val="3"/>
            <w:tcBorders>
              <w:top w:val="single" w:sz="4" w:space="0" w:color="000000"/>
              <w:left w:val="single" w:sz="2" w:space="0" w:color="000000"/>
            </w:tcBorders>
            <w:shd w:fill="DBDBDB" w:val="clear"/>
            <w:tcMar>
              <w:top w:w="3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15"/>
              </w:rPr>
              <w:t xml:space="preserve">11/8/2017 </w:t>
            </w:r>
            <w:r>
              <w:rPr>
                <w:rFonts w:ascii="Times New Roman;serif" w:hAnsi="Times New Roman;serif"/>
                <w:b w:val="false"/>
                <w:color w:val="000000"/>
                <w:sz w:val="10"/>
              </w:rPr>
              <w:t>(4)</w:t>
            </w:r>
          </w:p>
        </w:tc>
        <w:tc>
          <w:tcPr>
            <w:tcW w:w="892"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1,282,718 </w:t>
            </w:r>
          </w:p>
        </w:tc>
        <w:tc>
          <w:tcPr>
            <w:tcW w:w="94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64"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$2.0400 </w:t>
            </w:r>
          </w:p>
        </w:tc>
        <w:tc>
          <w:tcPr>
            <w:tcW w:w="907"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11/7/2027</w:t>
            </w:r>
          </w:p>
        </w:tc>
        <w:tc>
          <w:tcPr>
            <w:tcW w:w="775"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29"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126" w:type="dxa"/>
            <w:gridSpan w:val="3"/>
            <w:tcBorders>
              <w:top w:val="single" w:sz="4" w:space="0" w:color="000000"/>
              <w:right w:val="single" w:sz="2" w:space="0" w:color="000000"/>
            </w:tcBorders>
            <w:shd w:fill="DBDBDB" w:val="clear"/>
            <w:tcMar>
              <w:top w:w="30" w:type="dxa"/>
              <w:left w:w="0" w:type="dxa"/>
              <w:bottom w:w="0" w:type="dxa"/>
              <w:right w:w="47" w:type="dxa"/>
            </w:tcMar>
            <w:vAlign w:val="center"/>
          </w:tcPr>
          <w:p>
            <w:pPr>
              <w:pStyle w:val="TableContents"/>
              <w:bidi w:val="0"/>
              <w:spacing w:lineRule="auto" w:line="240" w:before="0" w:after="283"/>
              <w:jc w:val="right"/>
              <w:rPr>
                <w:color w:val="000000"/>
              </w:rPr>
            </w:pPr>
            <w:r>
              <w:rPr>
                <w:color w:val="000000"/>
              </w:rPr>
              <w:t>—</w:t>
            </w:r>
          </w:p>
        </w:tc>
      </w:tr>
      <w:tr>
        <w:trPr/>
        <w:tc>
          <w:tcPr>
            <w:tcW w:w="808" w:type="dxa"/>
            <w:gridSpan w:val="3"/>
            <w:tcBorders>
              <w:left w:val="single" w:sz="2"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left w:val="single" w:sz="2" w:space="0" w:color="000000"/>
            </w:tcBorders>
            <w:shd w:fill="DBDBDB" w:val="clear"/>
            <w:tcMar>
              <w:top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15"/>
              </w:rPr>
              <w:t xml:space="preserve">11/28/2018 </w:t>
            </w:r>
            <w:r>
              <w:rPr>
                <w:rFonts w:ascii="Times New Roman;serif" w:hAnsi="Times New Roman;serif"/>
                <w:b w:val="false"/>
                <w:color w:val="000000"/>
                <w:sz w:val="10"/>
              </w:rPr>
              <w:t>(4)</w:t>
            </w:r>
          </w:p>
        </w:tc>
        <w:tc>
          <w:tcPr>
            <w:tcW w:w="8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3,000,000 </w:t>
            </w:r>
          </w:p>
        </w:tc>
        <w:tc>
          <w:tcPr>
            <w:tcW w:w="9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$3.9000 </w:t>
            </w:r>
          </w:p>
        </w:tc>
        <w:tc>
          <w:tcPr>
            <w:tcW w:w="9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11/27/2028</w:t>
            </w:r>
          </w:p>
        </w:tc>
        <w:tc>
          <w:tcPr>
            <w:tcW w:w="775"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126" w:type="dxa"/>
            <w:gridSpan w:val="3"/>
            <w:tcBorders>
              <w:right w:val="single" w:sz="2" w:space="0" w:color="000000"/>
            </w:tcBorders>
            <w:shd w:fill="DBDBDB" w:val="clear"/>
            <w:tcMar>
              <w:top w:w="0" w:type="dxa"/>
              <w:left w:w="0" w:type="dxa"/>
              <w:bottom w:w="0" w:type="dxa"/>
              <w:right w:w="47" w:type="dxa"/>
            </w:tcMar>
            <w:vAlign w:val="center"/>
          </w:tcPr>
          <w:p>
            <w:pPr>
              <w:pStyle w:val="TableContents"/>
              <w:bidi w:val="0"/>
              <w:spacing w:lineRule="auto" w:line="240" w:before="0" w:after="283"/>
              <w:jc w:val="right"/>
              <w:rPr>
                <w:color w:val="000000"/>
              </w:rPr>
            </w:pPr>
            <w:r>
              <w:rPr>
                <w:color w:val="000000"/>
              </w:rPr>
              <w:t>—</w:t>
            </w:r>
          </w:p>
        </w:tc>
      </w:tr>
      <w:tr>
        <w:trPr/>
        <w:tc>
          <w:tcPr>
            <w:tcW w:w="808" w:type="dxa"/>
            <w:gridSpan w:val="3"/>
            <w:tcBorders>
              <w:left w:val="single" w:sz="2"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left w:val="single" w:sz="2" w:space="0" w:color="000000"/>
            </w:tcBorders>
            <w:shd w:fill="DBDBDB" w:val="clear"/>
            <w:tcMar>
              <w:top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15"/>
              </w:rPr>
              <w:t xml:space="preserve">10/19/2019 </w:t>
            </w:r>
            <w:r>
              <w:rPr>
                <w:rFonts w:ascii="Times New Roman;serif" w:hAnsi="Times New Roman;serif"/>
                <w:b w:val="false"/>
                <w:color w:val="000000"/>
                <w:sz w:val="10"/>
              </w:rPr>
              <w:t>(4)</w:t>
            </w:r>
          </w:p>
        </w:tc>
        <w:tc>
          <w:tcPr>
            <w:tcW w:w="8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5,438,182 </w:t>
            </w:r>
          </w:p>
        </w:tc>
        <w:tc>
          <w:tcPr>
            <w:tcW w:w="9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$4.6800 </w:t>
            </w:r>
          </w:p>
        </w:tc>
        <w:tc>
          <w:tcPr>
            <w:tcW w:w="9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10/18/2029</w:t>
            </w:r>
          </w:p>
        </w:tc>
        <w:tc>
          <w:tcPr>
            <w:tcW w:w="775"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126" w:type="dxa"/>
            <w:gridSpan w:val="3"/>
            <w:tcBorders>
              <w:right w:val="single" w:sz="2" w:space="0" w:color="000000"/>
            </w:tcBorders>
            <w:shd w:fill="DBDBDB" w:val="clear"/>
            <w:tcMar>
              <w:top w:w="0" w:type="dxa"/>
              <w:left w:w="0" w:type="dxa"/>
              <w:bottom w:w="0" w:type="dxa"/>
              <w:right w:w="47" w:type="dxa"/>
            </w:tcMar>
            <w:vAlign w:val="center"/>
          </w:tcPr>
          <w:p>
            <w:pPr>
              <w:pStyle w:val="TableContents"/>
              <w:bidi w:val="0"/>
              <w:spacing w:lineRule="auto" w:line="240" w:before="0" w:after="283"/>
              <w:jc w:val="right"/>
              <w:rPr>
                <w:color w:val="000000"/>
              </w:rPr>
            </w:pPr>
            <w:r>
              <w:rPr>
                <w:color w:val="000000"/>
              </w:rPr>
              <w:t>—</w:t>
            </w:r>
          </w:p>
        </w:tc>
      </w:tr>
      <w:tr>
        <w:trPr/>
        <w:tc>
          <w:tcPr>
            <w:tcW w:w="808" w:type="dxa"/>
            <w:gridSpan w:val="3"/>
            <w:tcBorders>
              <w:left w:val="single" w:sz="2"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left w:val="single" w:sz="2" w:space="0" w:color="000000"/>
            </w:tcBorders>
            <w:shd w:fill="DBDBDB" w:val="clear"/>
            <w:tcMar>
              <w:top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15"/>
              </w:rPr>
              <w:t xml:space="preserve">8/27/2020 </w:t>
            </w:r>
            <w:r>
              <w:rPr>
                <w:rFonts w:ascii="Times New Roman;serif" w:hAnsi="Times New Roman;serif"/>
                <w:b w:val="false"/>
                <w:color w:val="000000"/>
                <w:sz w:val="10"/>
              </w:rPr>
              <w:t>(4)</w:t>
            </w:r>
          </w:p>
        </w:tc>
        <w:tc>
          <w:tcPr>
            <w:tcW w:w="8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6,166,667 </w:t>
            </w:r>
          </w:p>
        </w:tc>
        <w:tc>
          <w:tcPr>
            <w:tcW w:w="9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$11.1600 </w:t>
            </w:r>
          </w:p>
        </w:tc>
        <w:tc>
          <w:tcPr>
            <w:tcW w:w="9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8/26/2030</w:t>
            </w:r>
          </w:p>
        </w:tc>
        <w:tc>
          <w:tcPr>
            <w:tcW w:w="775"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126" w:type="dxa"/>
            <w:gridSpan w:val="3"/>
            <w:tcBorders>
              <w:right w:val="single" w:sz="2" w:space="0" w:color="000000"/>
            </w:tcBorders>
            <w:shd w:fill="DBDBDB" w:val="clear"/>
            <w:tcMar>
              <w:top w:w="0" w:type="dxa"/>
              <w:left w:w="0" w:type="dxa"/>
              <w:bottom w:w="0" w:type="dxa"/>
              <w:right w:w="47" w:type="dxa"/>
            </w:tcMar>
            <w:vAlign w:val="center"/>
          </w:tcPr>
          <w:p>
            <w:pPr>
              <w:pStyle w:val="TableContents"/>
              <w:bidi w:val="0"/>
              <w:spacing w:lineRule="auto" w:line="240" w:before="0" w:after="283"/>
              <w:jc w:val="right"/>
              <w:rPr>
                <w:color w:val="000000"/>
              </w:rPr>
            </w:pPr>
            <w:r>
              <w:rPr>
                <w:color w:val="000000"/>
              </w:rPr>
              <w:t>—</w:t>
            </w:r>
          </w:p>
        </w:tc>
      </w:tr>
      <w:tr>
        <w:trPr/>
        <w:tc>
          <w:tcPr>
            <w:tcW w:w="808" w:type="dxa"/>
            <w:gridSpan w:val="3"/>
            <w:tcBorders>
              <w:left w:val="single" w:sz="2"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left w:val="single" w:sz="2" w:space="0" w:color="000000"/>
            </w:tcBorders>
            <w:shd w:fill="DBDBDB" w:val="clear"/>
            <w:tcMar>
              <w:top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15"/>
              </w:rPr>
              <w:t xml:space="preserve">7/16/2021 </w:t>
            </w:r>
            <w:r>
              <w:rPr>
                <w:rFonts w:ascii="Times New Roman;serif" w:hAnsi="Times New Roman;serif"/>
                <w:b w:val="false"/>
                <w:color w:val="000000"/>
                <w:sz w:val="10"/>
              </w:rPr>
              <w:t>(5)</w:t>
            </w:r>
          </w:p>
        </w:tc>
        <w:tc>
          <w:tcPr>
            <w:tcW w:w="8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628,790 </w:t>
            </w:r>
          </w:p>
        </w:tc>
        <w:tc>
          <w:tcPr>
            <w:tcW w:w="9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26,210 </w:t>
            </w:r>
          </w:p>
        </w:tc>
        <w:tc>
          <w:tcPr>
            <w:tcW w:w="96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r>
              <w:rPr>
                <w:color w:val="000000"/>
              </w:rPr>
              <w:t> </w:t>
            </w:r>
            <w:r>
              <w:rPr>
                <w:rFonts w:ascii="Times New Roman;serif" w:hAnsi="Times New Roman;serif"/>
                <w:b w:val="false"/>
                <w:color w:val="000000"/>
                <w:sz w:val="15"/>
              </w:rPr>
              <w:t xml:space="preserve">$63.30 </w:t>
            </w:r>
            <w:r>
              <w:rPr>
                <w:rFonts w:ascii="Times New Roman;serif" w:hAnsi="Times New Roman;serif"/>
                <w:b w:val="false"/>
                <w:color w:val="000000"/>
                <w:sz w:val="10"/>
              </w:rPr>
              <w:t>(6)</w:t>
            </w:r>
          </w:p>
        </w:tc>
        <w:tc>
          <w:tcPr>
            <w:tcW w:w="9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7/15/2031</w:t>
            </w:r>
          </w:p>
        </w:tc>
        <w:tc>
          <w:tcPr>
            <w:tcW w:w="775"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126" w:type="dxa"/>
            <w:gridSpan w:val="3"/>
            <w:tcBorders>
              <w:right w:val="single" w:sz="2" w:space="0" w:color="000000"/>
            </w:tcBorders>
            <w:shd w:fill="DBDBDB" w:val="clear"/>
            <w:tcMar>
              <w:top w:w="0" w:type="dxa"/>
              <w:left w:w="0" w:type="dxa"/>
              <w:bottom w:w="0" w:type="dxa"/>
              <w:right w:w="47" w:type="dxa"/>
            </w:tcMar>
            <w:vAlign w:val="center"/>
          </w:tcPr>
          <w:p>
            <w:pPr>
              <w:pStyle w:val="TableContents"/>
              <w:bidi w:val="0"/>
              <w:spacing w:lineRule="auto" w:line="240" w:before="0" w:after="283"/>
              <w:jc w:val="right"/>
              <w:rPr>
                <w:color w:val="000000"/>
              </w:rPr>
            </w:pPr>
            <w:r>
              <w:rPr>
                <w:color w:val="000000"/>
              </w:rPr>
              <w:t>—</w:t>
            </w:r>
          </w:p>
        </w:tc>
      </w:tr>
      <w:tr>
        <w:trPr/>
        <w:tc>
          <w:tcPr>
            <w:tcW w:w="808" w:type="dxa"/>
            <w:gridSpan w:val="3"/>
            <w:tcBorders>
              <w:left w:val="single" w:sz="2"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left w:val="single" w:sz="2" w:space="0" w:color="000000"/>
            </w:tcBorders>
            <w:shd w:fill="DBDBDB" w:val="clear"/>
            <w:tcMar>
              <w:top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15"/>
              </w:rPr>
              <w:t xml:space="preserve">7/16/2021 </w:t>
            </w:r>
            <w:r>
              <w:rPr>
                <w:rFonts w:ascii="Times New Roman;serif" w:hAnsi="Times New Roman;serif"/>
                <w:b w:val="false"/>
                <w:color w:val="000000"/>
                <w:sz w:val="10"/>
              </w:rPr>
              <w:t>(5)</w:t>
            </w:r>
          </w:p>
        </w:tc>
        <w:tc>
          <w:tcPr>
            <w:tcW w:w="8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531,831 </w:t>
            </w:r>
          </w:p>
        </w:tc>
        <w:tc>
          <w:tcPr>
            <w:tcW w:w="9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22,169 </w:t>
            </w:r>
          </w:p>
        </w:tc>
        <w:tc>
          <w:tcPr>
            <w:tcW w:w="96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16"/>
              </w:rPr>
              <w:t>$50.64</w:t>
            </w:r>
          </w:p>
        </w:tc>
        <w:tc>
          <w:tcPr>
            <w:tcW w:w="9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7/15/2031</w:t>
            </w:r>
          </w:p>
        </w:tc>
        <w:tc>
          <w:tcPr>
            <w:tcW w:w="775"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126" w:type="dxa"/>
            <w:gridSpan w:val="3"/>
            <w:tcBorders>
              <w:right w:val="single" w:sz="2" w:space="0" w:color="000000"/>
            </w:tcBorders>
            <w:shd w:fill="DBDBDB" w:val="clear"/>
            <w:tcMar>
              <w:top w:w="0" w:type="dxa"/>
              <w:left w:w="0" w:type="dxa"/>
              <w:bottom w:w="0" w:type="dxa"/>
              <w:right w:w="47" w:type="dxa"/>
            </w:tcMar>
            <w:vAlign w:val="center"/>
          </w:tcPr>
          <w:p>
            <w:pPr>
              <w:pStyle w:val="TableContents"/>
              <w:bidi w:val="0"/>
              <w:spacing w:lineRule="auto" w:line="240" w:before="0" w:after="283"/>
              <w:jc w:val="right"/>
              <w:rPr>
                <w:color w:val="000000"/>
              </w:rPr>
            </w:pPr>
            <w:r>
              <w:rPr>
                <w:color w:val="000000"/>
              </w:rPr>
              <w:t>—</w:t>
            </w:r>
          </w:p>
        </w:tc>
      </w:tr>
      <w:tr>
        <w:trPr/>
        <w:tc>
          <w:tcPr>
            <w:tcW w:w="808" w:type="dxa"/>
            <w:gridSpan w:val="3"/>
            <w:tcBorders>
              <w:left w:val="single" w:sz="2"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left w:val="single" w:sz="2" w:space="0" w:color="000000"/>
            </w:tcBorders>
            <w:shd w:fill="DBDBDB" w:val="clear"/>
            <w:tcMar>
              <w:top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15"/>
              </w:rPr>
              <w:t xml:space="preserve">7/2/2022 </w:t>
            </w:r>
            <w:r>
              <w:rPr>
                <w:rFonts w:ascii="Times New Roman;serif" w:hAnsi="Times New Roman;serif"/>
                <w:b w:val="false"/>
                <w:color w:val="000000"/>
                <w:sz w:val="10"/>
              </w:rPr>
              <w:t>(7)</w:t>
            </w:r>
          </w:p>
        </w:tc>
        <w:tc>
          <w:tcPr>
            <w:tcW w:w="8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75"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53,125</w:t>
            </w:r>
          </w:p>
        </w:tc>
        <w:tc>
          <w:tcPr>
            <w:tcW w:w="14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469,094</w:t>
            </w:r>
          </w:p>
        </w:tc>
        <w:tc>
          <w:tcPr>
            <w:tcW w:w="7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126" w:type="dxa"/>
            <w:gridSpan w:val="3"/>
            <w:tcBorders>
              <w:right w:val="single" w:sz="2" w:space="0" w:color="000000"/>
            </w:tcBorders>
            <w:shd w:fill="DBDBDB" w:val="clear"/>
            <w:tcMar>
              <w:top w:w="0" w:type="dxa"/>
              <w:left w:w="0" w:type="dxa"/>
              <w:bottom w:w="0" w:type="dxa"/>
              <w:right w:w="47" w:type="dxa"/>
            </w:tcMar>
            <w:vAlign w:val="center"/>
          </w:tcPr>
          <w:p>
            <w:pPr>
              <w:pStyle w:val="TableContents"/>
              <w:bidi w:val="0"/>
              <w:spacing w:lineRule="auto" w:line="240" w:before="0" w:after="283"/>
              <w:jc w:val="right"/>
              <w:rPr>
                <w:color w:val="000000"/>
              </w:rPr>
            </w:pPr>
            <w:r>
              <w:rPr>
                <w:color w:val="000000"/>
              </w:rPr>
              <w:t>—</w:t>
            </w:r>
          </w:p>
        </w:tc>
      </w:tr>
      <w:tr>
        <w:trPr/>
        <w:tc>
          <w:tcPr>
            <w:tcW w:w="808" w:type="dxa"/>
            <w:gridSpan w:val="3"/>
            <w:tcBorders>
              <w:left w:val="single" w:sz="2"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left w:val="single" w:sz="2" w:space="0" w:color="000000"/>
            </w:tcBorders>
            <w:shd w:fill="DBDBDB" w:val="clear"/>
            <w:tcMar>
              <w:top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15"/>
              </w:rPr>
              <w:t xml:space="preserve">12/8/2022 </w:t>
            </w:r>
            <w:r>
              <w:rPr>
                <w:rFonts w:ascii="Times New Roman;serif" w:hAnsi="Times New Roman;serif"/>
                <w:b w:val="false"/>
                <w:color w:val="000000"/>
                <w:sz w:val="10"/>
              </w:rPr>
              <w:t>(8)</w:t>
            </w:r>
          </w:p>
        </w:tc>
        <w:tc>
          <w:tcPr>
            <w:tcW w:w="8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75"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283,334</w:t>
            </w:r>
          </w:p>
        </w:tc>
        <w:tc>
          <w:tcPr>
            <w:tcW w:w="2126" w:type="dxa"/>
            <w:gridSpan w:val="3"/>
            <w:tcBorders>
              <w:right w:val="single" w:sz="2" w:space="0" w:color="000000"/>
            </w:tcBorders>
            <w:shd w:fill="DBDBDB" w:val="clear"/>
            <w:tcMar>
              <w:top w:w="0" w:type="dxa"/>
              <w:left w:w="0" w:type="dxa"/>
              <w:bottom w:w="0" w:type="dxa"/>
              <w:right w:w="47"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2,501,839</w:t>
            </w:r>
          </w:p>
        </w:tc>
      </w:tr>
      <w:tr>
        <w:trPr/>
        <w:tc>
          <w:tcPr>
            <w:tcW w:w="808" w:type="dxa"/>
            <w:gridSpan w:val="3"/>
            <w:tcBorders>
              <w:left w:val="single" w:sz="2"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left w:val="single" w:sz="2" w:space="0" w:color="000000"/>
            </w:tcBorders>
            <w:shd w:fill="DBDBDB" w:val="clear"/>
            <w:tcMar>
              <w:top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15"/>
              </w:rPr>
              <w:t xml:space="preserve">12/22/2023 </w:t>
            </w:r>
            <w:r>
              <w:rPr>
                <w:rFonts w:ascii="Times New Roman;serif" w:hAnsi="Times New Roman;serif"/>
                <w:b w:val="false"/>
                <w:color w:val="000000"/>
                <w:sz w:val="10"/>
              </w:rPr>
              <w:t>(9)(10)</w:t>
            </w:r>
          </w:p>
        </w:tc>
        <w:tc>
          <w:tcPr>
            <w:tcW w:w="8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662,489 </w:t>
            </w:r>
          </w:p>
        </w:tc>
        <w:tc>
          <w:tcPr>
            <w:tcW w:w="9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6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r>
              <w:rPr>
                <w:color w:val="000000"/>
              </w:rPr>
              <w:t> </w:t>
            </w:r>
            <w:r>
              <w:rPr>
                <w:rFonts w:ascii="Times New Roman;serif" w:hAnsi="Times New Roman;serif"/>
                <w:b w:val="false"/>
                <w:color w:val="000000"/>
                <w:sz w:val="16"/>
              </w:rPr>
              <w:t xml:space="preserve">$31.61 </w:t>
            </w:r>
            <w:r>
              <w:rPr>
                <w:rFonts w:ascii="Times New Roman;serif" w:hAnsi="Times New Roman;serif"/>
                <w:b w:val="false"/>
                <w:color w:val="000000"/>
                <w:sz w:val="10"/>
              </w:rPr>
              <w:t>(11)</w:t>
            </w:r>
          </w:p>
        </w:tc>
        <w:tc>
          <w:tcPr>
            <w:tcW w:w="90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12/21/2033</w:t>
            </w:r>
          </w:p>
        </w:tc>
        <w:tc>
          <w:tcPr>
            <w:tcW w:w="775"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126" w:type="dxa"/>
            <w:gridSpan w:val="3"/>
            <w:tcBorders>
              <w:right w:val="single" w:sz="2" w:space="0" w:color="000000"/>
            </w:tcBorders>
            <w:shd w:fill="DBDBDB" w:val="clear"/>
            <w:tcMar>
              <w:top w:w="0" w:type="dxa"/>
              <w:left w:w="0" w:type="dxa"/>
              <w:bottom w:w="0" w:type="dxa"/>
              <w:right w:w="47" w:type="dxa"/>
            </w:tcMar>
            <w:vAlign w:val="center"/>
          </w:tcPr>
          <w:p>
            <w:pPr>
              <w:pStyle w:val="TableContents"/>
              <w:bidi w:val="0"/>
              <w:spacing w:lineRule="auto" w:line="240" w:before="0" w:after="283"/>
              <w:jc w:val="right"/>
              <w:rPr>
                <w:color w:val="000000"/>
              </w:rPr>
            </w:pPr>
            <w:r>
              <w:rPr>
                <w:color w:val="000000"/>
              </w:rPr>
              <w:t>—</w:t>
            </w:r>
          </w:p>
        </w:tc>
      </w:tr>
      <w:tr>
        <w:trPr/>
        <w:tc>
          <w:tcPr>
            <w:tcW w:w="808" w:type="dxa"/>
            <w:gridSpan w:val="3"/>
            <w:tcBorders>
              <w:left w:val="single" w:sz="2"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left w:val="single" w:sz="2" w:space="0" w:color="000000"/>
            </w:tcBorders>
            <w:shd w:fill="DBDBDB" w:val="clear"/>
            <w:tcMar>
              <w:top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15"/>
              </w:rPr>
              <w:t>12/22/2023 (</w:t>
            </w:r>
            <w:r>
              <w:rPr>
                <w:rFonts w:ascii="Times New Roman;serif" w:hAnsi="Times New Roman;serif"/>
                <w:b w:val="false"/>
                <w:color w:val="000000"/>
                <w:sz w:val="10"/>
              </w:rPr>
              <w:t>12)</w:t>
            </w:r>
          </w:p>
        </w:tc>
        <w:tc>
          <w:tcPr>
            <w:tcW w:w="8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75"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98,210</w:t>
            </w:r>
          </w:p>
        </w:tc>
        <w:tc>
          <w:tcPr>
            <w:tcW w:w="14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867,194</w:t>
            </w:r>
          </w:p>
        </w:tc>
        <w:tc>
          <w:tcPr>
            <w:tcW w:w="7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126" w:type="dxa"/>
            <w:gridSpan w:val="3"/>
            <w:tcBorders>
              <w:right w:val="single" w:sz="2" w:space="0" w:color="000000"/>
            </w:tcBorders>
            <w:shd w:fill="DBDBDB" w:val="clear"/>
            <w:tcMar>
              <w:top w:w="0" w:type="dxa"/>
              <w:left w:w="0" w:type="dxa"/>
              <w:bottom w:w="0" w:type="dxa"/>
              <w:right w:w="47" w:type="dxa"/>
            </w:tcMar>
            <w:vAlign w:val="center"/>
          </w:tcPr>
          <w:p>
            <w:pPr>
              <w:pStyle w:val="TableContents"/>
              <w:bidi w:val="0"/>
              <w:spacing w:lineRule="auto" w:line="240" w:before="0" w:after="283"/>
              <w:jc w:val="right"/>
              <w:rPr>
                <w:color w:val="000000"/>
              </w:rPr>
            </w:pPr>
            <w:r>
              <w:rPr>
                <w:color w:val="000000"/>
              </w:rPr>
              <w:t>—</w:t>
            </w:r>
          </w:p>
        </w:tc>
      </w:tr>
      <w:tr>
        <w:trPr/>
        <w:tc>
          <w:tcPr>
            <w:tcW w:w="808" w:type="dxa"/>
            <w:gridSpan w:val="3"/>
            <w:tcBorders>
              <w:left w:val="single" w:sz="2"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left w:val="single" w:sz="2" w:space="0" w:color="000000"/>
            </w:tcBorders>
            <w:shd w:fill="DBDBDB" w:val="clear"/>
            <w:tcMar>
              <w:top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15"/>
              </w:rPr>
              <w:t xml:space="preserve">9/11/2024 </w:t>
            </w:r>
            <w:r>
              <w:rPr>
                <w:rFonts w:ascii="Times New Roman;serif" w:hAnsi="Times New Roman;serif"/>
                <w:b w:val="false"/>
                <w:color w:val="000000"/>
                <w:sz w:val="10"/>
              </w:rPr>
              <w:t>(10)(13)</w:t>
            </w:r>
          </w:p>
        </w:tc>
        <w:tc>
          <w:tcPr>
            <w:tcW w:w="8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886,244 </w:t>
            </w:r>
          </w:p>
        </w:tc>
        <w:tc>
          <w:tcPr>
            <w:tcW w:w="9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6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r>
              <w:rPr>
                <w:color w:val="000000"/>
              </w:rPr>
              <w:t> </w:t>
            </w:r>
            <w:r>
              <w:rPr>
                <w:rFonts w:ascii="Times New Roman;serif" w:hAnsi="Times New Roman;serif"/>
                <w:b w:val="false"/>
                <w:color w:val="000000"/>
                <w:sz w:val="16"/>
              </w:rPr>
              <w:t xml:space="preserve">$23.55 </w:t>
            </w:r>
            <w:r>
              <w:rPr>
                <w:rFonts w:ascii="Times New Roman;serif" w:hAnsi="Times New Roman;serif"/>
                <w:b w:val="false"/>
                <w:color w:val="000000"/>
                <w:sz w:val="10"/>
              </w:rPr>
              <w:t>(11)</w:t>
            </w:r>
          </w:p>
        </w:tc>
        <w:tc>
          <w:tcPr>
            <w:tcW w:w="90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9/10/2034</w:t>
            </w:r>
          </w:p>
        </w:tc>
        <w:tc>
          <w:tcPr>
            <w:tcW w:w="775"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126" w:type="dxa"/>
            <w:gridSpan w:val="3"/>
            <w:tcBorders>
              <w:right w:val="single" w:sz="2" w:space="0" w:color="000000"/>
            </w:tcBorders>
            <w:shd w:fill="DBDBDB" w:val="clear"/>
            <w:tcMar>
              <w:top w:w="0" w:type="dxa"/>
              <w:left w:w="0" w:type="dxa"/>
              <w:bottom w:w="0" w:type="dxa"/>
              <w:right w:w="47" w:type="dxa"/>
            </w:tcMar>
            <w:vAlign w:val="center"/>
          </w:tcPr>
          <w:p>
            <w:pPr>
              <w:pStyle w:val="TableContents"/>
              <w:bidi w:val="0"/>
              <w:spacing w:lineRule="auto" w:line="240" w:before="0" w:after="283"/>
              <w:jc w:val="right"/>
              <w:rPr>
                <w:color w:val="000000"/>
              </w:rPr>
            </w:pPr>
            <w:r>
              <w:rPr>
                <w:color w:val="000000"/>
              </w:rPr>
              <w:t>—</w:t>
            </w:r>
          </w:p>
        </w:tc>
      </w:tr>
      <w:tr>
        <w:trPr/>
        <w:tc>
          <w:tcPr>
            <w:tcW w:w="808" w:type="dxa"/>
            <w:gridSpan w:val="3"/>
            <w:tcBorders>
              <w:left w:val="single" w:sz="2"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left w:val="single" w:sz="2" w:space="0" w:color="000000"/>
            </w:tcBorders>
            <w:shd w:fill="DBDBDB" w:val="clear"/>
            <w:tcMar>
              <w:top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15"/>
              </w:rPr>
              <w:t xml:space="preserve">9/11/2024 </w:t>
            </w:r>
            <w:r>
              <w:rPr>
                <w:rFonts w:ascii="Times New Roman;serif" w:hAnsi="Times New Roman;serif"/>
                <w:b w:val="false"/>
                <w:color w:val="000000"/>
                <w:sz w:val="10"/>
              </w:rPr>
              <w:t>(14)</w:t>
            </w:r>
          </w:p>
        </w:tc>
        <w:tc>
          <w:tcPr>
            <w:tcW w:w="8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75"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268,761</w:t>
            </w:r>
          </w:p>
        </w:tc>
        <w:tc>
          <w:tcPr>
            <w:tcW w:w="14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2,373,160</w:t>
            </w:r>
          </w:p>
        </w:tc>
        <w:tc>
          <w:tcPr>
            <w:tcW w:w="7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126" w:type="dxa"/>
            <w:gridSpan w:val="3"/>
            <w:tcBorders>
              <w:right w:val="single" w:sz="2" w:space="0" w:color="000000"/>
            </w:tcBorders>
            <w:shd w:fill="DBDBDB" w:val="clear"/>
            <w:tcMar>
              <w:top w:w="0" w:type="dxa"/>
              <w:left w:w="0" w:type="dxa"/>
              <w:bottom w:w="0" w:type="dxa"/>
              <w:right w:w="47" w:type="dxa"/>
            </w:tcMar>
            <w:vAlign w:val="center"/>
          </w:tcPr>
          <w:p>
            <w:pPr>
              <w:pStyle w:val="TableContents"/>
              <w:bidi w:val="0"/>
              <w:spacing w:lineRule="auto" w:line="240" w:before="0" w:after="283"/>
              <w:jc w:val="right"/>
              <w:rPr>
                <w:color w:val="000000"/>
              </w:rPr>
            </w:pPr>
            <w:r>
              <w:rPr>
                <w:color w:val="000000"/>
              </w:rPr>
              <w:t>—</w:t>
            </w:r>
          </w:p>
        </w:tc>
      </w:tr>
      <w:tr>
        <w:trPr/>
        <w:tc>
          <w:tcPr>
            <w:tcW w:w="808" w:type="dxa"/>
            <w:gridSpan w:val="3"/>
            <w:tcBorders>
              <w:left w:val="single" w:sz="2"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left w:val="single" w:sz="2" w:space="0" w:color="000000"/>
            </w:tcBorders>
            <w:shd w:fill="DBDBDB" w:val="clear"/>
            <w:tcMar>
              <w:top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15"/>
              </w:rPr>
              <w:t xml:space="preserve">12/11/2025 </w:t>
            </w:r>
            <w:r>
              <w:rPr>
                <w:rFonts w:ascii="Times New Roman;serif" w:hAnsi="Times New Roman;serif"/>
                <w:b w:val="false"/>
                <w:color w:val="000000"/>
                <w:sz w:val="10"/>
              </w:rPr>
              <w:t>(10)(15)</w:t>
            </w:r>
          </w:p>
        </w:tc>
        <w:tc>
          <w:tcPr>
            <w:tcW w:w="8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1,133,474 </w:t>
            </w:r>
          </w:p>
        </w:tc>
        <w:tc>
          <w:tcPr>
            <w:tcW w:w="9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6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r>
              <w:rPr>
                <w:color w:val="000000"/>
              </w:rPr>
              <w:t> </w:t>
            </w:r>
            <w:r>
              <w:rPr>
                <w:rFonts w:ascii="Times New Roman;serif" w:hAnsi="Times New Roman;serif"/>
                <w:b w:val="false"/>
                <w:color w:val="000000"/>
                <w:sz w:val="15"/>
              </w:rPr>
              <w:t xml:space="preserve">$17.51 </w:t>
            </w:r>
            <w:r>
              <w:rPr>
                <w:rFonts w:ascii="Times New Roman;serif" w:hAnsi="Times New Roman;serif"/>
                <w:b w:val="false"/>
                <w:color w:val="000000"/>
                <w:sz w:val="10"/>
              </w:rPr>
              <w:t>(11)</w:t>
            </w:r>
          </w:p>
        </w:tc>
        <w:tc>
          <w:tcPr>
            <w:tcW w:w="9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12/10/2035</w:t>
            </w:r>
          </w:p>
        </w:tc>
        <w:tc>
          <w:tcPr>
            <w:tcW w:w="775"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126" w:type="dxa"/>
            <w:gridSpan w:val="3"/>
            <w:tcBorders>
              <w:right w:val="single" w:sz="2" w:space="0" w:color="000000"/>
            </w:tcBorders>
            <w:shd w:fill="DBDBDB" w:val="clear"/>
            <w:tcMar>
              <w:top w:w="0" w:type="dxa"/>
              <w:left w:w="0" w:type="dxa"/>
              <w:bottom w:w="0" w:type="dxa"/>
              <w:right w:w="47" w:type="dxa"/>
            </w:tcMar>
            <w:vAlign w:val="center"/>
          </w:tcPr>
          <w:p>
            <w:pPr>
              <w:pStyle w:val="TableContents"/>
              <w:bidi w:val="0"/>
              <w:spacing w:lineRule="auto" w:line="240" w:before="0" w:after="283"/>
              <w:jc w:val="right"/>
              <w:rPr>
                <w:color w:val="000000"/>
              </w:rPr>
            </w:pPr>
            <w:r>
              <w:rPr>
                <w:color w:val="000000"/>
              </w:rPr>
              <w:t>—</w:t>
            </w:r>
          </w:p>
        </w:tc>
      </w:tr>
      <w:tr>
        <w:trPr/>
        <w:tc>
          <w:tcPr>
            <w:tcW w:w="808" w:type="dxa"/>
            <w:gridSpan w:val="3"/>
            <w:tcBorders>
              <w:left w:val="single" w:sz="2"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left w:val="single" w:sz="2" w:space="0" w:color="000000"/>
            </w:tcBorders>
            <w:shd w:fill="DBDBDB" w:val="clear"/>
            <w:tcMar>
              <w:top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15"/>
              </w:rPr>
              <w:t xml:space="preserve">12/11/2025 </w:t>
            </w:r>
            <w:r>
              <w:rPr>
                <w:rFonts w:ascii="Times New Roman;serif" w:hAnsi="Times New Roman;serif"/>
                <w:b w:val="false"/>
                <w:color w:val="000000"/>
                <w:sz w:val="10"/>
              </w:rPr>
              <w:t>(16)</w:t>
            </w:r>
          </w:p>
        </w:tc>
        <w:tc>
          <w:tcPr>
            <w:tcW w:w="8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75"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722,362 </w:t>
            </w:r>
          </w:p>
        </w:tc>
        <w:tc>
          <w:tcPr>
            <w:tcW w:w="14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6,378,456</w:t>
            </w:r>
          </w:p>
        </w:tc>
        <w:tc>
          <w:tcPr>
            <w:tcW w:w="7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126" w:type="dxa"/>
            <w:gridSpan w:val="3"/>
            <w:tcBorders>
              <w:right w:val="single" w:sz="2" w:space="0" w:color="000000"/>
            </w:tcBorders>
            <w:shd w:fill="DBDBDB" w:val="clear"/>
            <w:tcMar>
              <w:top w:w="0" w:type="dxa"/>
              <w:left w:w="0" w:type="dxa"/>
              <w:bottom w:w="0" w:type="dxa"/>
              <w:right w:w="47" w:type="dxa"/>
            </w:tcMar>
            <w:vAlign w:val="center"/>
          </w:tcPr>
          <w:p>
            <w:pPr>
              <w:pStyle w:val="TableContents"/>
              <w:bidi w:val="0"/>
              <w:spacing w:lineRule="auto" w:line="240" w:before="0" w:after="283"/>
              <w:jc w:val="right"/>
              <w:rPr>
                <w:color w:val="000000"/>
              </w:rPr>
            </w:pPr>
            <w:r>
              <w:rPr>
                <w:color w:val="000000"/>
              </w:rPr>
              <w:t>—</w:t>
            </w:r>
          </w:p>
        </w:tc>
      </w:tr>
      <w:tr>
        <w:trPr/>
        <w:tc>
          <w:tcPr>
            <w:tcW w:w="808" w:type="dxa"/>
            <w:gridSpan w:val="3"/>
            <w:tcBorders>
              <w:left w:val="single" w:sz="2"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Hitesh Lath</w:t>
            </w:r>
          </w:p>
        </w:tc>
        <w:tc>
          <w:tcPr>
            <w:tcW w:w="592" w:type="dxa"/>
            <w:gridSpan w:val="3"/>
            <w:tcBorders>
              <w:left w:val="single" w:sz="2" w:space="0" w:color="000000"/>
            </w:tcBorders>
            <w:tcMar>
              <w:top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5"/>
              </w:rPr>
              <w:t xml:space="preserve">12/15/2023 </w:t>
            </w:r>
            <w:r>
              <w:rPr>
                <w:rFonts w:ascii="Times New Roman;serif" w:hAnsi="Times New Roman;serif"/>
                <w:b w:val="false"/>
                <w:color w:val="000000"/>
                <w:sz w:val="10"/>
              </w:rPr>
              <w:t>(17)</w:t>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75"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88,085</w:t>
            </w:r>
          </w:p>
        </w:tc>
        <w:tc>
          <w:tcPr>
            <w:tcW w:w="14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777,791</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126" w:type="dxa"/>
            <w:gridSpan w:val="3"/>
            <w:tcBorders>
              <w:right w:val="single" w:sz="2" w:space="0" w:color="000000"/>
            </w:tcBorders>
            <w:tcMar>
              <w:top w:w="0" w:type="dxa"/>
              <w:left w:w="0" w:type="dxa"/>
              <w:bottom w:w="0" w:type="dxa"/>
              <w:right w:w="47" w:type="dxa"/>
            </w:tcMar>
            <w:vAlign w:val="center"/>
          </w:tcPr>
          <w:p>
            <w:pPr>
              <w:pStyle w:val="TableContents"/>
              <w:bidi w:val="0"/>
              <w:spacing w:lineRule="auto" w:line="240" w:before="0" w:after="283"/>
              <w:jc w:val="right"/>
              <w:rPr>
                <w:color w:val="000000"/>
              </w:rPr>
            </w:pPr>
            <w:r>
              <w:rPr>
                <w:color w:val="000000"/>
              </w:rPr>
              <w:t>—</w:t>
            </w:r>
          </w:p>
        </w:tc>
      </w:tr>
      <w:tr>
        <w:trPr/>
        <w:tc>
          <w:tcPr>
            <w:tcW w:w="808"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left w:val="single" w:sz="2" w:space="0" w:color="000000"/>
            </w:tcBorders>
            <w:tcMar>
              <w:top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5"/>
              </w:rPr>
              <w:t xml:space="preserve">6/9/2024 </w:t>
            </w:r>
            <w:r>
              <w:rPr>
                <w:rFonts w:ascii="Times New Roman;serif" w:hAnsi="Times New Roman;serif"/>
                <w:b w:val="false"/>
                <w:color w:val="000000"/>
                <w:sz w:val="10"/>
              </w:rPr>
              <w:t>(18)</w:t>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75"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13,000</w:t>
            </w:r>
          </w:p>
        </w:tc>
        <w:tc>
          <w:tcPr>
            <w:tcW w:w="14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114,790</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126" w:type="dxa"/>
            <w:gridSpan w:val="3"/>
            <w:tcBorders>
              <w:right w:val="single" w:sz="2" w:space="0" w:color="000000"/>
            </w:tcBorders>
            <w:tcMar>
              <w:top w:w="0" w:type="dxa"/>
              <w:left w:w="0" w:type="dxa"/>
              <w:bottom w:w="0" w:type="dxa"/>
              <w:right w:w="47" w:type="dxa"/>
            </w:tcMar>
            <w:vAlign w:val="center"/>
          </w:tcPr>
          <w:p>
            <w:pPr>
              <w:pStyle w:val="TableContents"/>
              <w:bidi w:val="0"/>
              <w:spacing w:lineRule="auto" w:line="240" w:before="0" w:after="283"/>
              <w:jc w:val="right"/>
              <w:rPr>
                <w:color w:val="000000"/>
              </w:rPr>
            </w:pPr>
            <w:r>
              <w:rPr>
                <w:color w:val="000000"/>
              </w:rPr>
              <w:t>—</w:t>
            </w:r>
          </w:p>
        </w:tc>
      </w:tr>
      <w:tr>
        <w:trPr/>
        <w:tc>
          <w:tcPr>
            <w:tcW w:w="808"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left w:val="single" w:sz="2" w:space="0" w:color="000000"/>
            </w:tcBorders>
            <w:tcMar>
              <w:top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15"/>
              </w:rPr>
              <w:t xml:space="preserve">9/11/2024 </w:t>
            </w:r>
            <w:r>
              <w:rPr>
                <w:rFonts w:ascii="Times New Roman;serif" w:hAnsi="Times New Roman;serif"/>
                <w:b w:val="false"/>
                <w:color w:val="000000"/>
                <w:sz w:val="10"/>
              </w:rPr>
              <w:t>(19)</w:t>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75"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280,000</w:t>
            </w:r>
          </w:p>
        </w:tc>
        <w:tc>
          <w:tcPr>
            <w:tcW w:w="14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2,472,400</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126" w:type="dxa"/>
            <w:gridSpan w:val="3"/>
            <w:tcBorders>
              <w:right w:val="single" w:sz="2" w:space="0" w:color="000000"/>
            </w:tcBorders>
            <w:tcMar>
              <w:top w:w="0" w:type="dxa"/>
              <w:left w:w="0" w:type="dxa"/>
              <w:bottom w:w="0" w:type="dxa"/>
              <w:right w:w="47" w:type="dxa"/>
            </w:tcMar>
            <w:vAlign w:val="center"/>
          </w:tcPr>
          <w:p>
            <w:pPr>
              <w:pStyle w:val="TableContents"/>
              <w:bidi w:val="0"/>
              <w:spacing w:lineRule="auto" w:line="240" w:before="0" w:after="283"/>
              <w:jc w:val="right"/>
              <w:rPr>
                <w:color w:val="000000"/>
              </w:rPr>
            </w:pPr>
            <w:r>
              <w:rPr>
                <w:color w:val="000000"/>
              </w:rPr>
              <w:t>—</w:t>
            </w:r>
          </w:p>
        </w:tc>
      </w:tr>
      <w:tr>
        <w:trPr/>
        <w:tc>
          <w:tcPr>
            <w:tcW w:w="808"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left w:val="single" w:sz="2" w:space="0" w:color="000000"/>
            </w:tcBorders>
            <w:tcMar>
              <w:top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15"/>
              </w:rPr>
              <w:t xml:space="preserve">6/26/2025 </w:t>
            </w:r>
            <w:r>
              <w:rPr>
                <w:rFonts w:ascii="Times New Roman;serif" w:hAnsi="Times New Roman;serif"/>
                <w:b w:val="false"/>
                <w:color w:val="000000"/>
                <w:sz w:val="10"/>
              </w:rPr>
              <w:t>(20)</w:t>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75"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160,000</w:t>
            </w:r>
          </w:p>
        </w:tc>
        <w:tc>
          <w:tcPr>
            <w:tcW w:w="14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1,412,800</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126" w:type="dxa"/>
            <w:gridSpan w:val="3"/>
            <w:tcBorders>
              <w:right w:val="single" w:sz="2" w:space="0" w:color="000000"/>
            </w:tcBorders>
            <w:tcMar>
              <w:top w:w="0" w:type="dxa"/>
              <w:left w:w="0" w:type="dxa"/>
              <w:bottom w:w="0" w:type="dxa"/>
              <w:right w:w="47" w:type="dxa"/>
            </w:tcMar>
            <w:vAlign w:val="center"/>
          </w:tcPr>
          <w:p>
            <w:pPr>
              <w:pStyle w:val="TableContents"/>
              <w:bidi w:val="0"/>
              <w:spacing w:lineRule="auto" w:line="240" w:before="0" w:after="283"/>
              <w:jc w:val="right"/>
              <w:rPr>
                <w:color w:val="000000"/>
              </w:rPr>
            </w:pPr>
            <w:r>
              <w:rPr>
                <w:color w:val="000000"/>
              </w:rPr>
              <w:t>—</w:t>
            </w:r>
          </w:p>
        </w:tc>
      </w:tr>
      <w:tr>
        <w:trPr/>
        <w:tc>
          <w:tcPr>
            <w:tcW w:w="808"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left w:val="single" w:sz="2" w:space="0" w:color="000000"/>
            </w:tcBorders>
            <w:tcMar>
              <w:top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16"/>
              </w:rPr>
              <w:t xml:space="preserve">3/2/2026 </w:t>
            </w:r>
            <w:r>
              <w:rPr>
                <w:rFonts w:ascii="Times New Roman;serif" w:hAnsi="Times New Roman;serif"/>
                <w:b w:val="false"/>
                <w:color w:val="000000"/>
                <w:sz w:val="10"/>
              </w:rPr>
              <w:t>(21)</w:t>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w:t>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$8.6500</w:t>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3/1/2036</w:t>
            </w:r>
          </w:p>
        </w:tc>
        <w:tc>
          <w:tcPr>
            <w:tcW w:w="775"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2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126" w:type="dxa"/>
            <w:gridSpan w:val="3"/>
            <w:tcBorders>
              <w:right w:val="single" w:sz="2" w:space="0" w:color="000000"/>
            </w:tcBorders>
            <w:tcMar>
              <w:top w:w="0" w:type="dxa"/>
              <w:left w:w="0" w:type="dxa"/>
              <w:bottom w:w="0" w:type="dxa"/>
              <w:right w:w="47" w:type="dxa"/>
            </w:tcMar>
            <w:vAlign w:val="center"/>
          </w:tcPr>
          <w:p>
            <w:pPr>
              <w:pStyle w:val="TableContents"/>
              <w:bidi w:val="0"/>
              <w:spacing w:lineRule="auto" w:line="240" w:before="0" w:after="283"/>
              <w:jc w:val="right"/>
              <w:rPr>
                <w:color w:val="000000"/>
              </w:rPr>
            </w:pPr>
            <w:r>
              <w:rPr>
                <w:color w:val="000000"/>
              </w:rPr>
              <w:t>—</w:t>
            </w:r>
          </w:p>
        </w:tc>
      </w:tr>
      <w:tr>
        <w:trPr/>
        <w:tc>
          <w:tcPr>
            <w:tcW w:w="808" w:type="dxa"/>
            <w:gridSpan w:val="3"/>
            <w:tcBorders>
              <w:left w:val="single" w:sz="2" w:space="0" w:color="000000"/>
            </w:tcBorders>
            <w:shd w:fill="DBDBDB"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Stephen Ehikian</w:t>
            </w:r>
          </w:p>
        </w:tc>
        <w:tc>
          <w:tcPr>
            <w:tcW w:w="592" w:type="dxa"/>
            <w:gridSpan w:val="3"/>
            <w:tcBorders>
              <w:left w:val="single" w:sz="2" w:space="0" w:color="000000"/>
            </w:tcBorders>
            <w:shd w:fill="DBDBDB" w:val="clear"/>
            <w:tcMar>
              <w:top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16"/>
              </w:rPr>
              <w:t xml:space="preserve">9/15/2025 </w:t>
            </w:r>
            <w:r>
              <w:rPr>
                <w:rFonts w:ascii="Times New Roman;serif" w:hAnsi="Times New Roman;serif"/>
                <w:b w:val="false"/>
                <w:color w:val="000000"/>
                <w:sz w:val="10"/>
              </w:rPr>
              <w:t>(22)</w:t>
            </w:r>
          </w:p>
        </w:tc>
        <w:tc>
          <w:tcPr>
            <w:tcW w:w="8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128,213</w:t>
            </w:r>
          </w:p>
        </w:tc>
        <w:tc>
          <w:tcPr>
            <w:tcW w:w="9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1,153,926</w:t>
            </w:r>
          </w:p>
        </w:tc>
        <w:tc>
          <w:tcPr>
            <w:tcW w:w="9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$17.5300</w:t>
            </w:r>
          </w:p>
        </w:tc>
        <w:tc>
          <w:tcPr>
            <w:tcW w:w="9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9/14/2035</w:t>
            </w:r>
          </w:p>
        </w:tc>
        <w:tc>
          <w:tcPr>
            <w:tcW w:w="775"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126" w:type="dxa"/>
            <w:gridSpan w:val="3"/>
            <w:tcBorders>
              <w:right w:val="single" w:sz="2" w:space="0" w:color="000000"/>
            </w:tcBorders>
            <w:shd w:fill="DBDBDB" w:val="clear"/>
            <w:tcMar>
              <w:top w:w="0" w:type="dxa"/>
              <w:left w:w="0" w:type="dxa"/>
              <w:bottom w:w="0" w:type="dxa"/>
              <w:right w:w="47" w:type="dxa"/>
            </w:tcMar>
            <w:vAlign w:val="center"/>
          </w:tcPr>
          <w:p>
            <w:pPr>
              <w:pStyle w:val="TableContents"/>
              <w:bidi w:val="0"/>
              <w:spacing w:lineRule="auto" w:line="240" w:before="0" w:after="283"/>
              <w:jc w:val="right"/>
              <w:rPr>
                <w:color w:val="000000"/>
              </w:rPr>
            </w:pPr>
            <w:r>
              <w:rPr>
                <w:color w:val="000000"/>
              </w:rPr>
              <w:t>—</w:t>
            </w:r>
          </w:p>
        </w:tc>
      </w:tr>
      <w:tr>
        <w:trPr/>
        <w:tc>
          <w:tcPr>
            <w:tcW w:w="808" w:type="dxa"/>
            <w:gridSpan w:val="3"/>
            <w:tcBorders>
              <w:left w:val="single" w:sz="2" w:space="0" w:color="000000"/>
              <w:bottom w:val="single" w:sz="2" w:space="0" w:color="000000"/>
            </w:tcBorders>
            <w:shd w:fill="DBDBDB" w:val="clear"/>
            <w:tcMar>
              <w:top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left w:val="single" w:sz="2" w:space="0" w:color="000000"/>
              <w:bottom w:val="single" w:sz="2" w:space="0" w:color="000000"/>
            </w:tcBorders>
            <w:shd w:fill="DBDBDB" w:val="clear"/>
            <w:tcMar>
              <w:top w:w="0" w:type="dxa"/>
              <w:bottom w:w="3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5"/>
              </w:rPr>
              <w:t xml:space="preserve">9/15/2025 </w:t>
            </w:r>
            <w:r>
              <w:rPr>
                <w:rFonts w:ascii="Times New Roman;serif" w:hAnsi="Times New Roman;serif"/>
                <w:b w:val="false"/>
                <w:color w:val="000000"/>
                <w:sz w:val="10"/>
              </w:rPr>
              <w:t>(23)</w:t>
            </w:r>
          </w:p>
        </w:tc>
        <w:tc>
          <w:tcPr>
            <w:tcW w:w="892" w:type="dxa"/>
            <w:gridSpan w:val="3"/>
            <w:tcBorders>
              <w:bottom w:val="single" w:sz="2"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946" w:type="dxa"/>
            <w:gridSpan w:val="3"/>
            <w:tcBorders>
              <w:bottom w:val="single" w:sz="2"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964" w:type="dxa"/>
            <w:gridSpan w:val="3"/>
            <w:tcBorders>
              <w:bottom w:val="single" w:sz="2"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907" w:type="dxa"/>
            <w:gridSpan w:val="3"/>
            <w:tcBorders>
              <w:bottom w:val="single" w:sz="2"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775" w:type="dxa"/>
            <w:gridSpan w:val="3"/>
            <w:tcBorders>
              <w:left w:val="single" w:sz="4" w:space="0" w:color="000000"/>
              <w:bottom w:val="single" w:sz="2" w:space="0" w:color="000000"/>
            </w:tcBorders>
            <w:shd w:fill="DBDBDB" w:val="clear"/>
            <w:tcMar>
              <w:top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674,169</w:t>
            </w:r>
          </w:p>
        </w:tc>
        <w:tc>
          <w:tcPr>
            <w:tcW w:w="1429" w:type="dxa"/>
            <w:gridSpan w:val="3"/>
            <w:tcBorders>
              <w:bottom w:val="single" w:sz="2"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5,952,912</w:t>
            </w:r>
          </w:p>
        </w:tc>
        <w:tc>
          <w:tcPr>
            <w:tcW w:w="766" w:type="dxa"/>
            <w:gridSpan w:val="3"/>
            <w:tcBorders>
              <w:bottom w:val="single" w:sz="2"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2126" w:type="dxa"/>
            <w:gridSpan w:val="3"/>
            <w:tcBorders>
              <w:bottom w:val="single" w:sz="2" w:space="0" w:color="000000"/>
              <w:right w:val="single" w:sz="2" w:space="0" w:color="000000"/>
            </w:tcBorders>
            <w:shd w:fill="DBDBDB" w:val="clear"/>
            <w:tcMar>
              <w:top w:w="0" w:type="dxa"/>
              <w:left w:w="0" w:type="dxa"/>
              <w:bottom w:w="30" w:type="dxa"/>
              <w:right w:w="47"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(1)All equity awards listed in this table were granted under the C3.ai, Inc. 2012 Equity Incentive Plan (the “2012 Plan”), the 2020 Plan or the 2025 Inducement Plan, as applicable. </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(2)Except as otherwise noted, all options were granted with a per share exercise price equal to the fair market value of one share of our Class A common stock on the grant date, as determined in good faith by our board of directors or compensation committee, as applicable.</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(3)Market value is calculated based on the closing price of our Class A common stock on April 30, 2026, which was $8.83, as reported on NYSE.</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(4)These stock options are fully vested.</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(5)Three percent (3%) of the shares subject to the stock option vest monthly for 12 months following July 16, 2021, and the remainder of the unvested shares subject to the stock option vest and become exercisable in equal monthly installments over the 48-month period thereafter, subject to Mr. Siebel’s continuous service through each vesting date. The stock option is subject to acceleration upon certain events as described in the section titled “Potential Payments upon Termination or Change in Control.”</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(6)The shares subject to this option were granted with a per share exercise price equal to 125% of the fair market value of one share of our Class A common stock on the grant date, as determined in good faith by our board of directors or compensation committee, as applicable.</w:t>
      </w:r>
    </w:p>
    <w:p>
      <w:pPr>
        <w:pStyle w:val="TextBody"/>
        <w:bidi w:val="0"/>
        <w:spacing w:lineRule="auto" w:line="288" w:before="180" w:after="180"/>
        <w:ind w:left="0" w:right="0" w:hanging="360"/>
        <w:jc w:val="both"/>
        <w:rPr/>
      </w:pPr>
      <w:r>
        <w:rPr>
          <w:rFonts w:ascii="Times New Roman;serif" w:hAnsi="Times New Roman;serif"/>
          <w:b w:val="false"/>
          <w:color w:val="000000"/>
          <w:sz w:val="16"/>
        </w:rPr>
        <w:t>(7)1/16</w:t>
      </w:r>
      <w:r>
        <w:rPr>
          <w:rFonts w:ascii="Times New Roman;serif" w:hAnsi="Times New Roman;serif"/>
          <w:b w:val="false"/>
          <w:color w:val="000000"/>
          <w:sz w:val="10"/>
        </w:rPr>
        <w:t>th</w:t>
      </w:r>
      <w:r>
        <w:rPr>
          <w:color w:val="000000"/>
        </w:rPr>
        <w:t xml:space="preserve"> </w:t>
      </w:r>
      <w:r>
        <w:rPr>
          <w:rFonts w:ascii="Times New Roman;serif" w:hAnsi="Times New Roman;serif"/>
          <w:b w:val="false"/>
          <w:color w:val="000000"/>
          <w:sz w:val="16"/>
        </w:rPr>
        <w:t>of the total number of shares underlying this RSU award vest on each quarterly anniversary of May 1, 2022, subject to the holder’s continuous service with us as of each applicable vesting date. The RSU award is subject to acceleration upon certain events as described in the section titled “Potential Payments upon Termination or Change in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036955"/>
                <wp:effectExtent l="0" t="0" r="0" b="0"/>
                <wp:wrapNone/>
                <wp:docPr id="53" name="Frame53"/>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(8)This PRSU award is divided into three approximately equal tranches, each of which requires both (i) the achievement of the applicable stock price hurdle (as set forth in the table below) and (ii) Mr. Siebel’s continuous service with us as of the applicable earliest vest date (as set forth in the table below) or, if later, the date on which the applicable stock price hurdle is achieved. The stock price hurdles set forth in the table below will be met when the average closing price of our Class A common stock during a period of 90 consecutive trading days (the “average stock price”) that commences on or following December 16, 2022, equals or exceeds the applicable stock price hurdle. The stock price hurdles are not required to be met prior to the earliest vest date associated with the tranche in the table below, but any tranche of the PRSU award will be forfeited for no consideration if the applicable stock price hurdle is not achieved on or before December 31, 2027. In addition, if on or before the first, second or third earliest vest date, the highest average stock price in the period prior to such earliest vest date (a twelve-month period for the second and third earliest vest date, and for the first earliest vest date, a period from December 16, 2022 until August 2, 2024) is higher than the stock price hurdle for such period as specified in the table below, then up to an additional 283,333 shares (the “additional shares”) will vest on the applicable earliest vest date. If such highest average stock price is at least $21.80 for the first period, $25.60 for the second period or $29.30 for the third period (each, an “overperformance hurdle”), then 283,333 additional shares will vest. If such highest average stock price is above the stock price hurdle but below the overperformance hurdle for any such period, then an amount between 1% and 100% of 283,333 additional shares will vest, calculated on a straight-line basis. However, no additional shares for any of the first, second or third periods will vest on such early basis if such price targets are not achieved before the earliest vest date for such period, even if achieved following such date. Each overperformance hurdle was determined based upon the sum of (i) the respective stock price hurdle, plus (ii) an amount equal to 25% of the difference between (a) the respective stock price hurdle, and (b) $12.90 (the closing price of the Company’s Class A common stock on December 8, 2022). In no event will more than an aggregate of 1,700,000 shares be deemed vested pursuant to the PRSU award. The PRSU award is subject to acceleration upon certain events as described in the section titled “Potential Payments upon Termination or Change in Control.” </w:t>
      </w:r>
    </w:p>
    <w:tbl>
      <w:tblPr>
        <w:tblW w:w="5160" w:type="dxa"/>
        <w:jc w:val="left"/>
        <w:tblInd w:w="0" w:type="dxa"/>
        <w:tblLayout w:type="fixed"/>
        <w:tblCellMar>
          <w:top w:w="28" w:type="dxa"/>
          <w:left w:w="28" w:type="dxa"/>
          <w:bottom w:w="28" w:type="dxa"/>
          <w:right w:w="28" w:type="dxa"/>
        </w:tblCellMar>
      </w:tblPr>
      <w:tblGrid>
        <w:gridCol w:w="261"/>
        <w:gridCol w:w="229"/>
        <w:gridCol w:w="231"/>
        <w:gridCol w:w="469"/>
        <w:gridCol w:w="469"/>
        <w:gridCol w:w="471"/>
        <w:gridCol w:w="524"/>
        <w:gridCol w:w="524"/>
        <w:gridCol w:w="527"/>
        <w:gridCol w:w="425"/>
        <w:gridCol w:w="425"/>
        <w:gridCol w:w="605"/>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Tranche</w:t>
            </w:r>
          </w:p>
        </w:tc>
        <w:tc>
          <w:tcPr>
            <w:tcW w:w="14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Earliest Vest Date</w:t>
            </w:r>
          </w:p>
        </w:tc>
        <w:tc>
          <w:tcPr>
            <w:tcW w:w="15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 Price Hurdle*</w:t>
            </w:r>
          </w:p>
        </w:tc>
        <w:tc>
          <w:tcPr>
            <w:tcW w:w="14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r>
      <w:tr>
        <w:trPr/>
        <w:tc>
          <w:tcPr>
            <w:tcW w:w="721"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1409"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 2024</w:t>
            </w:r>
          </w:p>
        </w:tc>
        <w:tc>
          <w:tcPr>
            <w:tcW w:w="1575"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$20.00</w:t>
            </w:r>
          </w:p>
        </w:tc>
        <w:tc>
          <w:tcPr>
            <w:tcW w:w="1455"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283,333</w:t>
            </w:r>
          </w:p>
        </w:tc>
      </w:tr>
      <w:tr>
        <w:trPr/>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4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 2025</w:t>
            </w:r>
          </w:p>
        </w:tc>
        <w:tc>
          <w:tcPr>
            <w:tcW w:w="15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$23.00</w:t>
            </w:r>
          </w:p>
        </w:tc>
        <w:tc>
          <w:tcPr>
            <w:tcW w:w="14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283,333</w:t>
            </w:r>
          </w:p>
        </w:tc>
      </w:tr>
      <w:tr>
        <w:trPr/>
        <w:tc>
          <w:tcPr>
            <w:tcW w:w="721" w:type="dxa"/>
            <w:gridSpan w:val="3"/>
            <w:tcBorders>
              <w:top w:val="single" w:sz="4" w:space="0" w:color="000000"/>
              <w:left w:val="single" w:sz="4" w:space="0" w:color="000000"/>
              <w:bottom w:val="single" w:sz="4" w:space="0" w:color="000000"/>
            </w:tcBorders>
            <w:shd w:fill="DBDBDB"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1409" w:type="dxa"/>
            <w:gridSpan w:val="3"/>
            <w:tcBorders>
              <w:top w:val="single" w:sz="4" w:space="0" w:color="000000"/>
              <w:left w:val="single" w:sz="4" w:space="0" w:color="000000"/>
              <w:bottom w:val="single" w:sz="4" w:space="0" w:color="000000"/>
            </w:tcBorders>
            <w:shd w:fill="DBDBDB"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 2026</w:t>
            </w:r>
          </w:p>
        </w:tc>
        <w:tc>
          <w:tcPr>
            <w:tcW w:w="1575" w:type="dxa"/>
            <w:gridSpan w:val="3"/>
            <w:tcBorders>
              <w:top w:val="single" w:sz="4" w:space="0" w:color="000000"/>
              <w:left w:val="single" w:sz="4" w:space="0" w:color="000000"/>
              <w:bottom w:val="single" w:sz="4" w:space="0" w:color="000000"/>
            </w:tcBorders>
            <w:shd w:fill="DBDBDB"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$26.00</w:t>
            </w:r>
          </w:p>
        </w:tc>
        <w:tc>
          <w:tcPr>
            <w:tcW w:w="1455" w:type="dxa"/>
            <w:gridSpan w:val="3"/>
            <w:tcBorders>
              <w:top w:val="single" w:sz="4" w:space="0" w:color="000000"/>
              <w:left w:val="single" w:sz="4" w:space="0" w:color="000000"/>
              <w:bottom w:val="single" w:sz="4" w:space="0" w:color="000000"/>
              <w:right w:val="single" w:sz="4" w:space="0" w:color="000000"/>
            </w:tcBorders>
            <w:shd w:fill="DBDBDB" w:val="clear"/>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283,334</w:t>
            </w:r>
          </w:p>
        </w:tc>
      </w:tr>
    </w:tbl>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*The Company’s share price was $12.90 at close on the date of the PRSU grant, December 8, 2022.</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(9)1/3rd of the shares subject to the option grant shall vest on December 1, 2024, and 1/12th of the shares subject to the option grant shall vest each quarter thereafter, so long as Mr. Siebel continues to provide services through such vesting date. The stock option is subject to acceleration upon certain events as described in the section titled “Potential Payments upon Termination or Change in Control.”</w:t>
      </w:r>
    </w:p>
    <w:p>
      <w:pPr>
        <w:pStyle w:val="TextBody"/>
        <w:bidi w:val="0"/>
        <w:spacing w:lineRule="auto" w:line="240"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(10)All stock options may be exercised prior to vesting, subject to a repurchase right in favor of the Company. </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(11)The shares subject to this option were granted with a per share exercise price equal to 110% of the fair market value of one share of our Class A common stock on the grant date, as determined in good faith by our board of directors or compensation committee, as applicable.</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(12)1/12th of the RSUs shall vest on each quarterly anniversary from December 1, 2023, so long as Mr. Siebel continues to provide services through such vesting date. The RSU is subject to acceleration upon certain events as described in the section titled “Potential Payments upon Termination or Change in Control.”</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(13)1/3rd of the shares subject to the option grant shall vest on September 11, 2025, and 1/3rd of the shares subject to the option grant shall vest on each subsequent annual anniversary thereafter, so long as Mr. Siebel continues to provide services through such vesting date. This stock option grant is subject to acceleration upon certain events as described in the section titled “Potential Payments upon Termination or Change in Control.” </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(14)1/3rd of such RSUs shall vest on the 12-month anniversary from September 11, 2024, and 1/12th of the RSU award shall vest quarterly thereafter, so long as Mr. Siebel continues to provide services through such vesting date. This RSU award is subject to acceleration upon certain events as described in the section titled “Potential Payments upon Termination or Change in Control.” </w:t>
      </w:r>
    </w:p>
    <w:p>
      <w:pPr>
        <w:pStyle w:val="TextBody"/>
        <w:bidi w:val="0"/>
        <w:spacing w:lineRule="auto" w:line="240"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(15)The stock option vests in three equal annual installments, with the first installment vesting on December 11, 2026, and the remaining installments vesting on each subsequent annual anniversary thereafter, so long as Mr. Siebel continues to provide services through the applicable vesting date. </w:t>
      </w:r>
    </w:p>
    <w:p>
      <w:pPr>
        <w:pStyle w:val="TextBody"/>
        <w:bidi w:val="0"/>
        <w:spacing w:lineRule="auto" w:line="240"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(16)One-third of such RSUs shall vest on December 11, 2026, and 1/12th of the RSU award shall vest quarterly thereafter, so long as Mr. Siebel continues to provide services through such vesting date.</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(17)Five percent (5%) of such RSU award vested on March 15, 2024, and 5% of such RSU award vests on a quarterly basis thereafter, so long as Mr. Lath continues to provide services through such vesting date. The RSU award is subject to acceleration upon certain events as described in the section titled “Potential Payments upon Termination or Change in Control.”</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(18)Twenty percent (20%) of such RSU award vested on June 15, 2025, and five percent (5%) of such RSU award shall vest on a quarterly basis thereafter so long as the individual provides services through such vesting date. </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(19)Twenty percent (20%) of such RSU award shall vest on September 15, 2025, and five percent (5%) of such RSU award shall vest on a quarterly basis thereafter, so long as Mr. Lath continues to provide services through such vesting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036955"/>
                <wp:effectExtent l="0" t="0" r="0" b="0"/>
                <wp:wrapNone/>
                <wp:docPr id="54" name="Frame54"/>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(20)Twenty percent (20%) of such RSU award is scheduled to vest on June 15, 2026, and five percent (5%) of such RSU award shall vest on a quarterly basis thereafter, so long as Mr. Lath continues to provide services through each applicable vesting date. </w:t>
      </w:r>
    </w:p>
    <w:p>
      <w:pPr>
        <w:pStyle w:val="TextBody"/>
        <w:bidi w:val="0"/>
        <w:spacing w:lineRule="auto" w:line="240"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(21)Thirty-three and one-third percent (33.33%) of the Option shall vest on the one-year anniversary of the Vesting Commencement Date, and eight and one-third percent (8.33%) of the Option shall vest on a quarterly basis over the following two years, so long as Mr. Lath continues to provide services through such vesting dates.</w:t>
      </w:r>
    </w:p>
    <w:p>
      <w:pPr>
        <w:pStyle w:val="TextBody"/>
        <w:bidi w:val="0"/>
        <w:spacing w:lineRule="auto" w:line="26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(22)Five percent (5%) of the shares subject to the option vested on December 15, 2025, and five percent (5%) vest on a quarterly basis thereafter, so long as Mr. Ehikian continues to provide services through each applicable vesting date. This stock option award is subject to certain vesting acceleration provisions set forth in Mr. Ehikian’s employment letter.</w:t>
      </w:r>
    </w:p>
    <w:p>
      <w:pPr>
        <w:pStyle w:val="TextBody"/>
        <w:bidi w:val="0"/>
        <w:spacing w:lineRule="auto" w:line="26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(23)399,316 of such RSUs vested on December 30, 2025 (the “Contingent Portion”), and the remaining RSUs vest in eleven equal, successive quarterly installments thereafter, so long as Mr. Ehikian continues to provide services through each applicable vesting date. If Mr. Ehikian resigns voluntarily for any reason, or is terminated for Cause, within 24 months following his first day of employment, and the Contingent Portion has vested, Mr. Ehikian must repay the Company a cash amount equal to the fair market value (measured as of December 30, 2025) of the Contingent Portion. This RSU award is subject to certain vesting acceleration provisions set forth in Mr. Ehikian’s employment letter.</w:t>
      </w:r>
    </w:p>
    <w:p>
      <w:pPr>
        <w:pStyle w:val="TextBody"/>
        <w:bidi w:val="0"/>
        <w:spacing w:before="18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036955"/>
                <wp:effectExtent l="0" t="0" r="0" b="0"/>
                <wp:wrapNone/>
                <wp:docPr id="55" name="Frame55"/>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Option Exercises and Stock Vested in Fiscal Year 2026</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for the fiscal year ended April 30, 2026, certain information regarding option exercises and stock vested during the last fiscal year with respect to our named executive officers: </w:t>
      </w:r>
    </w:p>
    <w:tbl>
      <w:tblPr>
        <w:tblW w:w="10205" w:type="dxa"/>
        <w:jc w:val="left"/>
        <w:tblInd w:w="0" w:type="dxa"/>
        <w:tblLayout w:type="fixed"/>
        <w:tblCellMar>
          <w:top w:w="28" w:type="dxa"/>
          <w:left w:w="28" w:type="dxa"/>
          <w:bottom w:w="28" w:type="dxa"/>
          <w:right w:w="28" w:type="dxa"/>
        </w:tblCellMar>
      </w:tblPr>
      <w:tblGrid>
        <w:gridCol w:w="454"/>
        <w:gridCol w:w="392"/>
        <w:gridCol w:w="397"/>
        <w:gridCol w:w="834"/>
        <w:gridCol w:w="790"/>
        <w:gridCol w:w="792"/>
        <w:gridCol w:w="769"/>
        <w:gridCol w:w="660"/>
        <w:gridCol w:w="670"/>
        <w:gridCol w:w="814"/>
        <w:gridCol w:w="770"/>
        <w:gridCol w:w="772"/>
        <w:gridCol w:w="686"/>
        <w:gridCol w:w="577"/>
        <w:gridCol w:w="828"/>
      </w:tblGrid>
      <w:tr>
        <w:trPr/>
        <w:tc>
          <w:tcPr>
            <w:tcW w:w="45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Option Awards</w:t>
            </w:r>
          </w:p>
        </w:tc>
        <w:tc>
          <w:tcPr>
            <w:tcW w:w="44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Stock Awards</w:t>
            </w:r>
          </w:p>
        </w:tc>
      </w:tr>
      <w:tr>
        <w:trPr/>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w:t>
            </w:r>
          </w:p>
        </w:tc>
        <w:tc>
          <w:tcPr>
            <w:tcW w:w="24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 Acquired on Exercise</w:t>
              <w:br/>
              <w:t>(#)</w:t>
            </w:r>
          </w:p>
        </w:tc>
        <w:tc>
          <w:tcPr>
            <w:tcW w:w="20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Value Realized on Exercise ($)</w:t>
            </w:r>
            <w:r>
              <w:rPr>
                <w:rFonts w:ascii="Times New Roman;serif" w:hAnsi="Times New Roman;serif"/>
                <w:b/>
                <w:color w:val="000000"/>
                <w:sz w:val="13"/>
              </w:rPr>
              <w:t>(1)</w:t>
            </w:r>
          </w:p>
        </w:tc>
        <w:tc>
          <w:tcPr>
            <w:tcW w:w="23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 Acquired on Vesting</w:t>
              <w:br/>
              <w:t>(#)</w:t>
            </w:r>
          </w:p>
        </w:tc>
        <w:tc>
          <w:tcPr>
            <w:tcW w:w="20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Value Realized on Vesting ($)</w:t>
            </w:r>
            <w:r>
              <w:rPr>
                <w:rFonts w:ascii="Times New Roman;serif" w:hAnsi="Times New Roman;serif"/>
                <w:b/>
                <w:color w:val="000000"/>
                <w:sz w:val="13"/>
              </w:rPr>
              <w:t>(2)</w:t>
            </w:r>
          </w:p>
        </w:tc>
      </w:tr>
      <w:tr>
        <w:trPr/>
        <w:tc>
          <w:tcPr>
            <w:tcW w:w="1243"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M. Siebel</w:t>
            </w:r>
          </w:p>
        </w:tc>
        <w:tc>
          <w:tcPr>
            <w:tcW w:w="241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 xml:space="preserve">1,717,282 </w:t>
            </w:r>
          </w:p>
        </w:tc>
        <w:tc>
          <w:tcPr>
            <w:tcW w:w="2099"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 xml:space="preserve">13,853,286 </w:t>
            </w:r>
          </w:p>
        </w:tc>
        <w:tc>
          <w:tcPr>
            <w:tcW w:w="235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 xml:space="preserve">1,218,887 </w:t>
            </w:r>
          </w:p>
        </w:tc>
        <w:tc>
          <w:tcPr>
            <w:tcW w:w="2091"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 xml:space="preserve">23,690,771 </w:t>
            </w:r>
          </w:p>
        </w:tc>
      </w:tr>
      <w:tr>
        <w:trPr/>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Hitesh Lath</w:t>
            </w:r>
          </w:p>
        </w:tc>
        <w:tc>
          <w:tcPr>
            <w:tcW w:w="24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3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176,720</w:t>
            </w:r>
          </w:p>
        </w:tc>
        <w:tc>
          <w:tcPr>
            <w:tcW w:w="20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2,966,303</w:t>
            </w:r>
          </w:p>
        </w:tc>
      </w:tr>
      <w:tr>
        <w:trPr/>
        <w:tc>
          <w:tcPr>
            <w:tcW w:w="124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Ehikian</w:t>
            </w:r>
          </w:p>
        </w:tc>
        <w:tc>
          <w:tcPr>
            <w:tcW w:w="24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3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516,916</w:t>
            </w:r>
          </w:p>
        </w:tc>
        <w:tc>
          <w:tcPr>
            <w:tcW w:w="20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6,543,734</w:t>
            </w:r>
          </w:p>
        </w:tc>
      </w:tr>
    </w:tbl>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(1)The value realized on exercise is based on the difference between the closing price of our Class A common stock on the date of exercise and the applicable exercise price of those options, and does not represent actual amounts received by our named executive officers as a result of the option exercises.</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(2)The value realized on vesting is determined by multiplying the number of vested RSUs by the closing price of our Class A common stock on the vesting date. The value realized on vesting does not reflect the actual value received by each named executive officer because a portion of the shares reflected in the table above were withheld by us to satisfy the named executive officer’s tax withholding obligations.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Potential Payments upon Termination or Change in Control</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Certain of our named executive officers for the fiscal year ended April 30, 2026 hold equity awards that provide for vesting acceleration benefits or are entitled to severance benefits in the event of an involuntary termination of employment without cause or a change in control. The following table presents information concerning estimated payments and benefits that would be provided to such named executive officers upon a termination or a change in control. The payments and benefits set forth below are estimated assuming that the termination or change in control event occurred on the last business day of our fiscal year ended April 30, 2026 using the closing market price of our Class A common stock on that date. Actual payments and benefits could be different if such events were to occur on any other date, or at any other price, or if any other assumptions are used to estimate potential payments and benefits.</w:t>
      </w:r>
    </w:p>
    <w:tbl>
      <w:tblPr>
        <w:tblW w:w="10205" w:type="dxa"/>
        <w:jc w:val="left"/>
        <w:tblInd w:w="0" w:type="dxa"/>
        <w:tblLayout w:type="fixed"/>
        <w:tblCellMar>
          <w:top w:w="28" w:type="dxa"/>
          <w:left w:w="28" w:type="dxa"/>
          <w:bottom w:w="28" w:type="dxa"/>
          <w:right w:w="28" w:type="dxa"/>
        </w:tblCellMar>
      </w:tblPr>
      <w:tblGrid>
        <w:gridCol w:w="424"/>
        <w:gridCol w:w="364"/>
        <w:gridCol w:w="369"/>
        <w:gridCol w:w="1720"/>
        <w:gridCol w:w="1720"/>
        <w:gridCol w:w="1724"/>
        <w:gridCol w:w="1136"/>
        <w:gridCol w:w="1136"/>
        <w:gridCol w:w="1612"/>
      </w:tblGrid>
      <w:tr>
        <w:trPr/>
        <w:tc>
          <w:tcPr>
            <w:tcW w:w="42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r>
      <w:tr>
        <w:trPr/>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w:t>
            </w:r>
          </w:p>
        </w:tc>
        <w:tc>
          <w:tcPr>
            <w:tcW w:w="5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Cash Severance:</w:t>
              <w:br/>
              <w:t>Termination of Employment Without Cause or Constructive Termination in Connection with a Change in Control</w:t>
              <w:br/>
              <w:t>($)</w:t>
            </w:r>
          </w:p>
        </w:tc>
        <w:tc>
          <w:tcPr>
            <w:tcW w:w="3884" w:type="dxa"/>
            <w:gridSpan w:val="3"/>
            <w:tcBorders/>
            <w:tcMar>
              <w:top w:w="0" w:type="dxa"/>
              <w:left w:w="0" w:type="dxa"/>
              <w:bottom w:w="0" w:type="dxa"/>
              <w:right w:w="0" w:type="dxa"/>
            </w:tcMar>
            <w:vAlign w:val="center"/>
          </w:tcPr>
          <w:p>
            <w:pPr>
              <w:pStyle w:val="TableContents"/>
              <w:bidi w:val="0"/>
              <w:spacing w:lineRule="auto" w:line="240" w:before="53" w:after="283"/>
              <w:jc w:val="center"/>
              <w:rPr/>
            </w:pPr>
            <w:r>
              <w:rPr>
                <w:rFonts w:ascii="Times New Roman;serif" w:hAnsi="Times New Roman;serif"/>
                <w:b/>
                <w:color w:val="000000"/>
                <w:sz w:val="20"/>
              </w:rPr>
              <w:t>Equity Acceleration: Termination in Connection with a Change in Control ($)</w:t>
            </w:r>
            <w:r>
              <w:rPr>
                <w:rFonts w:ascii="Times New Roman;serif" w:hAnsi="Times New Roman;serif"/>
                <w:b/>
                <w:color w:val="000000"/>
                <w:sz w:val="13"/>
              </w:rPr>
              <w:t>(1)</w:t>
            </w:r>
          </w:p>
        </w:tc>
      </w:tr>
      <w:tr>
        <w:trPr/>
        <w:tc>
          <w:tcPr>
            <w:tcW w:w="11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M. Siebel</w:t>
            </w:r>
          </w:p>
        </w:tc>
        <w:tc>
          <w:tcPr>
            <w:tcW w:w="516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 xml:space="preserve">$8,713,126 </w:t>
            </w:r>
            <w:r>
              <w:rPr>
                <w:rFonts w:ascii="Times New Roman;serif" w:hAnsi="Times New Roman;serif"/>
                <w:b w:val="false"/>
                <w:color w:val="000000"/>
                <w:sz w:val="13"/>
              </w:rPr>
              <w:t>(2)(3)</w:t>
            </w:r>
          </w:p>
        </w:tc>
      </w:tr>
      <w:tr>
        <w:trPr/>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Hitesh Lath</w:t>
            </w:r>
          </w:p>
        </w:tc>
        <w:tc>
          <w:tcPr>
            <w:tcW w:w="5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 xml:space="preserve">$777,791 </w:t>
            </w:r>
            <w:r>
              <w:rPr>
                <w:rFonts w:ascii="Times New Roman;serif" w:hAnsi="Times New Roman;serif"/>
                <w:b w:val="false"/>
                <w:color w:val="000000"/>
                <w:sz w:val="13"/>
              </w:rPr>
              <w:t>(4)</w:t>
            </w:r>
          </w:p>
        </w:tc>
      </w:tr>
      <w:tr>
        <w:trPr/>
        <w:tc>
          <w:tcPr>
            <w:tcW w:w="11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Ehikian</w:t>
            </w:r>
          </w:p>
        </w:tc>
        <w:tc>
          <w:tcPr>
            <w:tcW w:w="516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 xml:space="preserve">$1,000,000 </w:t>
            </w:r>
            <w:r>
              <w:rPr>
                <w:rFonts w:ascii="Times New Roman;serif" w:hAnsi="Times New Roman;serif"/>
                <w:b w:val="false"/>
                <w:color w:val="000000"/>
                <w:sz w:val="13"/>
              </w:rPr>
              <w:t>(5)</w:t>
            </w:r>
          </w:p>
        </w:tc>
        <w:tc>
          <w:tcPr>
            <w:tcW w:w="388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 xml:space="preserve">$5,952,912 </w:t>
            </w:r>
            <w:r>
              <w:rPr>
                <w:rFonts w:ascii="Times New Roman;serif" w:hAnsi="Times New Roman;serif"/>
                <w:b w:val="false"/>
                <w:color w:val="000000"/>
                <w:sz w:val="13"/>
              </w:rPr>
              <w:t>(5)</w:t>
            </w:r>
          </w:p>
        </w:tc>
      </w:tr>
    </w:tbl>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(1)The value of stock option and RSU award vesting acceleration is based on the closing price of $8.83 per share of our Class A common stock as of April 30, 2026, minus, in the case of stock options, the exercise price of the unvested stock options subject to acceleration.</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(2)If a Change in Control (as defined in the 2020 Plan) occurs while Mr. Siebel is serving as either our Chief Executive Officer or Executive Chairman of our board of directors and his service is terminated without Cause (as defined in the 2020 Plan) by us or as a result of a Constructive Termination (as defined in the applicable award agreement) in each case, in connection with or following the Change in Control, then (i) 100% of the unvested shares subject to stock options granted to Mr. Siebel on July 16, 2021, December 22, 2023, and September 11, 2024, will immediately vest and become exercisable; these option grants were underwater and did not have an intrinsic value as of April 30, 2026, and (ii) 100% of the RSUs granted to Mr. Siebel on July 2, 2022, December 22, 2023, and September 11, 2024, will immediately vest.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036955"/>
                <wp:effectExtent l="0" t="0" r="0" b="0"/>
                <wp:wrapNone/>
                <wp:docPr id="56" name="Frame56"/>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(3)In connection with the PRSUs granted to Mr. Siebel as described in the section titled “Outstanding Equity Awards as of April 30, 2026,” above, if a Change in Control (as defined in the 2020 Plan) occurs while Mr. Siebel is serving as either our Chief Executive Officer or Executive Chairman of our board of directors and his service is terminated without Cause (as defined in the 2020 Plan) by us or as a result of a Constructive Termination (as defined in the applicable award agreement) in each case, in connection with or following the Change in Control, then the applicable stock price hurdle for such PRSU will be deemed achieved if the per share price paid to the Company’s stockholders in such Change in Control is equal to or higher than the applicable stock price hurdle. </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(4)If a Change in Control (as defined in the 2020 Plan and the RSU award agreements between Mr. Lath and the Company) occurs while Mr. Lath is serving as Chief Financial Officer and his service is terminated without Cause (as defined in the RSU award agreements between Mr. Lath and the Company) by us, or he is not offered an equivalent position in the Company or its successor, in connection with or following the Change in Control, then the remainder of Mr. Lath’s then unvested RSU will vest 12 months following the Change in Control or upon Mr. Lath’s earlier termination.</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(5)If a Corporate Transaction or a Change in Control (each as defined in the Plan) occurs during Mr. Ehikian’s employment, and, within thirty-six (36) months following such Corporate Transaction or Change in Control, (i) Mr. Ehikian resigns for Constructive Termination (as defined in his offer letter) or (ii) his employment is terminated by the Company other than for Cause, death, or disability, then, subject to Mr. Ehikian’s satisfaction of the severance conditions set forth in his offer letter (including the execution and non-revocation of a general release of claims in favor of the Company), Mr. Ehikian will be entitled to receive (a) a lump sum cash payment equal to $1,000,000, representing twelve (12) months of his annual base salary in effect at the time of such termination, and (b) full vesting acceleration of any then-outstanding and unvested C3 AI equity awards granted to him prior to the Corporate Transaction or Change in Control.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036955"/>
                <wp:effectExtent l="0" t="0" r="0" b="0"/>
                <wp:wrapNone/>
                <wp:docPr id="57" name="Frame57"/>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PAY VERSUS PERFORMANCE</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Pay Versus Performance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As required by Item 402(v) of Regulation S-K, we are providing the following information about the relationship between executive compensation that the SEC deems to have been actually paid to our principal executive officer (“PEO”) and other named executive officers (“NEOs”) and certain indicators of our financial performance. Please note that Item 402(v) requires the amounts included in the “compensation actually paid” columns of the table below to be calculated according to a particular formula that treats the increase or decrease in the value of outstanding equity awards as amounts “actually paid” to the NEO, regardless of whether the NEO realized any gain from such fluctuation in equity value. For further information concerning the Company’s pay-for-performance philosophy and how the Company aligns executive compensation with the Company’s performance, refer to “Executive Compensation – Compensation Discussion and Analysis.”</w:t>
      </w:r>
    </w:p>
    <w:tbl>
      <w:tblPr>
        <w:tblW w:w="11776" w:type="dxa"/>
        <w:jc w:val="left"/>
        <w:tblInd w:w="0" w:type="dxa"/>
        <w:tblLayout w:type="fixed"/>
        <w:tblCellMar>
          <w:top w:w="28" w:type="dxa"/>
          <w:left w:w="28" w:type="dxa"/>
          <w:bottom w:w="28" w:type="dxa"/>
          <w:right w:w="28" w:type="dxa"/>
        </w:tblCellMar>
      </w:tblPr>
      <w:tblGrid>
        <w:gridCol w:w="212"/>
        <w:gridCol w:w="134"/>
        <w:gridCol w:w="135"/>
        <w:gridCol w:w="196"/>
        <w:gridCol w:w="961"/>
        <w:gridCol w:w="109"/>
        <w:gridCol w:w="196"/>
        <w:gridCol w:w="1066"/>
        <w:gridCol w:w="109"/>
        <w:gridCol w:w="196"/>
        <w:gridCol w:w="961"/>
        <w:gridCol w:w="109"/>
        <w:gridCol w:w="196"/>
        <w:gridCol w:w="961"/>
        <w:gridCol w:w="109"/>
        <w:gridCol w:w="196"/>
        <w:gridCol w:w="961"/>
        <w:gridCol w:w="109"/>
        <w:gridCol w:w="196"/>
        <w:gridCol w:w="961"/>
        <w:gridCol w:w="109"/>
        <w:gridCol w:w="196"/>
        <w:gridCol w:w="556"/>
        <w:gridCol w:w="109"/>
        <w:gridCol w:w="196"/>
        <w:gridCol w:w="646"/>
        <w:gridCol w:w="109"/>
        <w:gridCol w:w="196"/>
        <w:gridCol w:w="571"/>
        <w:gridCol w:w="109"/>
        <w:gridCol w:w="196"/>
        <w:gridCol w:w="556"/>
        <w:gridCol w:w="154"/>
      </w:tblGrid>
      <w:tr>
        <w:trPr/>
        <w:tc>
          <w:tcPr>
            <w:tcW w:w="21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Fiscal Year</w:t>
            </w:r>
          </w:p>
        </w:tc>
        <w:tc>
          <w:tcPr>
            <w:tcW w:w="126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2"/>
              </w:rPr>
              <w:t>Summary Compensation Table Total for PEO 1</w:t>
            </w:r>
            <w:r>
              <w:rPr>
                <w:rFonts w:ascii="Times New Roman;serif" w:hAnsi="Times New Roman;serif"/>
                <w:b/>
                <w:color w:val="000000"/>
                <w:sz w:val="8"/>
              </w:rPr>
              <w:t>(1)</w:t>
            </w:r>
          </w:p>
        </w:tc>
        <w:tc>
          <w:tcPr>
            <w:tcW w:w="137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2"/>
              </w:rPr>
              <w:t>Compensation Actually Paid to PEO 1</w:t>
            </w:r>
            <w:r>
              <w:rPr>
                <w:rFonts w:ascii="Times New Roman;serif" w:hAnsi="Times New Roman;serif"/>
                <w:b/>
                <w:color w:val="000000"/>
                <w:sz w:val="8"/>
              </w:rPr>
              <w:t>(2)</w:t>
            </w:r>
          </w:p>
        </w:tc>
        <w:tc>
          <w:tcPr>
            <w:tcW w:w="126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2"/>
              </w:rPr>
              <w:t>Summary Compensation Table Total for PEO 2</w:t>
            </w:r>
            <w:r>
              <w:rPr>
                <w:rFonts w:ascii="Times New Roman;serif" w:hAnsi="Times New Roman;serif"/>
                <w:b/>
                <w:color w:val="000000"/>
                <w:sz w:val="8"/>
              </w:rPr>
              <w:t>(1)</w:t>
            </w:r>
          </w:p>
        </w:tc>
        <w:tc>
          <w:tcPr>
            <w:tcW w:w="126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2"/>
              </w:rPr>
              <w:t>Compensation Actually Paid to PEO 2</w:t>
            </w:r>
            <w:r>
              <w:rPr>
                <w:rFonts w:ascii="Times New Roman;serif" w:hAnsi="Times New Roman;serif"/>
                <w:b/>
                <w:color w:val="000000"/>
                <w:sz w:val="8"/>
              </w:rPr>
              <w:t>(2)</w:t>
            </w:r>
          </w:p>
        </w:tc>
        <w:tc>
          <w:tcPr>
            <w:tcW w:w="126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2"/>
              </w:rPr>
              <w:t xml:space="preserve">Average Summary Compensation Table Total for Non-PEO NEOs </w:t>
            </w:r>
            <w:r>
              <w:rPr>
                <w:rFonts w:ascii="Times New Roman;serif" w:hAnsi="Times New Roman;serif"/>
                <w:b/>
                <w:color w:val="000000"/>
                <w:sz w:val="8"/>
              </w:rPr>
              <w:t>(3)</w:t>
            </w:r>
          </w:p>
        </w:tc>
        <w:tc>
          <w:tcPr>
            <w:tcW w:w="126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2"/>
              </w:rPr>
              <w:t xml:space="preserve">Average Compensation Actually Paid to Non-PEO NEOs </w:t>
            </w:r>
            <w:r>
              <w:rPr>
                <w:rFonts w:ascii="Times New Roman;serif" w:hAnsi="Times New Roman;serif"/>
                <w:b/>
                <w:color w:val="000000"/>
                <w:sz w:val="8"/>
              </w:rPr>
              <w:t>(4)</w:t>
            </w:r>
          </w:p>
        </w:tc>
        <w:tc>
          <w:tcPr>
            <w:tcW w:w="1812" w:type="dxa"/>
            <w:gridSpan w:val="6"/>
            <w:tcBorders/>
            <w:tcMar>
              <w:top w:w="0" w:type="dxa"/>
              <w:left w:w="0" w:type="dxa"/>
              <w:bottom w:w="0" w:type="dxa"/>
              <w:right w:w="0" w:type="dxa"/>
            </w:tcMar>
            <w:vAlign w:val="center"/>
          </w:tcPr>
          <w:p>
            <w:pPr>
              <w:pStyle w:val="TableContents"/>
              <w:bidi w:val="0"/>
              <w:spacing w:lineRule="auto" w:line="288" w:before="23" w:after="20"/>
              <w:jc w:val="center"/>
              <w:rPr>
                <w:rFonts w:ascii="Times New Roman;serif" w:hAnsi="Times New Roman;serif"/>
                <w:b/>
                <w:color w:val="000000"/>
                <w:sz w:val="12"/>
              </w:rPr>
            </w:pPr>
            <w:r>
              <w:rPr>
                <w:rFonts w:ascii="Times New Roman;serif" w:hAnsi="Times New Roman;serif"/>
                <w:b/>
                <w:color w:val="000000"/>
                <w:sz w:val="12"/>
              </w:rPr>
              <w:t>Value of Initial Fixed $100 Investment Based On:</w:t>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2"/>
              </w:rPr>
              <w:t xml:space="preserve">Net Income (loss) (millions) </w:t>
            </w:r>
            <w:r>
              <w:rPr>
                <w:rFonts w:ascii="Times New Roman;serif" w:hAnsi="Times New Roman;serif"/>
                <w:b/>
                <w:color w:val="000000"/>
                <w:sz w:val="8"/>
              </w:rPr>
              <w:t>(7)</w:t>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2"/>
              </w:rPr>
              <w:t xml:space="preserve">Revenue (millions) </w:t>
            </w:r>
            <w:r>
              <w:rPr>
                <w:rFonts w:ascii="Times New Roman;serif" w:hAnsi="Times New Roman;serif"/>
                <w:b/>
                <w:color w:val="000000"/>
                <w:sz w:val="8"/>
              </w:rPr>
              <w:t>(8)</w:t>
            </w:r>
          </w:p>
        </w:tc>
      </w:tr>
      <w:tr>
        <w:trPr/>
        <w:tc>
          <w:tcPr>
            <w:tcW w:w="481" w:type="dxa"/>
            <w:gridSpan w:val="3"/>
            <w:vMerge w:val="continue"/>
            <w:tcBorders/>
            <w:tcMar>
              <w:top w:w="0" w:type="dxa"/>
              <w:left w:w="0" w:type="dxa"/>
              <w:bottom w:w="0" w:type="dxa"/>
              <w:right w:w="0" w:type="dxa"/>
            </w:tcMar>
            <w:vAlign w:val="center"/>
          </w:tcPr>
          <w:p>
            <w:pPr>
              <w:pStyle w:val="Normal"/>
              <w:bidi w:val="0"/>
              <w:jc w:val="left"/>
              <w:rPr/>
            </w:pPr>
            <w:r>
              <w:rPr/>
            </w:r>
          </w:p>
        </w:tc>
        <w:tc>
          <w:tcPr>
            <w:tcW w:w="1266" w:type="dxa"/>
            <w:gridSpan w:val="3"/>
            <w:vMerge w:val="continue"/>
            <w:tcBorders/>
            <w:tcMar>
              <w:top w:w="0" w:type="dxa"/>
              <w:left w:w="0" w:type="dxa"/>
              <w:bottom w:w="0" w:type="dxa"/>
              <w:right w:w="0" w:type="dxa"/>
            </w:tcMar>
            <w:vAlign w:val="center"/>
          </w:tcPr>
          <w:p>
            <w:pPr>
              <w:pStyle w:val="Normal"/>
              <w:bidi w:val="0"/>
              <w:jc w:val="left"/>
              <w:rPr/>
            </w:pPr>
            <w:r>
              <w:rPr/>
            </w:r>
          </w:p>
        </w:tc>
        <w:tc>
          <w:tcPr>
            <w:tcW w:w="1371" w:type="dxa"/>
            <w:gridSpan w:val="3"/>
            <w:vMerge w:val="continue"/>
            <w:tcBorders/>
            <w:tcMar>
              <w:top w:w="0" w:type="dxa"/>
              <w:left w:w="0" w:type="dxa"/>
              <w:bottom w:w="0" w:type="dxa"/>
              <w:right w:w="0" w:type="dxa"/>
            </w:tcMar>
            <w:vAlign w:val="center"/>
          </w:tcPr>
          <w:p>
            <w:pPr>
              <w:pStyle w:val="Normal"/>
              <w:bidi w:val="0"/>
              <w:jc w:val="left"/>
              <w:rPr/>
            </w:pPr>
            <w:r>
              <w:rPr/>
            </w:r>
          </w:p>
        </w:tc>
        <w:tc>
          <w:tcPr>
            <w:tcW w:w="1266" w:type="dxa"/>
            <w:gridSpan w:val="3"/>
            <w:vMerge w:val="continue"/>
            <w:tcBorders/>
            <w:tcMar>
              <w:top w:w="0" w:type="dxa"/>
              <w:left w:w="0" w:type="dxa"/>
              <w:bottom w:w="0" w:type="dxa"/>
              <w:right w:w="0" w:type="dxa"/>
            </w:tcMar>
            <w:vAlign w:val="center"/>
          </w:tcPr>
          <w:p>
            <w:pPr>
              <w:pStyle w:val="Normal"/>
              <w:bidi w:val="0"/>
              <w:jc w:val="left"/>
              <w:rPr/>
            </w:pPr>
            <w:r>
              <w:rPr/>
            </w:r>
          </w:p>
        </w:tc>
        <w:tc>
          <w:tcPr>
            <w:tcW w:w="1266" w:type="dxa"/>
            <w:gridSpan w:val="3"/>
            <w:vMerge w:val="continue"/>
            <w:tcBorders/>
            <w:tcMar>
              <w:top w:w="0" w:type="dxa"/>
              <w:left w:w="0" w:type="dxa"/>
              <w:bottom w:w="0" w:type="dxa"/>
              <w:right w:w="0" w:type="dxa"/>
            </w:tcMar>
            <w:vAlign w:val="center"/>
          </w:tcPr>
          <w:p>
            <w:pPr>
              <w:pStyle w:val="Normal"/>
              <w:bidi w:val="0"/>
              <w:jc w:val="left"/>
              <w:rPr/>
            </w:pPr>
            <w:r>
              <w:rPr/>
            </w:r>
          </w:p>
        </w:tc>
        <w:tc>
          <w:tcPr>
            <w:tcW w:w="1266" w:type="dxa"/>
            <w:gridSpan w:val="3"/>
            <w:vMerge w:val="continue"/>
            <w:tcBorders/>
            <w:tcMar>
              <w:top w:w="0" w:type="dxa"/>
              <w:left w:w="0" w:type="dxa"/>
              <w:bottom w:w="0" w:type="dxa"/>
              <w:right w:w="0" w:type="dxa"/>
            </w:tcMar>
            <w:vAlign w:val="center"/>
          </w:tcPr>
          <w:p>
            <w:pPr>
              <w:pStyle w:val="Normal"/>
              <w:bidi w:val="0"/>
              <w:jc w:val="left"/>
              <w:rPr/>
            </w:pPr>
            <w:r>
              <w:rPr/>
            </w:r>
          </w:p>
        </w:tc>
        <w:tc>
          <w:tcPr>
            <w:tcW w:w="1266" w:type="dxa"/>
            <w:gridSpan w:val="3"/>
            <w:vMerge w:val="continue"/>
            <w:tcBorders/>
            <w:tcMar>
              <w:top w:w="0" w:type="dxa"/>
              <w:left w:w="0" w:type="dxa"/>
              <w:bottom w:w="0" w:type="dxa"/>
              <w:right w:w="0" w:type="dxa"/>
            </w:tcMar>
            <w:vAlign w:val="center"/>
          </w:tcPr>
          <w:p>
            <w:pPr>
              <w:pStyle w:val="Normal"/>
              <w:bidi w:val="0"/>
              <w:jc w:val="left"/>
              <w:rPr/>
            </w:pPr>
            <w:r>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2"/>
              </w:rPr>
              <w:t xml:space="preserve">Total Shareholder Return </w:t>
            </w:r>
            <w:r>
              <w:rPr>
                <w:rFonts w:ascii="Times New Roman;serif" w:hAnsi="Times New Roman;serif"/>
                <w:b/>
                <w:color w:val="000000"/>
                <w:sz w:val="8"/>
              </w:rPr>
              <w:t>(5)</w:t>
            </w:r>
          </w:p>
        </w:tc>
        <w:tc>
          <w:tcPr>
            <w:tcW w:w="9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2"/>
              </w:rPr>
              <w:t xml:space="preserve">Peer Group Total Shareholder Return </w:t>
            </w:r>
            <w:r>
              <w:rPr>
                <w:rFonts w:ascii="Times New Roman;serif" w:hAnsi="Times New Roman;serif"/>
                <w:b/>
                <w:color w:val="000000"/>
                <w:sz w:val="8"/>
              </w:rPr>
              <w:t>(6)</w:t>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w:t>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(h)</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(k)</w:t>
            </w:r>
          </w:p>
        </w:tc>
      </w:tr>
      <w:tr>
        <w:trPr/>
        <w:tc>
          <w:tcPr>
            <w:tcW w:w="4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24,308,723 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(13,700,439)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36,167,342 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20,075,265 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5,456,389 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(2,621,987)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256.94 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25,516,876 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39,480,848 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5,932,374 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6,545,806 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24,764,958 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82,190,636 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3,514,867 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6,928,664 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31,712,200 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49,955,502 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16,224,783 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14,368,424 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2022</w:t>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26,865,979 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(488,891,227)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17,608,679 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(8,285,912)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101.89 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The dollar amounts reported in column (b) are the amounts of total compensation reported for Mr. Siebel for each corresponding year in the “Total” column of the Summary Compensation Table. Refer to the section entitled “Executive Compensation – Summary Compensation Table.” The dollar amounts reported in column (d) are the amounts of total compensation reported for Mr. Ehikian for each corresponding year in the “Total” column of the Summary Compensation Table. Refer to the section entitled “Executive Compensation – Summary Compensation Table.”</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The dollar amounts reported in column (c) represent the amount of “compensation actually paid” to Mr. Siebel, as computed in accordance with Item 402(v) of Regulation S-K. The dollar amounts reported in column (e) represent the amount of “compensation actually paid” to Mr. Ehikian, as computed in accordance with Item 402(v) of Regulation S-K. The dollar amounts do not reflect the actual amount of compensation earned by or paid to Mr. Siebel and Mr. Ehikian during the applicable year. In accordance with the requirements of Item 402(v) of Regulation S-K, the following adjustments were made to Mr. Siebel’s and Mr. Ehikian’s total compensation for the fiscal year indicated to determine the compensation actually paid (adjustments for pension benefits are not covered, as the Company does not have any defined benefit or actuarial pension plans):</w:t>
      </w:r>
    </w:p>
    <w:p>
      <w:pPr>
        <w:pStyle w:val="TextBody"/>
        <w:bidi w:val="0"/>
        <w:spacing w:lineRule="auto" w:line="268" w:before="0" w:after="24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PEO 1:</w:t>
      </w:r>
    </w:p>
    <w:tbl>
      <w:tblPr>
        <w:tblW w:w="10205" w:type="dxa"/>
        <w:jc w:val="left"/>
        <w:tblInd w:w="0" w:type="dxa"/>
        <w:tblLayout w:type="fixed"/>
        <w:tblCellMar>
          <w:top w:w="28" w:type="dxa"/>
          <w:left w:w="28" w:type="dxa"/>
          <w:bottom w:w="28" w:type="dxa"/>
          <w:right w:w="28" w:type="dxa"/>
        </w:tblCellMar>
      </w:tblPr>
      <w:tblGrid>
        <w:gridCol w:w="291"/>
        <w:gridCol w:w="255"/>
        <w:gridCol w:w="257"/>
        <w:gridCol w:w="423"/>
        <w:gridCol w:w="2172"/>
        <w:gridCol w:w="218"/>
        <w:gridCol w:w="323"/>
        <w:gridCol w:w="1752"/>
        <w:gridCol w:w="167"/>
        <w:gridCol w:w="277"/>
        <w:gridCol w:w="1499"/>
        <w:gridCol w:w="142"/>
        <w:gridCol w:w="338"/>
        <w:gridCol w:w="1838"/>
        <w:gridCol w:w="253"/>
      </w:tblGrid>
      <w:tr>
        <w:trPr/>
        <w:tc>
          <w:tcPr>
            <w:tcW w:w="29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w:t>
            </w:r>
          </w:p>
        </w:tc>
        <w:tc>
          <w:tcPr>
            <w:tcW w:w="2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w:t>
              <w:br/>
              <w:t>Summary Compensation Table Total for PEO 1</w:t>
            </w:r>
          </w:p>
        </w:tc>
        <w:tc>
          <w:tcPr>
            <w:tcW w:w="224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Reported Value of Equity Awards</w:t>
            </w:r>
            <w:r>
              <w:rPr>
                <w:rFonts w:ascii="Times New Roman;serif" w:hAnsi="Times New Roman;serif"/>
                <w:b/>
                <w:color w:val="000000"/>
                <w:sz w:val="10"/>
              </w:rPr>
              <w:t>(a)</w:t>
            </w:r>
          </w:p>
        </w:tc>
        <w:tc>
          <w:tcPr>
            <w:tcW w:w="191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Equity Award Adjustments</w:t>
            </w:r>
            <w:r>
              <w:rPr>
                <w:rFonts w:ascii="Times New Roman;serif" w:hAnsi="Times New Roman;serif"/>
                <w:b/>
                <w:color w:val="000000"/>
                <w:sz w:val="10"/>
              </w:rPr>
              <w:t>(b)</w:t>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Compensation Actually Paid to PEO 1</w:t>
            </w:r>
          </w:p>
        </w:tc>
      </w:tr>
      <w:tr>
        <w:trPr/>
        <w:tc>
          <w:tcPr>
            <w:tcW w:w="80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2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7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24,308,723 </w:t>
            </w:r>
          </w:p>
        </w:tc>
        <w:tc>
          <w:tcPr>
            <w:tcW w:w="21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(23,000,004)</w:t>
            </w:r>
          </w:p>
        </w:tc>
        <w:tc>
          <w:tcPr>
            <w:tcW w:w="16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(15,009,158)</w:t>
            </w:r>
          </w:p>
        </w:tc>
        <w:tc>
          <w:tcPr>
            <w:tcW w:w="14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3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(13,700,439)</w:t>
            </w:r>
          </w:p>
        </w:tc>
        <w:tc>
          <w:tcPr>
            <w:tcW w:w="25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PEO 2:</w:t>
      </w:r>
    </w:p>
    <w:tbl>
      <w:tblPr>
        <w:tblW w:w="10205" w:type="dxa"/>
        <w:jc w:val="left"/>
        <w:tblInd w:w="0" w:type="dxa"/>
        <w:tblLayout w:type="fixed"/>
        <w:tblCellMar>
          <w:top w:w="28" w:type="dxa"/>
          <w:left w:w="28" w:type="dxa"/>
          <w:bottom w:w="28" w:type="dxa"/>
          <w:right w:w="28" w:type="dxa"/>
        </w:tblCellMar>
      </w:tblPr>
      <w:tblGrid>
        <w:gridCol w:w="291"/>
        <w:gridCol w:w="255"/>
        <w:gridCol w:w="257"/>
        <w:gridCol w:w="424"/>
        <w:gridCol w:w="2174"/>
        <w:gridCol w:w="218"/>
        <w:gridCol w:w="323"/>
        <w:gridCol w:w="1754"/>
        <w:gridCol w:w="167"/>
        <w:gridCol w:w="288"/>
        <w:gridCol w:w="1478"/>
        <w:gridCol w:w="148"/>
        <w:gridCol w:w="353"/>
        <w:gridCol w:w="1810"/>
        <w:gridCol w:w="265"/>
      </w:tblGrid>
      <w:tr>
        <w:trPr/>
        <w:tc>
          <w:tcPr>
            <w:tcW w:w="29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w:t>
            </w:r>
          </w:p>
        </w:tc>
        <w:tc>
          <w:tcPr>
            <w:tcW w:w="28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Reported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Summary Compensation Table Total for PEO 2</w:t>
            </w:r>
          </w:p>
        </w:tc>
        <w:tc>
          <w:tcPr>
            <w:tcW w:w="224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Reported Value of Equity Awards</w:t>
            </w:r>
            <w:r>
              <w:rPr>
                <w:rFonts w:ascii="Times New Roman;serif" w:hAnsi="Times New Roman;serif"/>
                <w:b/>
                <w:color w:val="000000"/>
                <w:sz w:val="10"/>
              </w:rPr>
              <w:t>(a)</w:t>
            </w:r>
          </w:p>
        </w:tc>
        <w:tc>
          <w:tcPr>
            <w:tcW w:w="19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Equity Award Adjustments</w:t>
            </w:r>
            <w:r>
              <w:rPr>
                <w:rFonts w:ascii="Times New Roman;serif" w:hAnsi="Times New Roman;serif"/>
                <w:b/>
                <w:color w:val="000000"/>
                <w:sz w:val="10"/>
              </w:rPr>
              <w:t>(b)</w:t>
            </w:r>
          </w:p>
        </w:tc>
        <w:tc>
          <w:tcPr>
            <w:tcW w:w="2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Compensation Actually Paid to PEO 2</w:t>
            </w:r>
          </w:p>
        </w:tc>
      </w:tr>
      <w:tr>
        <w:trPr/>
        <w:tc>
          <w:tcPr>
            <w:tcW w:w="80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2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7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36,167,342 </w:t>
            </w:r>
          </w:p>
        </w:tc>
        <w:tc>
          <w:tcPr>
            <w:tcW w:w="21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(35,000,013)</w:t>
            </w:r>
          </w:p>
        </w:tc>
        <w:tc>
          <w:tcPr>
            <w:tcW w:w="16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18,907,936 </w:t>
            </w:r>
          </w:p>
        </w:tc>
        <w:tc>
          <w:tcPr>
            <w:tcW w:w="14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20,075,265 </w:t>
            </w:r>
          </w:p>
        </w:tc>
        <w:tc>
          <w:tcPr>
            <w:tcW w:w="26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    The grant date fair value of equity awards represents the total of the amounts reported in the “Stock Awards” and “Option Awards” columns in the Summary Compensation Table for the applicable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036955"/>
                <wp:effectExtent l="0" t="0" r="0" b="0"/>
                <wp:wrapNone/>
                <wp:docPr id="58" name="Frame58"/>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54</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    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fair value as of the vesting date; (iv) for awards granted in prior years that vest in the applicable year, the amount equal to the change as of the vesting date (from the end of the prior fiscal year) in fair value; and (v) for awards granted in prior years that are determined to fail to meet the applicable vesting conditions during the applicable year, the amount equal to the fair value at the end of the prior fiscal year. Adjustments for dividend payments are not covered, as the Company does not pay dividends on equity awards. The valuation assumptions used to calculate fair values did not materially differ from those disclosed at the time of grant. The amounts deducted or added in calculating the equity award adjustments for the fiscal year indicated are as follows:</w:t>
      </w:r>
    </w:p>
    <w:p>
      <w:pPr>
        <w:pStyle w:val="TextBody"/>
        <w:bidi w:val="0"/>
        <w:spacing w:lineRule="auto" w:line="26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PEO 1:</w:t>
      </w:r>
    </w:p>
    <w:tbl>
      <w:tblPr>
        <w:tblW w:w="10205" w:type="dxa"/>
        <w:jc w:val="left"/>
        <w:tblInd w:w="0" w:type="dxa"/>
        <w:tblLayout w:type="fixed"/>
        <w:tblCellMar>
          <w:top w:w="28" w:type="dxa"/>
          <w:left w:w="28" w:type="dxa"/>
          <w:bottom w:w="28" w:type="dxa"/>
          <w:right w:w="28" w:type="dxa"/>
        </w:tblCellMar>
      </w:tblPr>
      <w:tblGrid>
        <w:gridCol w:w="203"/>
        <w:gridCol w:w="178"/>
        <w:gridCol w:w="179"/>
        <w:gridCol w:w="264"/>
        <w:gridCol w:w="1355"/>
        <w:gridCol w:w="136"/>
        <w:gridCol w:w="281"/>
        <w:gridCol w:w="1487"/>
        <w:gridCol w:w="145"/>
        <w:gridCol w:w="258"/>
        <w:gridCol w:w="1012"/>
        <w:gridCol w:w="133"/>
        <w:gridCol w:w="288"/>
        <w:gridCol w:w="1381"/>
        <w:gridCol w:w="149"/>
        <w:gridCol w:w="372"/>
        <w:gridCol w:w="717"/>
        <w:gridCol w:w="194"/>
        <w:gridCol w:w="211"/>
        <w:gridCol w:w="1098"/>
        <w:gridCol w:w="164"/>
      </w:tblGrid>
      <w:tr>
        <w:trPr/>
        <w:tc>
          <w:tcPr>
            <w:tcW w:w="2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 Fair Value of Equity Awards Granted in the Fiscal Year and Outstanding and Unvested at Fiscal Year End</w:t>
            </w:r>
          </w:p>
        </w:tc>
        <w:tc>
          <w:tcPr>
            <w:tcW w:w="1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 Fair Value from the end of the prior Fiscal Year to the end of the Fiscal Year of Outstanding and Unvested Equity Awards Granted in Prior Years</w:t>
            </w:r>
          </w:p>
        </w:tc>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as of Vesting Date of Equity Awards Granted and Vested in the Fiscal Year</w:t>
            </w:r>
          </w:p>
        </w:tc>
        <w:tc>
          <w:tcPr>
            <w:tcW w:w="18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 Fair Value from the End of the Prior Fiscal Year to the Vesting Date of Equity Awards Granted in Prior Fiscal Years that Vested in the Fiscal Year</w:t>
            </w:r>
          </w:p>
        </w:tc>
        <w:tc>
          <w:tcPr>
            <w:tcW w:w="12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at the End of the Prior Fiscal Year of Equity Awards that Failed to Meet Vesting Conditions in the Fiscal Year</w:t>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Equity</w:t>
              <w:br/>
              <w:t>Award</w:t>
              <w:br/>
              <w:t>Adjustments</w:t>
            </w:r>
          </w:p>
        </w:tc>
      </w:tr>
      <w:tr>
        <w:trPr/>
        <w:tc>
          <w:tcPr>
            <w:tcW w:w="56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26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11,748,613 </w:t>
            </w:r>
          </w:p>
        </w:tc>
        <w:tc>
          <w:tcPr>
            <w:tcW w:w="1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(22,086,235)</w:t>
            </w:r>
          </w:p>
        </w:tc>
        <w:tc>
          <w:tcPr>
            <w:tcW w:w="14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900,004 </w:t>
            </w:r>
          </w:p>
        </w:tc>
        <w:tc>
          <w:tcPr>
            <w:tcW w:w="13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(5,571,540)</w:t>
            </w:r>
          </w:p>
        </w:tc>
        <w:tc>
          <w:tcPr>
            <w:tcW w:w="14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(15,009,158)</w:t>
            </w:r>
          </w:p>
        </w:tc>
        <w:tc>
          <w:tcPr>
            <w:tcW w:w="16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PEO 2:</w:t>
      </w:r>
    </w:p>
    <w:tbl>
      <w:tblPr>
        <w:tblW w:w="10205" w:type="dxa"/>
        <w:jc w:val="left"/>
        <w:tblInd w:w="0" w:type="dxa"/>
        <w:tblLayout w:type="fixed"/>
        <w:tblCellMar>
          <w:top w:w="28" w:type="dxa"/>
          <w:left w:w="28" w:type="dxa"/>
          <w:bottom w:w="28" w:type="dxa"/>
          <w:right w:w="28" w:type="dxa"/>
        </w:tblCellMar>
      </w:tblPr>
      <w:tblGrid>
        <w:gridCol w:w="206"/>
        <w:gridCol w:w="181"/>
        <w:gridCol w:w="182"/>
        <w:gridCol w:w="287"/>
        <w:gridCol w:w="1472"/>
        <w:gridCol w:w="148"/>
        <w:gridCol w:w="507"/>
        <w:gridCol w:w="975"/>
        <w:gridCol w:w="263"/>
        <w:gridCol w:w="269"/>
        <w:gridCol w:w="1246"/>
        <w:gridCol w:w="139"/>
        <w:gridCol w:w="433"/>
        <w:gridCol w:w="834"/>
        <w:gridCol w:w="223"/>
        <w:gridCol w:w="402"/>
        <w:gridCol w:w="775"/>
        <w:gridCol w:w="209"/>
        <w:gridCol w:w="211"/>
        <w:gridCol w:w="1081"/>
        <w:gridCol w:w="162"/>
      </w:tblGrid>
      <w:tr>
        <w:trPr/>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w:t>
            </w:r>
          </w:p>
        </w:tc>
        <w:tc>
          <w:tcPr>
            <w:tcW w:w="1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 Fair Value of Equity Awards Granted in the Fiscal Year and Outstanding and Unvested at Fiscal Year End</w:t>
            </w:r>
          </w:p>
        </w:tc>
        <w:tc>
          <w:tcPr>
            <w:tcW w:w="1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 Fair Value from the end of the prior Fiscal Year to the end of the Fiscal Year of Outstanding and Unvested Equity Awards Granted in Prior Years</w:t>
            </w:r>
          </w:p>
        </w:tc>
        <w:tc>
          <w:tcPr>
            <w:tcW w:w="1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as of Vesting Date of Equity Awards Granted and Vested in the Fiscal Year</w:t>
            </w:r>
          </w:p>
        </w:tc>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 Fair Value from the End of the Prior Fiscal Year to the Vesting Date of Equity Awards Granted in Prior Fiscal Years that Vested in the Fiscal Year</w:t>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at the End of the Prior Year of Equity Awards that Failed to Meet Vesting Conditions in the Year</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Equity</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Award</w:t>
            </w:r>
          </w:p>
          <w:p>
            <w:pPr>
              <w:pStyle w:val="TableContents"/>
              <w:bidi w:val="0"/>
              <w:spacing w:lineRule="auto" w:line="240" w:before="0" w:after="120"/>
              <w:jc w:val="center"/>
              <w:rPr>
                <w:rFonts w:ascii="Times New Roman;serif" w:hAnsi="Times New Roman;serif"/>
                <w:b/>
                <w:color w:val="000000"/>
                <w:sz w:val="16"/>
              </w:rPr>
            </w:pPr>
            <w:r>
              <w:rPr>
                <w:rFonts w:ascii="Times New Roman;serif" w:hAnsi="Times New Roman;serif"/>
                <w:b/>
                <w:color w:val="000000"/>
                <w:sz w:val="16"/>
              </w:rPr>
              <w:t>Adjustments</w:t>
            </w:r>
          </w:p>
        </w:tc>
      </w:tr>
      <w:tr>
        <w:trPr/>
        <w:tc>
          <w:tcPr>
            <w:tcW w:w="56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28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11,450,196 </w:t>
            </w:r>
          </w:p>
        </w:tc>
        <w:tc>
          <w:tcPr>
            <w:tcW w:w="14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7,457,740 </w:t>
            </w:r>
          </w:p>
        </w:tc>
        <w:tc>
          <w:tcPr>
            <w:tcW w:w="13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18,907,936 </w:t>
            </w:r>
          </w:p>
        </w:tc>
        <w:tc>
          <w:tcPr>
            <w:tcW w:w="16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The dollar amounts reported in column (f) represent the average of the amounts reported for the Company’s NEOs as a group (excluding Mr. Siebel, who has served as our Chief Executive Officer since 2011 and Mr. Ehikian) in the “Total” column of the Summary Compensation Table in each applicable year. The names of each of the NEOs (excluding Mr. Siebel and Mr. Ehikian) included for purposes of calculating the average amounts in each applicable year are as follows: (i) for 2026, Hitesh Lath; (ii) for 2025, Edward Abbo, Hitesh Lath and Merel Witteveen; (iii) for 2024, Edward Abbo, Juho Parkkinen, Houman Behzadi, Hitesh Lath and Guy Wanger; (iv) for 2023, Edward Abbo, Juho Parkkinen, Houman Behzadi and Richard Lutton; and (v) for 2022, David Barter, Edward Abbo, Juho Parkkinen, Houman Behzadi, Richard Lutton and Adeel Manzoor .</w:t>
      </w:r>
    </w:p>
    <w:p>
      <w:pPr>
        <w:pStyle w:val="TextBody"/>
        <w:bidi w:val="0"/>
        <w:spacing w:lineRule="auto" w:line="288" w:before="180" w:after="180"/>
        <w:ind w:left="0" w:right="0" w:hanging="360"/>
        <w:jc w:val="both"/>
        <w:rPr/>
      </w:pPr>
      <w:r>
        <w:rPr>
          <w:rFonts w:ascii="Times New Roman;serif" w:hAnsi="Times New Roman;serif"/>
          <w:b/>
          <w:color w:val="000000"/>
          <w:sz w:val="16"/>
        </w:rPr>
        <w:t xml:space="preserve">(4)    The dollar amounts reported in column </w:t>
      </w:r>
      <w:r>
        <w:rPr>
          <w:rFonts w:ascii="Times New Roman;serif" w:hAnsi="Times New Roman;serif"/>
          <w:b w:val="false"/>
          <w:color w:val="000000"/>
          <w:sz w:val="16"/>
        </w:rPr>
        <w:t>(g) represent the average amount of “compensation actually paid” to the NEOs as a group (excluding Mr. Siebel and Mr. Ehikian), as computed in accordance with Item 402(v) of Regulation S-K. The dollar amounts do not reflect the actual average amount of compensation earned by or paid to the NEOs as a group (excluding Mr. Siebel and Mr. Ehikian) during the applicable year. In accordance with the requirements of Item 402(v) of Regulation S-K, the following adjustments were made to average total compensation for the NEOs as a group (excluding Mr. Siebel and Mr. Ehikian) for the fiscal year indicated to determine the compensation actually paid, using the same methodology described above in Note 2 (adjustments for pension benefits are not covered, as the Company does not have any defined benefit or actuarial pension plans)</w:t>
      </w:r>
      <w:r>
        <w:rPr>
          <w:rFonts w:ascii="Times New Roman;serif" w:hAnsi="Times New Roman;serif"/>
          <w:b/>
          <w:color w:val="000000"/>
          <w:sz w:val="16"/>
        </w:rPr>
        <w:t>:</w:t>
      </w:r>
    </w:p>
    <w:tbl>
      <w:tblPr>
        <w:tblW w:w="10205" w:type="dxa"/>
        <w:jc w:val="left"/>
        <w:tblInd w:w="0" w:type="dxa"/>
        <w:tblLayout w:type="fixed"/>
        <w:tblCellMar>
          <w:top w:w="28" w:type="dxa"/>
          <w:left w:w="28" w:type="dxa"/>
          <w:bottom w:w="28" w:type="dxa"/>
          <w:right w:w="28" w:type="dxa"/>
        </w:tblCellMar>
      </w:tblPr>
      <w:tblGrid>
        <w:gridCol w:w="256"/>
        <w:gridCol w:w="225"/>
        <w:gridCol w:w="226"/>
        <w:gridCol w:w="459"/>
        <w:gridCol w:w="2129"/>
        <w:gridCol w:w="237"/>
        <w:gridCol w:w="329"/>
        <w:gridCol w:w="1607"/>
        <w:gridCol w:w="170"/>
        <w:gridCol w:w="311"/>
        <w:gridCol w:w="1516"/>
        <w:gridCol w:w="160"/>
        <w:gridCol w:w="388"/>
        <w:gridCol w:w="1902"/>
        <w:gridCol w:w="290"/>
      </w:tblGrid>
      <w:tr>
        <w:trPr/>
        <w:tc>
          <w:tcPr>
            <w:tcW w:w="2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w:t>
            </w:r>
          </w:p>
        </w:tc>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Reported Summary Compensation Table Total for Non-PEO NEOs</w:t>
            </w:r>
          </w:p>
        </w:tc>
        <w:tc>
          <w:tcPr>
            <w:tcW w:w="2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Reported Value of Equity Awards</w:t>
            </w:r>
          </w:p>
        </w:tc>
        <w:tc>
          <w:tcPr>
            <w:tcW w:w="19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Equity Award Adjustments(a)</w:t>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Compensation Actually Paid to Non-PEO NEOs</w:t>
            </w:r>
          </w:p>
        </w:tc>
      </w:tr>
      <w:tr>
        <w:trPr/>
        <w:tc>
          <w:tcPr>
            <w:tcW w:w="70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5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2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5,456,389 </w:t>
            </w:r>
          </w:p>
        </w:tc>
        <w:tc>
          <w:tcPr>
            <w:tcW w:w="23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(4,524,010)</w:t>
            </w:r>
          </w:p>
        </w:tc>
        <w:tc>
          <w:tcPr>
            <w:tcW w:w="17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(3,554,366)</w:t>
            </w:r>
          </w:p>
        </w:tc>
        <w:tc>
          <w:tcPr>
            <w:tcW w:w="1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(2,621,987)</w:t>
            </w:r>
          </w:p>
        </w:tc>
        <w:tc>
          <w:tcPr>
            <w:tcW w:w="29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    The amounts deducted or added in calculating the total average equity award adjustments for the fiscal year indicated are as follows (adjustments for dividend payments are not covered, as the Company does not pay dividends on equity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036955"/>
                <wp:effectExtent l="0" t="0" r="0" b="0"/>
                <wp:wrapNone/>
                <wp:docPr id="59" name="Frame59"/>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55</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4"/>
        <w:gridCol w:w="179"/>
        <w:gridCol w:w="180"/>
        <w:gridCol w:w="281"/>
        <w:gridCol w:w="1303"/>
        <w:gridCol w:w="145"/>
        <w:gridCol w:w="304"/>
        <w:gridCol w:w="1458"/>
        <w:gridCol w:w="157"/>
        <w:gridCol w:w="271"/>
        <w:gridCol w:w="1064"/>
        <w:gridCol w:w="140"/>
        <w:gridCol w:w="317"/>
        <w:gridCol w:w="1300"/>
        <w:gridCol w:w="164"/>
        <w:gridCol w:w="398"/>
        <w:gridCol w:w="767"/>
        <w:gridCol w:w="207"/>
        <w:gridCol w:w="211"/>
        <w:gridCol w:w="994"/>
        <w:gridCol w:w="161"/>
      </w:tblGrid>
      <w:tr>
        <w:trPr/>
        <w:tc>
          <w:tcPr>
            <w:tcW w:w="2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w:t>
            </w:r>
          </w:p>
        </w:tc>
        <w:tc>
          <w:tcPr>
            <w:tcW w:w="1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Fiscal Year End Fair Value of Equity Awards Granted in the Fiscal Year and Outstanding and Unvested at Fiscal Year End</w:t>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Change in Fair Value from the end of the prior Fiscal Year to the end of the Fiscal Year of Outstanding and Unvested Equity Awards Granted in Prior Years</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Fair Value as of Vesting Date of Equity Awards Granted and Vested in the Fiscal Year</w:t>
            </w:r>
          </w:p>
        </w:tc>
        <w:tc>
          <w:tcPr>
            <w:tcW w:w="1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Change in Fair Value from the End of the Prior Fiscal Year to the Vesting Date of Equity Awards Granted in Prior Fiscal Years that Vested in the Fiscal Year</w:t>
            </w:r>
          </w:p>
        </w:tc>
        <w:tc>
          <w:tcPr>
            <w:tcW w:w="1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Fair Value at the End of the Prior Fiscal Year of Equity Awards that Failed to Meet Vesting Conditions in the Fiscal Year</w:t>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Average</w:t>
              <w:br/>
              <w:t>Equity</w:t>
              <w:br/>
              <w:t>Award</w:t>
              <w:br/>
              <w:t>Adjustments</w:t>
            </w:r>
          </w:p>
        </w:tc>
      </w:tr>
      <w:tr>
        <w:trPr/>
        <w:tc>
          <w:tcPr>
            <w:tcW w:w="56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2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2,002,303 </w:t>
            </w:r>
          </w:p>
        </w:tc>
        <w:tc>
          <w:tcPr>
            <w:tcW w:w="14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(5,022,700)</w:t>
            </w:r>
          </w:p>
        </w:tc>
        <w:tc>
          <w:tcPr>
            <w:tcW w:w="15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437,272 </w:t>
            </w:r>
          </w:p>
        </w:tc>
        <w:tc>
          <w:tcPr>
            <w:tcW w:w="14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(971,241)</w:t>
            </w:r>
          </w:p>
        </w:tc>
        <w:tc>
          <w:tcPr>
            <w:tcW w:w="16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(3,554,366)</w:t>
            </w:r>
          </w:p>
        </w:tc>
        <w:tc>
          <w:tcPr>
            <w:tcW w:w="1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    Represents the total stockholder return (“TSR”) of a $100 investment in our stock as of April 30, 2021, valued again on each of April 30, 2022, 2023, 2024, 2025 and 2026. 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(6)    Represents the TSR of the S&amp;P 500 Information Technology Index based on a $100 investment in our Class A common stock as of April 30, 2021, valued again on each of April 30, 2022, 2023, 2024, 2025 and 2026. </w:t>
      </w:r>
    </w:p>
    <w:p>
      <w:pPr>
        <w:pStyle w:val="TextBody"/>
        <w:bidi w:val="0"/>
        <w:spacing w:lineRule="auto" w:line="26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(7)    The dollar amounts reported represent the amount of net income (loss) reflected in the Company’s audited financial statements for the applicable year.</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(8)    Reflects “revenue” for each fiscal year as set forth in our Consolidated Statements of Operations included in our Annual Report on Form 10-K for each of the fiscal years.</w:t>
      </w:r>
    </w:p>
    <w:p>
      <w:pPr>
        <w:pStyle w:val="TextBody"/>
        <w:bidi w:val="0"/>
        <w:spacing w:lineRule="auto" w:line="288" w:before="180" w:after="18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Financial Performance Measures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As described in greater detail in “Executive Compensation – Compensation Discussion and Analysis,” the Company’s executive compensation program reflects a pay-for-performance philosophy. The metrics that the Company uses for both our long-term and short-term incentive awards are selected based on an objective of incentivizing our NEOs to increase the value of our enterprise for our shareholders. The most important financial performance measures used by the Company to link executive compensation actually paid to the Company’s NEOs, for the most recently completed fiscal year, to the Company’s performance are as follows: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Net income</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Revenue</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Stock Price</w:t>
      </w:r>
    </w:p>
    <w:p>
      <w:pPr>
        <w:pStyle w:val="TextBody"/>
        <w:bidi w:val="0"/>
        <w:spacing w:lineRule="auto" w:line="288" w:before="180" w:after="180"/>
        <w:ind w:left="0" w:right="0" w:firstLine="180"/>
        <w:jc w:val="both"/>
        <w:rPr>
          <w:rFonts w:ascii="Times New Roman;serif" w:hAnsi="Times New Roman;serif"/>
          <w:b/>
          <w:i/>
          <w:color w:val="000000"/>
          <w:sz w:val="20"/>
        </w:rPr>
      </w:pPr>
      <w:r>
        <w:rPr>
          <w:rFonts w:ascii="Times New Roman;serif" w:hAnsi="Times New Roman;serif"/>
          <w:b/>
          <w:i/>
          <w:color w:val="000000"/>
          <w:sz w:val="20"/>
        </w:rPr>
        <w:t>Analysis of the Information Presented in the Pay versus Performance Table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As described in more detail in the section “Executive Compensation – Compensation Discussion and Analysis,” the Company’s executive compensation program reflects a pay-for-performance philosophy. While the Company utilizes several performance measures to align executive compensation with Company performance, not all of those Company performance measures are presented in the Pay versus Performance table. Moreover, the Company generally seeks to incentivize long-term performance, and therefore does not specifically align the Company’s performance measures with compensation that is actually paid (as computed in accordance with Item 402(v) of Regulation S-K) for a particular year. In accordance with Item 402(v) of Regulation S-K, the Company is providing the following descriptions of the relationships between information presented in the Pay versus Performance table.</w:t>
      </w:r>
    </w:p>
    <w:p>
      <w:pPr>
        <w:pStyle w:val="TextBody"/>
        <w:bidi w:val="0"/>
        <w:spacing w:lineRule="auto" w:line="288" w:before="18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Compensation Actually Paid and Cumulative TSR</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chart below shows the relationship between the compensation actually paid to Mr. Siebel and Mr. Ehikian and the average compensation actually paid to our other NEOs, on the one hand, to our cumulative TSR and the cumulative TSR of our Peer Group measured over the period commencing on April 30, 2021 and ending on April 30, 2026 (which is the last day of our last completed fiscal year), on the other.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036955"/>
                <wp:effectExtent l="0" t="0" r="0" b="0"/>
                <wp:wrapNone/>
                <wp:docPr id="60" name="Frame60"/>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56</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80" w:after="180"/>
        <w:jc w:val="center"/>
        <w:rPr/>
      </w:pPr>
      <w:r>
        <w:rPr/>
        <w:drawing>
          <wp:inline distT="0" distB="0" distL="0" distR="0">
            <wp:extent cx="5943600" cy="2847975"/>
            <wp:effectExtent l="0" t="0" r="0" b="0"/>
            <wp:docPr id="6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 descr=""/>
                    <pic:cNvPicPr>
                      <a:picLocks noChangeAspect="1" noChangeArrowheads="1"/>
                    </pic:cNvPicPr>
                  </pic:nvPicPr>
                  <pic:blipFill>
                    <a:blip r:embed="rId2"/>
                    <a:stretch>
                      <a:fillRect/>
                    </a:stretch>
                  </pic:blipFill>
                  <pic:spPr bwMode="auto">
                    <a:xfrm>
                      <a:off x="0" y="0"/>
                      <a:ext cx="5943600" cy="2847975"/>
                    </a:xfrm>
                    <a:prstGeom prst="rect">
                      <a:avLst/>
                    </a:prstGeom>
                  </pic:spPr>
                </pic:pic>
              </a:graphicData>
            </a:graphic>
          </wp:inline>
        </w:drawing>
      </w:r>
      <w:bookmarkStart w:id="0" w:name="i-1"/>
      <w:bookmarkEnd w:id="0"/>
    </w:p>
    <w:p>
      <w:pPr>
        <w:pStyle w:val="TextBody"/>
        <w:bidi w:val="0"/>
        <w:spacing w:lineRule="auto" w:line="288" w:before="18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Compensation Actually Paid and Net Income (Loss)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graph shows the relationship between the compensation actually paid to Mr. Siebel and Mr. Ehikian and the average compensation actually paid to our other NEOs, on the one hand, to our annual net income (loss) for each of the periods presented in the Pay Versus Performance table. </w:t>
      </w:r>
    </w:p>
    <w:p>
      <w:pPr>
        <w:pStyle w:val="TextBody"/>
        <w:bidi w:val="0"/>
        <w:spacing w:before="180" w:after="180"/>
        <w:jc w:val="center"/>
        <w:rPr/>
      </w:pPr>
      <w:r>
        <w:rPr/>
        <w:drawing>
          <wp:inline distT="0" distB="0" distL="0" distR="0">
            <wp:extent cx="5943600" cy="2847975"/>
            <wp:effectExtent l="0" t="0" r="0" b="0"/>
            <wp:docPr id="6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 descr=""/>
                    <pic:cNvPicPr>
                      <a:picLocks noChangeAspect="1" noChangeArrowheads="1"/>
                    </pic:cNvPicPr>
                  </pic:nvPicPr>
                  <pic:blipFill>
                    <a:blip r:embed="rId3"/>
                    <a:stretch>
                      <a:fillRect/>
                    </a:stretch>
                  </pic:blipFill>
                  <pic:spPr bwMode="auto">
                    <a:xfrm>
                      <a:off x="0" y="0"/>
                      <a:ext cx="5943600" cy="2847975"/>
                    </a:xfrm>
                    <a:prstGeom prst="rect">
                      <a:avLst/>
                    </a:prstGeom>
                  </pic:spPr>
                </pic:pic>
              </a:graphicData>
            </a:graphic>
          </wp:inline>
        </w:drawing>
      </w:r>
      <w:bookmarkStart w:id="1" w:name="i-2"/>
      <w:bookmarkEnd w:id="1"/>
    </w:p>
    <w:p>
      <w:pPr>
        <w:pStyle w:val="TextBody"/>
        <w:bidi w:val="0"/>
        <w:spacing w:lineRule="auto" w:line="288" w:before="18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Compensation Actually Paid and Revenue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graph shows the relationship between the compensation actually paid to Mr. Siebel and Mr. Ehikian and the average compensation actually paid to our other NEOs, on the one hand, to our annual revenue for each of the periods presented in the Pay Versus Performance 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036955"/>
                <wp:effectExtent l="0" t="0" r="0" b="0"/>
                <wp:wrapNone/>
                <wp:docPr id="63" name="Frame61"/>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57</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80" w:after="180"/>
        <w:jc w:val="center"/>
        <w:rPr/>
      </w:pPr>
      <w:r>
        <w:rPr/>
        <w:drawing>
          <wp:inline distT="0" distB="0" distL="0" distR="0">
            <wp:extent cx="5943600" cy="2847975"/>
            <wp:effectExtent l="0" t="0" r="0" b="0"/>
            <wp:docPr id="6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 descr=""/>
                    <pic:cNvPicPr>
                      <a:picLocks noChangeAspect="1" noChangeArrowheads="1"/>
                    </pic:cNvPicPr>
                  </pic:nvPicPr>
                  <pic:blipFill>
                    <a:blip r:embed="rId4"/>
                    <a:stretch>
                      <a:fillRect/>
                    </a:stretch>
                  </pic:blipFill>
                  <pic:spPr bwMode="auto">
                    <a:xfrm>
                      <a:off x="0" y="0"/>
                      <a:ext cx="5943600" cy="2847975"/>
                    </a:xfrm>
                    <a:prstGeom prst="rect">
                      <a:avLst/>
                    </a:prstGeom>
                  </pic:spPr>
                </pic:pic>
              </a:graphicData>
            </a:graphic>
          </wp:inline>
        </w:drawing>
      </w:r>
      <w:bookmarkStart w:id="2" w:name="i-3"/>
      <w:bookmarkEnd w:id="2"/>
    </w:p>
    <w:p>
      <w:pPr>
        <w:pStyle w:val="TextBody"/>
        <w:bidi w:val="0"/>
        <w:spacing w:lineRule="auto" w:line="288" w:before="18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Cumulative TSR of the Company and Cumulative TSR of the Peer Group</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chart below shows the relationship between our cumulative TSR for the period commencing on April 30, 2021 and ending on April 30, 2026 (which is the last day of our last completed fiscal year) to the cumulative TSR of the companies comprising the S&amp;P 500 Information Technology Index for the same period.</w:t>
      </w:r>
    </w:p>
    <w:p>
      <w:pPr>
        <w:pStyle w:val="TextBody"/>
        <w:bidi w:val="0"/>
        <w:spacing w:before="180" w:after="180"/>
        <w:jc w:val="center"/>
        <w:rPr/>
      </w:pPr>
      <w:r>
        <w:rPr/>
        <w:drawing>
          <wp:inline distT="0" distB="0" distL="0" distR="0">
            <wp:extent cx="5943600" cy="2847975"/>
            <wp:effectExtent l="0" t="0" r="0" b="0"/>
            <wp:docPr id="6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4" descr=""/>
                    <pic:cNvPicPr>
                      <a:picLocks noChangeAspect="1" noChangeArrowheads="1"/>
                    </pic:cNvPicPr>
                  </pic:nvPicPr>
                  <pic:blipFill>
                    <a:blip r:embed="rId5"/>
                    <a:stretch>
                      <a:fillRect/>
                    </a:stretch>
                  </pic:blipFill>
                  <pic:spPr bwMode="auto">
                    <a:xfrm>
                      <a:off x="0" y="0"/>
                      <a:ext cx="5943600" cy="2847975"/>
                    </a:xfrm>
                    <a:prstGeom prst="rect">
                      <a:avLst/>
                    </a:prstGeom>
                  </pic:spPr>
                </pic:pic>
              </a:graphicData>
            </a:graphic>
          </wp:inline>
        </w:drawing>
      </w:r>
      <w:bookmarkStart w:id="3" w:name="i-4"/>
      <w:bookmarkEnd w:id="3"/>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All of the information provided above under the “Pay Versus Performance” heading will not be deemed to be incorporated by reference into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 information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036955"/>
                <wp:effectExtent l="0" t="0" r="0" b="0"/>
                <wp:wrapNone/>
                <wp:docPr id="66" name="Frame62"/>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58</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CEO PAY RATIO</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As required by Item 402(u) of Regulation S-K, we are providing the following information about the relationship of the annual total compensation of our median employee and the annualized total compensation of our former Chief Executive Officer and current President, Stephen Ehikian: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For our fiscal year ended April 30, 2026:</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The median of the annual total compensation of our employees (other than our Chief Executive Officer) was $311,938;</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The annualized total compensation of our Chief Executive Officer was $37,000,013; and</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The ratio of the annualized total compensation of our Chief Executive Officer to the median of the annual total compensation of our employees was 119 to 1. This ratio is a reasonable estimate calculated in a manner consistent with SEC rules.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identified the employee with compensation at the median of the annual total compensation of all our employees for our fiscal year ended April 30, 2026, using the following methodology.</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To determine our median employee in our fiscal year ended April 30, 2026, we considered the individuals, excluding our Chief Executive Officer, who were employed by us on April 30, 2026, whether employed on a full-time, part-time, seasonal or temporary basis. Thus, our employee population used to determine our median employee consisted of approximately 764 individuals.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To identify our median employee, we chose to use the actual base salary paid and actual bonus paid during the fiscal year ended April 30, 2026.</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For employees paid other than in U.S. dollars, we converted their compensation to U.S. dollars using a 12-month average of monthly exchange rates during the 2026 fiscal year. We did not make any cost-of-living adjustments.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then calculated the total compensation for this individual for our fiscal year ended April 30, 2026, by using the same methodology we used to calculate the amount reported for our former Chief Executive Officer and current President in the “Total” column of the Summary Compensation Table as set forth in this proxy statement.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SEC rules for identifying the median of the annual total compensation of all employees allow companies to adopt a variety of methodologies, apply certain exclusions, and make reasonable estimates and assumptions that reflect their employee population and compensation practices. Accordingly, the pay ratio reported by another company may not be comparable to our pay ratio, as other companies have different employee populations and compensation practices and may have used different methodologies, exclusions, estimates and assumptions in calculating their pay ratios. As explained by the SEC, the rule was not designed to facilitate comparisons of pay ratios among different companies, even companies within the same industry, but rather to allow stockholders to better understand and assess each particular company’s compensation practices.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036955"/>
                <wp:effectExtent l="0" t="0" r="0" b="0"/>
                <wp:wrapNone/>
                <wp:docPr id="67" name="Frame63"/>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59</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EQUITY COMPENSATION PLAN INFORMATION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equity compensation plan information as of April 30, 2026.</w:t>
      </w:r>
    </w:p>
    <w:tbl>
      <w:tblPr>
        <w:tblW w:w="10205" w:type="dxa"/>
        <w:jc w:val="left"/>
        <w:tblInd w:w="0" w:type="dxa"/>
        <w:tblLayout w:type="fixed"/>
        <w:tblCellMar>
          <w:top w:w="28" w:type="dxa"/>
          <w:left w:w="28" w:type="dxa"/>
          <w:bottom w:w="28" w:type="dxa"/>
          <w:right w:w="28" w:type="dxa"/>
        </w:tblCellMar>
      </w:tblPr>
      <w:tblGrid>
        <w:gridCol w:w="649"/>
        <w:gridCol w:w="524"/>
        <w:gridCol w:w="459"/>
        <w:gridCol w:w="1079"/>
        <w:gridCol w:w="816"/>
        <w:gridCol w:w="818"/>
        <w:gridCol w:w="743"/>
        <w:gridCol w:w="743"/>
        <w:gridCol w:w="745"/>
        <w:gridCol w:w="1224"/>
        <w:gridCol w:w="993"/>
        <w:gridCol w:w="1412"/>
      </w:tblGrid>
      <w:tr>
        <w:trPr/>
        <w:tc>
          <w:tcPr>
            <w:tcW w:w="64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Plan Category</w:t>
            </w:r>
          </w:p>
        </w:tc>
        <w:tc>
          <w:tcPr>
            <w:tcW w:w="2713"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(a) Number of Securities to be Issued Upon Exercise of Outstanding Options, Warrants and Rights</w:t>
            </w:r>
            <w:r>
              <w:rPr>
                <w:rFonts w:ascii="Times New Roman;serif" w:hAnsi="Times New Roman;serif"/>
                <w:b/>
                <w:color w:val="000000"/>
                <w:sz w:val="13"/>
              </w:rPr>
              <w:t>(1)</w:t>
            </w:r>
          </w:p>
        </w:tc>
        <w:tc>
          <w:tcPr>
            <w:tcW w:w="223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(b) Weighted Average Exercise Price of Outstanding Options, Warrants and Rights</w:t>
            </w:r>
            <w:r>
              <w:rPr>
                <w:rFonts w:ascii="Times New Roman;serif" w:hAnsi="Times New Roman;serif"/>
                <w:b/>
                <w:color w:val="000000"/>
                <w:sz w:val="13"/>
              </w:rPr>
              <w:t>(2)</w:t>
            </w:r>
          </w:p>
        </w:tc>
        <w:tc>
          <w:tcPr>
            <w:tcW w:w="362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(c) Number of Securities Remaining Available for Future Issuance Under Equity Compensation Plans (Excluding Securities Reflected in Column (a)</w:t>
            </w:r>
            <w:r>
              <w:rPr>
                <w:rFonts w:ascii="Times New Roman;serif" w:hAnsi="Times New Roman;serif"/>
                <w:b/>
                <w:color w:val="000000"/>
                <w:sz w:val="13"/>
              </w:rPr>
              <w:t>(3)</w:t>
            </w:r>
          </w:p>
        </w:tc>
      </w:tr>
      <w:tr>
        <w:trPr/>
        <w:tc>
          <w:tcPr>
            <w:tcW w:w="163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 xml:space="preserve">Equity plans approved by stockholders </w:t>
            </w:r>
            <w:r>
              <w:rPr>
                <w:rFonts w:ascii="Times New Roman;serif" w:hAnsi="Times New Roman;serif"/>
                <w:b w:val="false"/>
                <w:color w:val="000000"/>
                <w:sz w:val="13"/>
              </w:rPr>
              <w:t>(4)</w:t>
            </w:r>
          </w:p>
        </w:tc>
        <w:tc>
          <w:tcPr>
            <w:tcW w:w="271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 xml:space="preserve">32,419,429 </w:t>
            </w:r>
          </w:p>
        </w:tc>
        <w:tc>
          <w:tcPr>
            <w:tcW w:w="22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 xml:space="preserve">$15.44 </w:t>
            </w:r>
          </w:p>
        </w:tc>
        <w:tc>
          <w:tcPr>
            <w:tcW w:w="362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 xml:space="preserve">11,300,679 </w:t>
            </w:r>
          </w:p>
        </w:tc>
      </w:tr>
      <w:tr>
        <w:trPr/>
        <w:tc>
          <w:tcPr>
            <w:tcW w:w="16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Equity plans not approved by stockholders </w:t>
            </w:r>
            <w:r>
              <w:rPr>
                <w:rFonts w:ascii="Times New Roman;serif" w:hAnsi="Times New Roman;serif"/>
                <w:b w:val="false"/>
                <w:color w:val="000000"/>
                <w:sz w:val="13"/>
              </w:rPr>
              <w:t>(5)</w:t>
            </w:r>
          </w:p>
        </w:tc>
        <w:tc>
          <w:tcPr>
            <w:tcW w:w="271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 xml:space="preserve">1,282,139 </w:t>
            </w:r>
          </w:p>
        </w:tc>
        <w:tc>
          <w:tcPr>
            <w:tcW w:w="223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 xml:space="preserve">$17.53 </w:t>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 xml:space="preserve">2,576,959 </w:t>
            </w:r>
          </w:p>
        </w:tc>
      </w:tr>
      <w:tr>
        <w:trPr/>
        <w:tc>
          <w:tcPr>
            <w:tcW w:w="16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895"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33,701,568 </w:t>
            </w:r>
          </w:p>
        </w:tc>
        <w:tc>
          <w:tcPr>
            <w:tcW w:w="81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13,877,638 </w:t>
            </w:r>
          </w:p>
        </w:tc>
        <w:tc>
          <w:tcPr>
            <w:tcW w:w="141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(1)Includes the 2012 Plan, the 2020 Plan, and the Inducement Plan, but does not include future rights to purchase Class A common stock under our 2020 ESPP, which depend on a number of factors described in our 2020 ESPP and will not be determined until the end of the applicable purchase period.</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(2)The weighted-average exercise price excludes any outstanding RSUs, which have no exercise price.</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(3)Includes the 2020 Plan, 2020 ESPP, and the Inducement Plan. Options, RSUs, or other stock awards granted under the 2012 Plan that are forfeited, terminated, expired, or repurchased become available for issuance under the 2020 Plan. </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(4)The 2020 Plan provides that the total number of shares of our Class A common stock reserved for issuance thereunder will automatically increase on May 1st of each fiscal year for a period of up to seven years commencing on May 1, 2024, and ending on (and including) May 1, 2030, in an amount equal to 7% of the total number of shares of Class A and Class B common stock outstanding on April 30th of the preceding fiscal year, or such lesser number of shares as determined by our board of directors prior to May 1st of a given fiscal year. In addition, the 2020 ESPP provides that the total number of shares of our Class A common stock reserved for issuance thereunder will automatically increase on May 1st of each fiscal year for a period of up to ten years commencing on May 1, 2021, and ending on (and including) May 1, 2030, in an amount equal to the least of:</w:t>
      </w:r>
    </w:p>
    <w:p>
      <w:pPr>
        <w:pStyle w:val="TextBody"/>
        <w:bidi w:val="0"/>
        <w:spacing w:lineRule="auto" w:line="288" w:before="180" w:after="18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(i)    1% of the total number of shares of common stock outstanding on April 30th of the preceding fiscal year;</w:t>
      </w:r>
    </w:p>
    <w:p>
      <w:pPr>
        <w:pStyle w:val="TextBody"/>
        <w:bidi w:val="0"/>
        <w:spacing w:lineRule="auto" w:line="288" w:before="180" w:after="18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 xml:space="preserve">(ii)    4,500,000 shares of Class A common stock; and </w:t>
      </w:r>
    </w:p>
    <w:p>
      <w:pPr>
        <w:pStyle w:val="TextBody"/>
        <w:bidi w:val="0"/>
        <w:spacing w:lineRule="auto" w:line="288" w:before="180" w:after="18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 xml:space="preserve">(iii)    such lesser number of shares of Class A common stock as determined by our board of directors prior to May 1 of a given fiscal year. Accordingly, on May 1, 2025, the number of shares of Class A common stock available for issuance under the 2020 Plan and the 2020 ESPP increased by 10,360,509 shares and 1,480,072 shares, respectively, pursuant to these provisions. These increases are not reflected in the table above. </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(5)Includes our Inducement Plan. In September 2025, our board of directors adopted the Inducement Plan, which provides for the grant of equity-based awards in the form of non-statutory stock options, stock appreciation rights, restricted stock awards, restricted stock unit awards, performance awards, and other stock-based awards. The Inducement Plan was adopted by our board of directors without stockholder approval pursuant to Section 303A.08 of the NYSE Listed Company Manual. Awards under the Inducement Plan may be granted only to persons who satisfy the standards for “employment inducement awards” under Section 303A.08 of the NYSE Listed Company Manual.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036955"/>
                <wp:effectExtent l="0" t="0" r="0" b="0"/>
                <wp:wrapNone/>
                <wp:docPr id="68" name="Frame64"/>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60</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SECURITY OWNERSHIP OF CERTAIN BENEFICIAL OWNERS AND MANAGEMENT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information regarding the ownership of our common stock as of August 4, 2026 by: </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each named executive officer;</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each of our directors and director nominees;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our directors and executive officers as a group; and</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each person known by us to own beneficially more than 5% of our Class A or Class B common stock.</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have determined beneficial ownership in accordance with SEC rules and regulations,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community property laws.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have based percentage ownership on 156,587,193 shares of Class A common stock and 3,499,992 shares of Class B common stock outstanding as of August 4, 2026. In computing the number of shares beneficially owned by a person and the percentage ownership of such person, we deemed to be outstanding all shares subject to options held by the person that are currently exercisable or would be exercisable within 60 days of August 4, 2026, and any shares convertible by such person. However, except as described above, we did not deem such shares outstanding for the purpose of computing the percentage ownership of any other person.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Unless otherwise indicated, the address for each beneficial owner listed in the table below is c/o C3.ai, Inc., 1400 Seaport Blvd, Redwood City, California 94063.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036955"/>
                <wp:effectExtent l="0" t="0" r="0" b="0"/>
                <wp:wrapNone/>
                <wp:docPr id="69" name="Frame65"/>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61</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02"/>
        <w:gridCol w:w="1153"/>
        <w:gridCol w:w="1134"/>
        <w:gridCol w:w="406"/>
        <w:gridCol w:w="355"/>
        <w:gridCol w:w="275"/>
        <w:gridCol w:w="265"/>
        <w:gridCol w:w="263"/>
        <w:gridCol w:w="682"/>
        <w:gridCol w:w="364"/>
        <w:gridCol w:w="319"/>
        <w:gridCol w:w="260"/>
        <w:gridCol w:w="265"/>
        <w:gridCol w:w="263"/>
        <w:gridCol w:w="682"/>
        <w:gridCol w:w="455"/>
        <w:gridCol w:w="395"/>
        <w:gridCol w:w="1267"/>
      </w:tblGrid>
      <w:tr>
        <w:trPr/>
        <w:tc>
          <w:tcPr>
            <w:tcW w:w="1402"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r>
      <w:tr>
        <w:trPr/>
        <w:tc>
          <w:tcPr>
            <w:tcW w:w="3689" w:type="dxa"/>
            <w:gridSpan w:val="3"/>
            <w:vMerge w:val="restart"/>
            <w:tcBorders>
              <w:top w:val="single" w:sz="4" w:space="0" w:color="000000"/>
              <w:left w:val="single" w:sz="4" w:space="0" w:color="000000"/>
            </w:tcBorders>
            <w:tcMar>
              <w:top w:w="30" w:type="dxa"/>
              <w:left w:w="47"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2246" w:type="dxa"/>
            <w:gridSpan w:val="6"/>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w:t>
            </w:r>
          </w:p>
        </w:tc>
        <w:tc>
          <w:tcPr>
            <w:tcW w:w="2153" w:type="dxa"/>
            <w:gridSpan w:val="6"/>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B Common Stock</w:t>
            </w:r>
          </w:p>
        </w:tc>
        <w:tc>
          <w:tcPr>
            <w:tcW w:w="2117"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of Total Voting Power(1)</w:t>
            </w:r>
          </w:p>
        </w:tc>
      </w:tr>
      <w:tr>
        <w:trPr/>
        <w:tc>
          <w:tcPr>
            <w:tcW w:w="3689" w:type="dxa"/>
            <w:gridSpan w:val="3"/>
            <w:vMerge w:val="continue"/>
            <w:tcBorders>
              <w:top w:val="single" w:sz="4" w:space="0" w:color="000000"/>
              <w:left w:val="single" w:sz="4" w:space="0" w:color="000000"/>
            </w:tcBorders>
            <w:tcMar>
              <w:top w:w="30" w:type="dxa"/>
              <w:left w:w="47" w:type="dxa"/>
              <w:bottom w:w="0" w:type="dxa"/>
              <w:right w:w="0" w:type="dxa"/>
            </w:tcMar>
            <w:vAlign w:val="center"/>
          </w:tcPr>
          <w:p>
            <w:pPr>
              <w:pStyle w:val="Normal"/>
              <w:bidi w:val="0"/>
              <w:jc w:val="left"/>
              <w:rPr/>
            </w:pPr>
            <w:r>
              <w:rPr/>
            </w:r>
          </w:p>
        </w:tc>
        <w:tc>
          <w:tcPr>
            <w:tcW w:w="10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12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9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1210" w:type="dxa"/>
            <w:gridSpan w:val="3"/>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2117"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3689" w:type="dxa"/>
            <w:gridSpan w:val="3"/>
            <w:tcBorders>
              <w:top w:val="single" w:sz="4" w:space="0" w:color="000000"/>
              <w:left w:val="single" w:sz="4" w:space="0" w:color="000000"/>
            </w:tcBorders>
            <w:tcMar>
              <w:top w:w="30" w:type="dxa"/>
              <w:left w:w="47"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5% Stockholders</w:t>
            </w:r>
          </w:p>
        </w:tc>
        <w:tc>
          <w:tcPr>
            <w:tcW w:w="103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Thomas M. Siebel</w:t>
            </w:r>
            <w:r>
              <w:rPr>
                <w:rFonts w:ascii="Times New Roman;serif" w:hAnsi="Times New Roman;serif"/>
                <w:b w:val="false"/>
                <w:color w:val="000000"/>
                <w:sz w:val="13"/>
              </w:rPr>
              <w:t>(2)(3)</w:t>
            </w:r>
          </w:p>
        </w:tc>
        <w:tc>
          <w:tcPr>
            <w:tcW w:w="1036"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23,911,944</w:t>
            </w:r>
          </w:p>
        </w:tc>
        <w:tc>
          <w:tcPr>
            <w:tcW w:w="5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68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3,072,820</w:t>
            </w:r>
          </w:p>
        </w:tc>
        <w:tc>
          <w:tcPr>
            <w:tcW w:w="5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68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gridSpan w:val="2"/>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267" w:type="dxa"/>
            <w:tcBorders>
              <w:right w:val="single" w:sz="4" w:space="0" w:color="000000"/>
            </w:tcBorders>
            <w:shd w:fill="DBDBDB"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9" w:type="dxa"/>
            <w:gridSpan w:val="3"/>
            <w:tcBorders>
              <w:left w:val="single" w:sz="4" w:space="0" w:color="000000"/>
            </w:tcBorders>
            <w:tcMar>
              <w:top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Vanguard Portfolio Management LLC </w:t>
            </w:r>
            <w:r>
              <w:rPr>
                <w:rFonts w:ascii="Times New Roman;serif" w:hAnsi="Times New Roman;serif"/>
                <w:b w:val="false"/>
                <w:color w:val="000000"/>
                <w:sz w:val="13"/>
              </w:rPr>
              <w:t>(4)</w:t>
            </w:r>
          </w:p>
        </w:tc>
        <w:tc>
          <w:tcPr>
            <w:tcW w:w="1036"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8,655,944</w:t>
            </w:r>
          </w:p>
        </w:tc>
        <w:tc>
          <w:tcPr>
            <w:tcW w:w="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6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gridSpan w:val="2"/>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gridSpan w:val="2"/>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267" w:type="dxa"/>
            <w:tcBorders>
              <w:right w:val="single" w:sz="4" w:space="0" w:color="000000"/>
            </w:tcBorders>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9"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BlackRock, Inc </w:t>
            </w:r>
            <w:r>
              <w:rPr>
                <w:rFonts w:ascii="Times New Roman;serif" w:hAnsi="Times New Roman;serif"/>
                <w:b w:val="false"/>
                <w:color w:val="000000"/>
                <w:sz w:val="13"/>
              </w:rPr>
              <w:t>(5)</w:t>
            </w:r>
          </w:p>
        </w:tc>
        <w:tc>
          <w:tcPr>
            <w:tcW w:w="1036"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9,694,153</w:t>
            </w:r>
          </w:p>
        </w:tc>
        <w:tc>
          <w:tcPr>
            <w:tcW w:w="5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68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gridSpan w:val="2"/>
            <w:tcBorders>
              <w:left w:val="single" w:sz="4" w:space="0" w:color="000000"/>
            </w:tcBorders>
            <w:shd w:fill="DCDCDC"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DCDCD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CDCD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2" w:type="dxa"/>
            <w:tcBorders/>
            <w:shd w:fill="DCDCD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gridSpan w:val="2"/>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267" w:type="dxa"/>
            <w:tcBorders>
              <w:right w:val="single" w:sz="4" w:space="0" w:color="000000"/>
            </w:tcBorders>
            <w:shd w:fill="DBDBDB"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left w:val="single" w:sz="4" w:space="0" w:color="000000"/>
            </w:tcBorders>
            <w:tcMar>
              <w:top w:w="0" w:type="dxa"/>
              <w:left w:w="47"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Directors and Officers</w:t>
            </w:r>
          </w:p>
        </w:tc>
        <w:tc>
          <w:tcPr>
            <w:tcW w:w="1036"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Thomas M. Siebel </w:t>
            </w:r>
            <w:r>
              <w:rPr>
                <w:rFonts w:ascii="Times New Roman;serif" w:hAnsi="Times New Roman;serif"/>
                <w:b w:val="false"/>
                <w:color w:val="000000"/>
                <w:sz w:val="13"/>
              </w:rPr>
              <w:t>(2)</w:t>
            </w:r>
          </w:p>
        </w:tc>
        <w:tc>
          <w:tcPr>
            <w:tcW w:w="1036"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23,402,728</w:t>
            </w:r>
          </w:p>
        </w:tc>
        <w:tc>
          <w:tcPr>
            <w:tcW w:w="5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68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2,572,820</w:t>
            </w:r>
          </w:p>
        </w:tc>
        <w:tc>
          <w:tcPr>
            <w:tcW w:w="5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68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gridSpan w:val="2"/>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267" w:type="dxa"/>
            <w:tcBorders>
              <w:right w:val="single" w:sz="4" w:space="0" w:color="000000"/>
            </w:tcBorders>
            <w:shd w:fill="DBDBDB"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Shares subject to voting proxy</w:t>
            </w:r>
            <w:r>
              <w:rPr>
                <w:color w:val="000000"/>
              </w:rPr>
              <w:t xml:space="preserve"> </w:t>
            </w:r>
            <w:r>
              <w:rPr>
                <w:rFonts w:ascii="Times New Roman;serif" w:hAnsi="Times New Roman;serif"/>
                <w:b w:val="false"/>
                <w:color w:val="000000"/>
                <w:sz w:val="13"/>
              </w:rPr>
              <w:t>(3)</w:t>
            </w:r>
          </w:p>
        </w:tc>
        <w:tc>
          <w:tcPr>
            <w:tcW w:w="1036"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509,216</w:t>
            </w:r>
          </w:p>
        </w:tc>
        <w:tc>
          <w:tcPr>
            <w:tcW w:w="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6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w:t>
            </w:r>
          </w:p>
        </w:tc>
        <w:tc>
          <w:tcPr>
            <w:tcW w:w="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6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gridSpan w:val="2"/>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267" w:type="dxa"/>
            <w:tcBorders>
              <w:right w:val="single" w:sz="4" w:space="0" w:color="000000"/>
            </w:tcBorders>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9"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Total</w:t>
            </w:r>
          </w:p>
        </w:tc>
        <w:tc>
          <w:tcPr>
            <w:tcW w:w="1036"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23,911,944</w:t>
            </w:r>
          </w:p>
        </w:tc>
        <w:tc>
          <w:tcPr>
            <w:tcW w:w="5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68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3,072,820</w:t>
            </w:r>
          </w:p>
        </w:tc>
        <w:tc>
          <w:tcPr>
            <w:tcW w:w="5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68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gridSpan w:val="2"/>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267" w:type="dxa"/>
            <w:tcBorders>
              <w:right w:val="single" w:sz="4" w:space="0" w:color="000000"/>
            </w:tcBorders>
            <w:shd w:fill="DBDBDB"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Hitesh Lath </w:t>
            </w:r>
            <w:r>
              <w:rPr>
                <w:rFonts w:ascii="Times New Roman;serif" w:hAnsi="Times New Roman;serif"/>
                <w:b w:val="false"/>
                <w:color w:val="000000"/>
                <w:sz w:val="13"/>
              </w:rPr>
              <w:t>(6)</w:t>
            </w:r>
          </w:p>
        </w:tc>
        <w:tc>
          <w:tcPr>
            <w:tcW w:w="1036"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122,113</w:t>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gridSpan w:val="2"/>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7" w:type="dxa"/>
            <w:gridSpan w:val="3"/>
            <w:tcBorders>
              <w:left w:val="single" w:sz="4" w:space="0" w:color="000000"/>
              <w:right w:val="single" w:sz="4" w:space="0" w:color="000000"/>
            </w:tcBorders>
            <w:tcMar>
              <w:top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9"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Stephen Ehikian </w:t>
            </w:r>
            <w:r>
              <w:rPr>
                <w:rFonts w:ascii="Times New Roman;serif" w:hAnsi="Times New Roman;serif"/>
                <w:b w:val="false"/>
                <w:color w:val="000000"/>
                <w:sz w:val="13"/>
              </w:rPr>
              <w:t>(7)</w:t>
            </w:r>
          </w:p>
        </w:tc>
        <w:tc>
          <w:tcPr>
            <w:tcW w:w="1036"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598,026</w:t>
            </w:r>
          </w:p>
        </w:tc>
        <w:tc>
          <w:tcPr>
            <w:tcW w:w="12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gridSpan w:val="2"/>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7" w:type="dxa"/>
            <w:gridSpan w:val="3"/>
            <w:tcBorders>
              <w:left w:val="single" w:sz="4" w:space="0" w:color="000000"/>
              <w:right w:val="single" w:sz="4" w:space="0" w:color="000000"/>
            </w:tcBorders>
            <w:shd w:fill="DBDBDB" w:val="clear"/>
            <w:tcMar>
              <w:top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Mike Clayville </w:t>
            </w:r>
            <w:r>
              <w:rPr>
                <w:rFonts w:ascii="Times New Roman;serif" w:hAnsi="Times New Roman;serif"/>
                <w:b w:val="false"/>
                <w:color w:val="000000"/>
                <w:sz w:val="13"/>
              </w:rPr>
              <w:t>(8)</w:t>
            </w:r>
          </w:p>
        </w:tc>
        <w:tc>
          <w:tcPr>
            <w:tcW w:w="1036"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92,939</w:t>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gridSpan w:val="2"/>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7" w:type="dxa"/>
            <w:gridSpan w:val="3"/>
            <w:tcBorders>
              <w:left w:val="single" w:sz="4" w:space="0" w:color="000000"/>
              <w:right w:val="single" w:sz="4" w:space="0" w:color="000000"/>
            </w:tcBorders>
            <w:tcMar>
              <w:top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9"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John C. Dwyer </w:t>
            </w:r>
            <w:r>
              <w:rPr>
                <w:rFonts w:ascii="Times New Roman;serif" w:hAnsi="Times New Roman;serif"/>
                <w:b w:val="false"/>
                <w:color w:val="000000"/>
                <w:sz w:val="13"/>
              </w:rPr>
              <w:t>(9)</w:t>
            </w:r>
          </w:p>
        </w:tc>
        <w:tc>
          <w:tcPr>
            <w:tcW w:w="1036"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w:t>
            </w:r>
          </w:p>
        </w:tc>
        <w:tc>
          <w:tcPr>
            <w:tcW w:w="12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gridSpan w:val="2"/>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7" w:type="dxa"/>
            <w:gridSpan w:val="3"/>
            <w:tcBorders>
              <w:left w:val="single" w:sz="4" w:space="0" w:color="000000"/>
              <w:right w:val="single" w:sz="4" w:space="0" w:color="000000"/>
            </w:tcBorders>
            <w:shd w:fill="DBDBDB" w:val="clear"/>
            <w:tcMar>
              <w:top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Kenneth Goldman </w:t>
            </w:r>
            <w:r>
              <w:rPr>
                <w:rFonts w:ascii="Times New Roman;serif" w:hAnsi="Times New Roman;serif"/>
                <w:b w:val="false"/>
                <w:color w:val="000000"/>
                <w:sz w:val="13"/>
              </w:rPr>
              <w:t>(10)</w:t>
            </w:r>
          </w:p>
        </w:tc>
        <w:tc>
          <w:tcPr>
            <w:tcW w:w="1036"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102,433</w:t>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gridSpan w:val="2"/>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7" w:type="dxa"/>
            <w:gridSpan w:val="3"/>
            <w:tcBorders>
              <w:left w:val="single" w:sz="4" w:space="0" w:color="000000"/>
              <w:right w:val="single" w:sz="4" w:space="0" w:color="000000"/>
            </w:tcBorders>
            <w:tcMar>
              <w:top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9"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General (Ret.) John Hyten </w:t>
            </w:r>
            <w:r>
              <w:rPr>
                <w:rFonts w:ascii="Times New Roman;serif" w:hAnsi="Times New Roman;serif"/>
                <w:b w:val="false"/>
                <w:color w:val="000000"/>
                <w:sz w:val="13"/>
              </w:rPr>
              <w:t>(11)</w:t>
            </w:r>
          </w:p>
        </w:tc>
        <w:tc>
          <w:tcPr>
            <w:tcW w:w="1036"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213,692</w:t>
            </w:r>
          </w:p>
        </w:tc>
        <w:tc>
          <w:tcPr>
            <w:tcW w:w="12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gridSpan w:val="2"/>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7" w:type="dxa"/>
            <w:gridSpan w:val="3"/>
            <w:tcBorders>
              <w:left w:val="single" w:sz="4" w:space="0" w:color="000000"/>
              <w:right w:val="single" w:sz="4" w:space="0" w:color="000000"/>
            </w:tcBorders>
            <w:shd w:fill="DBDBDB" w:val="clear"/>
            <w:tcMar>
              <w:top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Richard C. Levin </w:t>
            </w:r>
            <w:r>
              <w:rPr>
                <w:rFonts w:ascii="Times New Roman;serif" w:hAnsi="Times New Roman;serif"/>
                <w:b w:val="false"/>
                <w:color w:val="000000"/>
                <w:sz w:val="13"/>
              </w:rPr>
              <w:t>(12)</w:t>
            </w:r>
          </w:p>
        </w:tc>
        <w:tc>
          <w:tcPr>
            <w:tcW w:w="1036"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403,033</w:t>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gridSpan w:val="2"/>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7" w:type="dxa"/>
            <w:gridSpan w:val="3"/>
            <w:tcBorders>
              <w:left w:val="single" w:sz="4" w:space="0" w:color="000000"/>
              <w:right w:val="single" w:sz="4" w:space="0" w:color="000000"/>
            </w:tcBorders>
            <w:tcMar>
              <w:top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9"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Michael McCaffery </w:t>
            </w:r>
            <w:r>
              <w:rPr>
                <w:rFonts w:ascii="Times New Roman;serif" w:hAnsi="Times New Roman;serif"/>
                <w:b w:val="false"/>
                <w:color w:val="000000"/>
                <w:sz w:val="13"/>
              </w:rPr>
              <w:t>(13)</w:t>
            </w:r>
          </w:p>
        </w:tc>
        <w:tc>
          <w:tcPr>
            <w:tcW w:w="1036"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1,356,719</w:t>
            </w:r>
          </w:p>
        </w:tc>
        <w:tc>
          <w:tcPr>
            <w:tcW w:w="12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gridSpan w:val="2"/>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7" w:type="dxa"/>
            <w:gridSpan w:val="3"/>
            <w:tcBorders>
              <w:left w:val="single" w:sz="4" w:space="0" w:color="000000"/>
              <w:right w:val="single" w:sz="4" w:space="0" w:color="000000"/>
            </w:tcBorders>
            <w:shd w:fill="DBDBDB" w:val="clear"/>
            <w:tcMar>
              <w:top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Alan Murray </w:t>
            </w:r>
            <w:r>
              <w:rPr>
                <w:rFonts w:ascii="Times New Roman;serif" w:hAnsi="Times New Roman;serif"/>
                <w:b w:val="false"/>
                <w:color w:val="000000"/>
                <w:sz w:val="13"/>
              </w:rPr>
              <w:t>(14)</w:t>
            </w:r>
          </w:p>
        </w:tc>
        <w:tc>
          <w:tcPr>
            <w:tcW w:w="1036"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89,139</w:t>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gridSpan w:val="2"/>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7" w:type="dxa"/>
            <w:gridSpan w:val="3"/>
            <w:tcBorders>
              <w:left w:val="single" w:sz="4" w:space="0" w:color="000000"/>
              <w:right w:val="single" w:sz="4" w:space="0" w:color="000000"/>
            </w:tcBorders>
            <w:tcMar>
              <w:top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9"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Condoleezza Rice </w:t>
            </w:r>
            <w:r>
              <w:rPr>
                <w:rFonts w:ascii="Times New Roman;serif" w:hAnsi="Times New Roman;serif"/>
                <w:b w:val="false"/>
                <w:color w:val="000000"/>
                <w:sz w:val="13"/>
              </w:rPr>
              <w:t>(15)</w:t>
            </w:r>
          </w:p>
        </w:tc>
        <w:tc>
          <w:tcPr>
            <w:tcW w:w="1036"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594,156</w:t>
            </w:r>
          </w:p>
        </w:tc>
        <w:tc>
          <w:tcPr>
            <w:tcW w:w="12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gridSpan w:val="2"/>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7" w:type="dxa"/>
            <w:gridSpan w:val="3"/>
            <w:tcBorders>
              <w:left w:val="single" w:sz="4" w:space="0" w:color="000000"/>
              <w:right w:val="single" w:sz="4" w:space="0" w:color="000000"/>
            </w:tcBorders>
            <w:shd w:fill="DBDBDB" w:val="clear"/>
            <w:tcMar>
              <w:top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Bruce Sewell </w:t>
            </w:r>
            <w:r>
              <w:rPr>
                <w:rFonts w:ascii="Times New Roman;serif" w:hAnsi="Times New Roman;serif"/>
                <w:b w:val="false"/>
                <w:color w:val="000000"/>
                <w:sz w:val="13"/>
              </w:rPr>
              <w:t>(16)</w:t>
            </w:r>
          </w:p>
        </w:tc>
        <w:tc>
          <w:tcPr>
            <w:tcW w:w="1036"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749,499</w:t>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gridSpan w:val="2"/>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7" w:type="dxa"/>
            <w:gridSpan w:val="3"/>
            <w:tcBorders>
              <w:left w:val="single" w:sz="4" w:space="0" w:color="000000"/>
              <w:right w:val="single" w:sz="4" w:space="0" w:color="000000"/>
            </w:tcBorders>
            <w:tcMar>
              <w:top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9"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KR Sridhar </w:t>
            </w:r>
            <w:r>
              <w:rPr>
                <w:rFonts w:ascii="Times New Roman;serif" w:hAnsi="Times New Roman;serif"/>
                <w:b w:val="false"/>
                <w:color w:val="000000"/>
                <w:sz w:val="13"/>
              </w:rPr>
              <w:t>(17)</w:t>
            </w:r>
          </w:p>
        </w:tc>
        <w:tc>
          <w:tcPr>
            <w:tcW w:w="1036"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136,114</w:t>
            </w:r>
          </w:p>
        </w:tc>
        <w:tc>
          <w:tcPr>
            <w:tcW w:w="12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gridSpan w:val="2"/>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7" w:type="dxa"/>
            <w:gridSpan w:val="3"/>
            <w:tcBorders>
              <w:left w:val="single" w:sz="4" w:space="0" w:color="000000"/>
              <w:right w:val="single" w:sz="4" w:space="0" w:color="000000"/>
            </w:tcBorders>
            <w:shd w:fill="DBDBDB" w:val="clear"/>
            <w:tcMar>
              <w:top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Stephen M. Ward, Jr. </w:t>
            </w:r>
            <w:r>
              <w:rPr>
                <w:rFonts w:ascii="Times New Roman;serif" w:hAnsi="Times New Roman;serif"/>
                <w:b w:val="false"/>
                <w:color w:val="000000"/>
                <w:sz w:val="13"/>
              </w:rPr>
              <w:t>(18)</w:t>
            </w:r>
          </w:p>
        </w:tc>
        <w:tc>
          <w:tcPr>
            <w:tcW w:w="1036"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858,753</w:t>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gridSpan w:val="2"/>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7" w:type="dxa"/>
            <w:gridSpan w:val="3"/>
            <w:tcBorders>
              <w:left w:val="single" w:sz="4" w:space="0" w:color="000000"/>
              <w:right w:val="single" w:sz="4" w:space="0" w:color="000000"/>
            </w:tcBorders>
            <w:tcMar>
              <w:top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9" w:type="dxa"/>
            <w:gridSpan w:val="3"/>
            <w:tcBorders>
              <w:left w:val="single" w:sz="4" w:space="0" w:color="000000"/>
              <w:bottom w:val="single" w:sz="4" w:space="0" w:color="000000"/>
            </w:tcBorders>
            <w:shd w:fill="DBDBDB" w:val="clear"/>
            <w:tcMar>
              <w:top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20"/>
              </w:rPr>
              <w:t xml:space="preserve">All Directors and Officers as a Group (13 Persons) </w:t>
            </w:r>
            <w:r>
              <w:rPr>
                <w:rFonts w:ascii="Times New Roman;serif" w:hAnsi="Times New Roman;serif"/>
                <w:b/>
                <w:i/>
                <w:color w:val="000000"/>
                <w:sz w:val="13"/>
              </w:rPr>
              <w:t>(19)</w:t>
            </w:r>
          </w:p>
        </w:tc>
        <w:tc>
          <w:tcPr>
            <w:tcW w:w="1036" w:type="dxa"/>
            <w:gridSpan w:val="3"/>
            <w:tcBorders>
              <w:left w:val="single" w:sz="4" w:space="0" w:color="000000"/>
              <w:bottom w:val="single" w:sz="4" w:space="0" w:color="000000"/>
            </w:tcBorders>
            <w:shd w:fill="DBDBDB" w:val="clear"/>
            <w:tcMar>
              <w:top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28,632,234</w:t>
            </w:r>
          </w:p>
        </w:tc>
        <w:tc>
          <w:tcPr>
            <w:tcW w:w="528" w:type="dxa"/>
            <w:gridSpan w:val="2"/>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w:t>
            </w:r>
            <w:r>
              <w:rPr>
                <w:color w:val="000000"/>
              </w:rPr>
              <w:t> </w:t>
            </w:r>
          </w:p>
        </w:tc>
        <w:tc>
          <w:tcPr>
            <w:tcW w:w="682" w:type="dxa"/>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943" w:type="dxa"/>
            <w:gridSpan w:val="3"/>
            <w:tcBorders>
              <w:left w:val="single" w:sz="4" w:space="0" w:color="000000"/>
              <w:bottom w:val="single" w:sz="4" w:space="0" w:color="000000"/>
            </w:tcBorders>
            <w:shd w:fill="DBDBDB" w:val="clear"/>
            <w:tcMar>
              <w:top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3,072,820</w:t>
            </w:r>
          </w:p>
        </w:tc>
        <w:tc>
          <w:tcPr>
            <w:tcW w:w="528" w:type="dxa"/>
            <w:gridSpan w:val="2"/>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87.8</w:t>
            </w:r>
            <w:r>
              <w:rPr>
                <w:color w:val="000000"/>
              </w:rPr>
              <w:t> </w:t>
            </w:r>
          </w:p>
        </w:tc>
        <w:tc>
          <w:tcPr>
            <w:tcW w:w="682" w:type="dxa"/>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850" w:type="dxa"/>
            <w:gridSpan w:val="2"/>
            <w:tcBorders>
              <w:left w:val="single" w:sz="4" w:space="0" w:color="000000"/>
              <w:bottom w:val="single" w:sz="4" w:space="0" w:color="000000"/>
            </w:tcBorders>
            <w:shd w:fill="DBDBDB" w:val="clear"/>
            <w:tcMar>
              <w:top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49.7</w:t>
            </w:r>
            <w:r>
              <w:rPr>
                <w:color w:val="000000"/>
              </w:rPr>
              <w:t> </w:t>
            </w:r>
          </w:p>
        </w:tc>
        <w:tc>
          <w:tcPr>
            <w:tcW w:w="1267" w:type="dxa"/>
            <w:tcBorders>
              <w:bottom w:val="single" w:sz="4" w:space="0" w:color="000000"/>
              <w:right w:val="single" w:sz="4" w:space="0" w:color="000000"/>
            </w:tcBorders>
            <w:shd w:fill="DBDBDB" w:val="clear"/>
            <w:tcMar>
              <w:top w:w="0" w:type="dxa"/>
              <w:left w:w="0" w:type="dxa"/>
              <w:bottom w:w="3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18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Less than 1%.</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(1)Represents the voting power with respect to all shares of our Class A common stock and Class B common stock, voting together as a single class. Each share of Class A common stock will be entitled to one vote per share, and each share of Class B common stock will be entitled to 50 votes per share. The Class A common stock and Class B common stock will vote together on all matters (including the election of directors) submitted to a vote of stockholders, except under limited circumstances.</w:t>
      </w:r>
    </w:p>
    <w:p>
      <w:pPr>
        <w:pStyle w:val="TextBody"/>
        <w:bidi w:val="0"/>
        <w:spacing w:lineRule="auto" w:line="26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(2)Consists of (a) 9,216 shares of Class A common stock held by First Virtual Holdings, LLC; (b) 7,067,187 shares of Class A common stock held by The Siebel Living Trust u/a/d 7/27/1993; (c) 170,294 shares of Class A common stock held by Siebel Asset Management, L.P.; (d) 72,695 shares of Class A common stock held by Siebel Asset Management III, L.P.; (e) 1,237,115 shares of Class A common stock held by The Siebel 2011 Irrevocable Children’s Trust; (f) 77,502 shares of Class A common stock subject to restricted stock units that will vest within 60 days of August 4, 2026; (g) 12,195,899 shares of Class A common stock subject to options exercisable within 60 days of August 4, 2026, all of which are early exercisable; (h) 500,000 shares of Class B common stock held by First Virtual Holdings, LLC; and (i) 2,072,820 shares of Class B common stock held by The Siebel Living Trust u/a/d 7/27/1993.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036955"/>
                <wp:effectExtent l="0" t="0" r="0" b="0"/>
                <wp:wrapNone/>
                <wp:docPr id="70" name="Frame66"/>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62</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(3)Consists of 9,216 shares of Class A common stock and 500,000 shares of Class B common stock over which Mr. Siebel holds an irrevocable proxy pursuant to a voting agreement between Mr. Siebel and Patricia A. House. We do not believe that the parties to these voting agreements constitute a “group” under Section 13 of the Exchange Act as Mr. Siebel exercises voting control over these shares.</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(4)Based on information set forth in a Schedule 13G filed with the SEC on April 29, 2026, by Vanguard Portfolio Management LLC (“Vanguard”). Vanguard reported that it has sole voting power with respect to 111,760 shares of Class A common stock, shared voting power with respect to zero shares of Class A common stock, sole dispositive power with respect to 8,655,944 shares of Class A common stock, and shared dispositive power with respect to zero shares of Class A common stock. The address of Vanguard is 100 Vanguard Blvd., Malvern, PA 19355.</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(5)Based on information set forth in a Schedule 13G filed with the SEC on April 24, 2026, by BlackRock, Inc. (“BlackRock”). BlackRock reported that it has sole voting power with respect to 9,504,586 shares of Class A common stock, shared voting power with respect to zero shares of Class A common stock, sole dispositive power with respect to 9,694,153 shares of Class A common stock, and shared dispositive power with respect to zero shares of Class A common stock. The address of BlackRock is 50 Hudson Yards, New York, NY 10001.</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(6)Consists of (a) 85,106 shares of Class A common stock held directly by Mr. Lath and (b) 37,007 shares of Class A common stock subject to restricted stock units that will vest within 60 days of August 4, 2026.</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(7)Consists of (a) 274,182 shares of Class A common stock held by the Stephen Bradley Ehikian Revocable Trust; (b) 67,417 shares of Class A common stock subject to restricted stock units that will vest within 60 days of August 4, 2026; and (c) 256,427 shares of Class A common stock subject to options exercisable within 60 days of August 4, 2026. </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(8)Consists of (a) 58,848 shares of Class A common stock held directly by Mr. Clayville and (b) 34,091 shares of Class A common stock subject to options exercisable within 60 days of August 4, 2026, all of which are early exercisable.</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(9)Consists of 1,700 shares of Class A common stock held directly by Mr. Dwyer. </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(10)Consists of (a) 25,022 shares of Class A common stock held by the Goldman-Valeriote Family Trust u/a/d 11/15/95; (b) 22,689 shares of Class A common stock held by GV Partners L.P.; and (c) 54,722 shares of Class A common stock subject to options exercisable within 60 days of August 4, 2026, all of which are early exercisable.</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(11)Consists of (a) 11,315 shares of Class A common stock held directly by General (Ret.) Hyten; (b) 146,830 shares of Class A common stock held by Hyten Group LLC; (c) 6,315 shares of Class A common stock subject to restricted stock units that will vest within 60 days of August 4, 2026; excludes 5,000 restricted stock units that will be settled in cash; and (d) 49,232 shares of Class A common stock subject to options exercisable within 60 days of August 4, 2026, all of which are early exercisable.</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(12)Consists of (a) 161,664 shares of Class A common stock held directly by Dr. Levin and (b) 241,369 shares of Class A common stock subject to options exercisable within 60 days of August 4, 2026, all of which are early exercisable.</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(13)Consists of (a) 321,699 shares of Class A common stock held directly by Mr. McCaffery; (b) 665,929 shares of Class A common stock held by the McCaffery Family Trust as amended 12/18/00; and (c) 369,091 shares of Class A common stock subject to options exercisable within 60 days of August 4, 2026, all of which are early exercisable.</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(14)Consists of 89,139 shares of Class A common stock subject to options held by Mr. Murray that are exercisable within 60 days of August 4, 2026, all of which are early exercisable.</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(15)Consists of (a) 74,699 shares of Class A common stock held directly by Dr. Rice; (b) 587 shares of Class A common stock held by the Condoleezza Rice Trust Agreement u/a/d 11/24/99; and (c) 518,870 shares of Class A common stock subject to options exercisable within 60 days of August 4, 2026, all of which are early exercisable.</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(16)Consists of 749,499 shares of Class A common stock subject to options held by Mr. Sewell that are exercisable within 60 days of August 4, 2026, all of which are early exercisable.</w:t>
      </w:r>
    </w:p>
    <w:p>
      <w:pPr>
        <w:pStyle w:val="TextBody"/>
        <w:bidi w:val="0"/>
        <w:spacing w:lineRule="auto" w:line="240"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(17)Consists of 136,114 shares of Class A common stock subject to options held by Dr. Sridhar that are exercisable within 60 days of August 4, 2026, all of which are early exercisable.</w:t>
      </w:r>
    </w:p>
    <w:p>
      <w:pPr>
        <w:pStyle w:val="TextBody"/>
        <w:bidi w:val="0"/>
        <w:spacing w:lineRule="auto" w:line="240"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(18)Consists of (a) 546,495 shares of Class A common stock held directly by Mr. Ward and (b) 312,258 shares of Class A common stock subject to options exercisable within 60 days of August 4, 2026, all of which are early exercisable.</w:t>
      </w:r>
    </w:p>
    <w:p>
      <w:pPr>
        <w:pStyle w:val="TextBody"/>
        <w:bidi w:val="0"/>
        <w:spacing w:lineRule="auto" w:line="288" w:before="18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(19)Consists of (a) 10,688,306 shares of Class A common stock held by our current directors and executive officers; (b) 14,750,284 shares of Class A common stock subject to options exercisable within 60 days of August 4, 2026 held by our current directors and executive officers, 13,007,695 of which were vested as of such date; (c) 120,824 shares of Class A common stock issuable upon vesting and settlement of RSU awards held by our current directors and executive officers within 60 days of August 4, 2026; (d) 500,000 shares of Class B common stock held by First Virtual Holdings, LLC; (e) 2,072,820 shares of Class B common stock held by The Siebel Living Trust u/a/d 7/27/1993; and (f) 9,216 shares of Class A common stock and 500,000 shares of Class B common stock over which Mr. Siebel holds an irrevocable proxy as set forth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036955"/>
                <wp:effectExtent l="0" t="0" r="0" b="0"/>
                <wp:wrapNone/>
                <wp:docPr id="71" name="Frame67"/>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63</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CERTAIN RELATIONSHIPS AND TRANSACTIONS WITH RELATED PERSONS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Travel Expense Reimbursement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aircraft reimbursement policy (“Aircraft Policy”) provides for reimbursement for an eligible executive who uses his or her own aircraft for business travel. Mr. Siebel, our Chief Executive Officer, owns and leases aircraft that he uses from time to time for business travel. Our audit committee has approved an hourly reimbursement rate for use of this aircraft that is lower than the actual operational costs incurred by Mr. Siebel, as owner or lessor of the aircraft as applicable. Pursuant to the Aircraft Policy, and as approved by our audit committee, we paid approximately $0.3 million in aircraft reimbursement to Mr. Siebel for eligible business travel during the fiscal year ended April 30, 2026.</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Transactions with Immediate Family</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 son of Mr. Siebel was employed by us during the fiscal year ended April 30, 2026, although he is not currently employed by the Company as of the date of this proxy statement. We set the terms of his compensation in accordance with our compensation practices applicable to employees with comparable qualifications and responsibilities and holding similar positions, and without involvement of Mr. Siebel. His total compensation for the fiscal year ended April 30, 2026 was approximately $161,158. In addition, he has received, and was eligible to receive, equity awards on the same general terms and conditions as applicable to employees holding similar positions.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Policies and Procedures for Related Person Transactions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related person transaction policy sets forth our procedures for the identification, review, consideration and approval or ratification of related person transactions. A related person is any executive officer, director, director nominee, or beneficial owner of more than 5% of any class of our voting securities, including any of the immediate family members of the foregoing persons and any entity controlled by such persons.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For purposes of our policy, a related person transaction is a transaction, arrangement, or relationship, or any series of similar transactions, arrangements, or relationships, in which we and any related person are, were, or will be participants in which the amount exceeds $120,000. Transactions involving compensation for services provided to us as an executive officer or director are not considered related person transactions under this policy. In addition, a transaction, arrangement, or relationship in which a related person’s participation is solely due to such related person’s position as a director of an entity that is participating in such transaction, arrangement or relationship would not be considered a related person transaction under this policy.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Under our policy, we will collect information that we deem reasonably necessary from each director, director nominee, executive officer, and, to the extent feasible, significant stockholder to enable us to identify any existing or potential related person transactions and to effectuate the terms of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that proposed transaction will be presented to the audit committee for review, consideration and approval or ratification. In approving or rejecting a proposed transaction, the audit committee will consider the facts and circumstances deemed relevant by, and available to, the audit committee. Under our policy, the audit committee will approve only those related person transactions that, in light of known circumstances, are in, or are not inconsistent with, the best interests of the Company and its stockholders, as the audit committee determines in the good faith exercise of its discretion.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036955"/>
                <wp:effectExtent l="0" t="0" r="0" b="0"/>
                <wp:wrapNone/>
                <wp:docPr id="72" name="Frame68"/>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64</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OTHER MATTERS </w:t>
      </w:r>
    </w:p>
    <w:p>
      <w:pPr>
        <w:pStyle w:val="TextBody"/>
        <w:bidi w:val="0"/>
        <w:spacing w:before="180" w:after="180"/>
        <w:jc w:val="both"/>
        <w:rPr/>
      </w:pPr>
      <w:r>
        <w:rPr/>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Matters for Consideration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Neither we nor our board of directors know of any other matters that will be presented for consideration at the Annual Meeting. If any other matters are properly brought before the Annual Meeting, it is the intention of the persons named in the accompanying proxy to vote on such matters in accordance with his or her best judgment.</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Fiscal Year 2026 Annual Report and SEC Filings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financial statements for the fiscal year ended April 30, 2026, are included in our Annual Report on Form 10-K, which we will make available to stockholders at the same time as this proxy statement. This proxy statement and our annual report are posted on our investor relations website at ir.c3.ai and are available from the SEC at its website at www.sec.gov.</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A copy of our Annual Report to the SEC on Form 10-K for the fiscal year ended April 30, 2026, including the financial statements and the financial statement schedules, is available without charge upon written request to:</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C3.ai, Inc.</w:t>
        <w:br/>
        <w:t>Attention: Investor Relations</w:t>
        <w:br/>
        <w:t>1400 Seaport Blvd</w:t>
        <w:br/>
        <w:t>Redwood City, California 94063</w:t>
        <w:br/>
        <w:t>Email: ir@c3.ai</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It is important that your shares of our common stock be represented at the Annual Meeting,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036955"/>
                <wp:effectExtent l="0" t="0" r="0" b="0"/>
                <wp:wrapNone/>
                <wp:docPr id="73" name="Frame69"/>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65</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right"/>
        <w:rPr>
          <w:rFonts w:ascii="Times New Roman;serif" w:hAnsi="Times New Roman;serif"/>
          <w:b/>
          <w:color w:val="000000"/>
          <w:sz w:val="20"/>
        </w:rPr>
      </w:pPr>
      <w:r>
        <w:rPr>
          <w:rFonts w:ascii="Times New Roman;serif" w:hAnsi="Times New Roman;serif"/>
          <w:b/>
          <w:color w:val="000000"/>
          <w:sz w:val="20"/>
        </w:rPr>
        <w:t>Appendix A</w:t>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C3.ai, Inc.</w:t>
        <w:br/>
        <w:t>2020 Equity Incentive Plan</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Adopted by the Board of Directors: November 24 , 2020</w:t>
        <w:br/>
        <w:t>Approved by the Stockholders: November 24, 2020</w:t>
        <w:br/>
        <w:t>Amended by the Board of Directors: November 27, 2020</w:t>
        <w:br/>
        <w:t>Approved by the Stockholders: November 27, 2020</w:t>
        <w:br/>
        <w:t>Amended by the Board of Directors: August 21, 2023</w:t>
        <w:br/>
        <w:t>Approved by the Stockholders: October 4, 2023</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Amended and Restated by the Board of Directors: August 25, 2026 </w:t>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Approved by the Stockholders: [_], 2026</w:t>
      </w:r>
    </w:p>
    <w:p>
      <w:pPr>
        <w:pStyle w:val="TextBody"/>
        <w:bidi w:val="0"/>
        <w:spacing w:lineRule="auto" w:line="240" w:before="0" w:after="240"/>
        <w:ind w:left="0" w:right="0" w:hanging="720"/>
        <w:jc w:val="left"/>
        <w:rPr>
          <w:rFonts w:ascii="Times New Roman;serif" w:hAnsi="Times New Roman;serif"/>
          <w:b/>
          <w:color w:val="000000"/>
          <w:sz w:val="20"/>
        </w:rPr>
      </w:pPr>
      <w:r>
        <w:rPr>
          <w:rFonts w:ascii="Times New Roman;serif" w:hAnsi="Times New Roman;serif"/>
          <w:b/>
          <w:color w:val="000000"/>
          <w:sz w:val="20"/>
        </w:rPr>
        <w:t>1.General.</w:t>
      </w:r>
    </w:p>
    <w:p>
      <w:pPr>
        <w:pStyle w:val="TextBody"/>
        <w:bidi w:val="0"/>
        <w:spacing w:lineRule="auto" w:line="240" w:before="0" w:after="240"/>
        <w:ind w:left="0" w:right="0" w:firstLine="720"/>
        <w:jc w:val="both"/>
        <w:rPr/>
      </w:pPr>
      <w:r>
        <w:rPr>
          <w:rFonts w:ascii="Times New Roman;serif" w:hAnsi="Times New Roman;serif"/>
          <w:b/>
          <w:color w:val="000000"/>
          <w:sz w:val="20"/>
        </w:rPr>
        <w:t>(a)</w:t>
      </w:r>
      <w:r>
        <w:rPr>
          <w:rFonts w:ascii="Times New Roman;serif" w:hAnsi="Times New Roman;serif"/>
          <w:b/>
          <w:color w:val="000000"/>
          <w:sz w:val="20"/>
        </w:rPr>
        <w:t>Successor to and Continuation of Prior Plan</w:t>
      </w:r>
      <w:r>
        <w:rPr>
          <w:rFonts w:ascii="Times New Roman;serif" w:hAnsi="Times New Roman;serif"/>
          <w:b w:val="false"/>
          <w:color w:val="000000"/>
          <w:sz w:val="20"/>
        </w:rPr>
        <w:t>. The Plan is the successor to and continuation of the Prior Plan. As of the Effective Date, (i) no additional awards may be granted under the Prior Plan; (ii) the Prior Plan’s Available Reserve (plus any Returning Shares) will become available for issuance pursuant to Awards granted under this Plan (provided, however, that any such shares that are shares of Class B Common Stock shall instead be added to the Share Reserve as shares of Class A Common Stock as described in Section 2(a)); and (iii) all outstanding awards granted under the Prior Plan will remain subject to the terms of the Prior Plan (except to the extent such outstanding awards result in Returning Shares that become available for issuance pursuant to Awards granted under this Plan). All Awards granted under this Plan will be subject to the terms of this Plan.</w:t>
      </w:r>
    </w:p>
    <w:p>
      <w:pPr>
        <w:pStyle w:val="TextBody"/>
        <w:bidi w:val="0"/>
        <w:spacing w:lineRule="auto" w:line="240" w:before="0" w:after="240"/>
        <w:ind w:left="0" w:right="0" w:firstLine="720"/>
        <w:jc w:val="both"/>
        <w:rPr/>
      </w:pPr>
      <w:r>
        <w:rPr>
          <w:rFonts w:ascii="Times New Roman;serif" w:hAnsi="Times New Roman;serif"/>
          <w:b/>
          <w:color w:val="000000"/>
          <w:sz w:val="20"/>
        </w:rPr>
        <w:t>(b)</w:t>
      </w:r>
      <w:r>
        <w:rPr>
          <w:rFonts w:ascii="Times New Roman;serif" w:hAnsi="Times New Roman;serif"/>
          <w:b/>
          <w:color w:val="000000"/>
          <w:sz w:val="20"/>
        </w:rPr>
        <w:t>Plan Purpose</w:t>
      </w:r>
      <w:r>
        <w:rPr>
          <w:rFonts w:ascii="Times New Roman;serif" w:hAnsi="Times New Roman;serif"/>
          <w:b w:val="false"/>
          <w:color w:val="000000"/>
          <w:sz w:val="20"/>
        </w:rPr>
        <w:t>. The Company, by means of the Plan, seeks to secure and retain the services of Employees, Directors and Consultants, to provide incentives for such persons to exert maximum efforts for the success of the Company and any Affiliate and to provide a means by which such persons may be given an opportunity to benefit from increases in value of the Class A Common Stock through the granting of Awards.</w:t>
      </w:r>
    </w:p>
    <w:p>
      <w:pPr>
        <w:pStyle w:val="TextBody"/>
        <w:bidi w:val="0"/>
        <w:spacing w:lineRule="auto" w:line="240" w:before="0" w:after="240"/>
        <w:ind w:left="0" w:right="0" w:firstLine="720"/>
        <w:jc w:val="both"/>
        <w:rPr/>
      </w:pPr>
      <w:r>
        <w:rPr>
          <w:rFonts w:ascii="Times New Roman;serif" w:hAnsi="Times New Roman;serif"/>
          <w:b/>
          <w:color w:val="000000"/>
          <w:sz w:val="20"/>
        </w:rPr>
        <w:t>(c)</w:t>
      </w:r>
      <w:r>
        <w:rPr>
          <w:rFonts w:ascii="Times New Roman;serif" w:hAnsi="Times New Roman;serif"/>
          <w:b/>
          <w:color w:val="000000"/>
          <w:sz w:val="20"/>
        </w:rPr>
        <w:t>Available Awards</w:t>
      </w:r>
      <w:r>
        <w:rPr>
          <w:rFonts w:ascii="Times New Roman;serif" w:hAnsi="Times New Roman;serif"/>
          <w:b w:val="false"/>
          <w:color w:val="000000"/>
          <w:sz w:val="20"/>
        </w:rPr>
        <w:t>. The Plan provides for the grant of the following Awards: (i) Incentive Stock Options; (ii) Nonstatutory Stock Options; (iii) SARs; (iv) Restricted Stock Awards; (v) RSU Awards; (vi) Performance Awards; and (vii) Other Awards.</w:t>
      </w:r>
    </w:p>
    <w:p>
      <w:pPr>
        <w:pStyle w:val="TextBody"/>
        <w:bidi w:val="0"/>
        <w:spacing w:lineRule="auto" w:line="240" w:before="0" w:after="240"/>
        <w:ind w:left="0" w:right="0" w:firstLine="720"/>
        <w:jc w:val="both"/>
        <w:rPr/>
      </w:pPr>
      <w:r>
        <w:rPr>
          <w:rFonts w:ascii="Times New Roman;serif" w:hAnsi="Times New Roman;serif"/>
          <w:b/>
          <w:color w:val="000000"/>
          <w:sz w:val="20"/>
        </w:rPr>
        <w:t>(d)</w:t>
      </w:r>
      <w:r>
        <w:rPr>
          <w:rFonts w:ascii="Times New Roman;serif" w:hAnsi="Times New Roman;serif"/>
          <w:b/>
          <w:color w:val="000000"/>
          <w:sz w:val="20"/>
        </w:rPr>
        <w:t>Adoption Date; Effective Date</w:t>
      </w:r>
      <w:r>
        <w:rPr>
          <w:rFonts w:ascii="Times New Roman;serif" w:hAnsi="Times New Roman;serif"/>
          <w:b w:val="false"/>
          <w:color w:val="000000"/>
          <w:sz w:val="20"/>
        </w:rPr>
        <w:t>. The Plan will come into existence on the Adoption Date, but no Award may be granted prior to the Effective Date.</w:t>
      </w:r>
    </w:p>
    <w:p>
      <w:pPr>
        <w:pStyle w:val="TextBody"/>
        <w:bidi w:val="0"/>
        <w:spacing w:lineRule="auto" w:line="240" w:before="0" w:after="240"/>
        <w:ind w:left="0" w:right="0" w:hanging="720"/>
        <w:jc w:val="left"/>
        <w:rPr>
          <w:rFonts w:ascii="Times New Roman;serif" w:hAnsi="Times New Roman;serif"/>
          <w:b/>
          <w:color w:val="000000"/>
          <w:sz w:val="20"/>
        </w:rPr>
      </w:pPr>
      <w:r>
        <w:rPr>
          <w:rFonts w:ascii="Times New Roman;serif" w:hAnsi="Times New Roman;serif"/>
          <w:b/>
          <w:color w:val="000000"/>
          <w:sz w:val="20"/>
        </w:rPr>
        <w:t>2.Shares Subject to the Plan.</w:t>
      </w:r>
    </w:p>
    <w:p>
      <w:pPr>
        <w:pStyle w:val="TextBody"/>
        <w:bidi w:val="0"/>
        <w:spacing w:lineRule="auto" w:line="240" w:before="0" w:after="240"/>
        <w:ind w:left="0" w:right="0" w:firstLine="720"/>
        <w:jc w:val="both"/>
        <w:rPr/>
      </w:pPr>
      <w:r>
        <w:rPr>
          <w:rFonts w:ascii="Times New Roman;serif" w:hAnsi="Times New Roman;serif"/>
          <w:b/>
          <w:color w:val="000000"/>
          <w:sz w:val="20"/>
        </w:rPr>
        <w:t>(a)</w:t>
      </w:r>
      <w:r>
        <w:rPr>
          <w:rFonts w:ascii="Times New Roman;serif" w:hAnsi="Times New Roman;serif"/>
          <w:b/>
          <w:color w:val="000000"/>
          <w:sz w:val="20"/>
        </w:rPr>
        <w:t>Share Reserve</w:t>
      </w:r>
      <w:r>
        <w:rPr>
          <w:rFonts w:ascii="Times New Roman;serif" w:hAnsi="Times New Roman;serif"/>
          <w:b w:val="false"/>
          <w:color w:val="000000"/>
          <w:sz w:val="20"/>
        </w:rPr>
        <w:t>. Subject to adjustment in accordance with Section 2(c) and any adjustments as necessary to implement any Capitalization Adjustments, the aggregate number of shares of Class A Common Stock that may be issued pursuant to Awards will not exceed 122,047,556 shares, which number is the sum of: (i) 22,000,000 shares initially reserved for issuance under the Plan, plus (ii) 5,108,355 shares that were added to the Share Reserve pursuant to the automatic annual increase to the Share Reserve on May 1, 2021; plus (iii) 5,311,251 shares that were added to the Share Reserve pursuant to the automatic annual increase to the Share Reserve on May 1, 2022; plus (iv) 5,697,128 shares that were added to the Share Reserve pursuant to the automatic annual increase to the Share Reserve on May 1, 2023, plus (v) 8,659,414 shares that were added to the Share Reserve pursuant to the automatic annual increase to the Share Reserve on May 1, 2024, plus (vi) 9,375,694 shares that were added to the Share Reserve pursuant to the automatic annual increase to the Share Reserve on May 1, 2025, plus (vii) 10,360,509 shares that were added to the Share Reserve pursuant to the automatic annual increase to the Share Reserve on May 1, 2026, plus (viii) 10,000,000 shares that were added to the Share Reserve pursuant to the amendment and restatement of the Plan effective October 26, 2026 (the “</w:t>
      </w:r>
      <w:r>
        <w:rPr>
          <w:rFonts w:ascii="Times New Roman;serif" w:hAnsi="Times New Roman;serif"/>
          <w:b/>
          <w:i/>
          <w:color w:val="000000"/>
          <w:sz w:val="20"/>
        </w:rPr>
        <w:t>Approval Date</w:t>
      </w:r>
      <w:r>
        <w:rPr>
          <w:color w:val="000000"/>
        </w:rPr>
        <w:t>”</w:t>
      </w:r>
      <w:r>
        <w:rPr>
          <w:rFonts w:ascii="Times New Roman;serif" w:hAnsi="Times New Roman;serif"/>
          <w:b w:val="false"/>
          <w:color w:val="000000"/>
          <w:sz w:val="20"/>
        </w:rPr>
        <w:t>), plus (ix) a number of shares of Class A Common Stock equal to the Prior Plan’s Available Reserve, plus (x) a number of shares of Class A Common Stock equal to the number of Returning Shares, if any, as such shares become available from time to time. In addition, subject to any adjustments as necessary to implement any Capitalization Adjustments, such aggregate number of shares of Class A Common Stock will automatically increase on May 1st of each year commencing on May 1, 2027, and ending on (and including) May 1, 2036, in an amount equal to 7% of the total number of shares of Capital Stock outstanding on April 30 of the preceding fiscal year; provided, however, that the Board may act prior to April 30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of the immediately preceding fiscal year to provide that the increase for such year will be a lesser number of shares of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4"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color w:val="000000"/>
          <w:sz w:val="20"/>
        </w:rPr>
        <w:t>(b)</w:t>
      </w:r>
      <w:r>
        <w:rPr>
          <w:rFonts w:ascii="Times New Roman;serif" w:hAnsi="Times New Roman;serif"/>
          <w:b/>
          <w:color w:val="000000"/>
          <w:sz w:val="20"/>
        </w:rPr>
        <w:t>Aggregate Incentive Stock Option Limit</w:t>
      </w:r>
      <w:r>
        <w:rPr>
          <w:rFonts w:ascii="Times New Roman;serif" w:hAnsi="Times New Roman;serif"/>
          <w:b w:val="false"/>
          <w:color w:val="000000"/>
          <w:sz w:val="20"/>
        </w:rPr>
        <w:t>. Notwithstanding anything to the contrary in Section 2(a) and subject to any adjustments as necessary to implement any Capitalization Adjustments, the aggregate maximum number of shares of Class A Common Stock that may be issued pursuant to the exercise of Incentive Stock Options is 202,605,615 shares.</w:t>
      </w:r>
    </w:p>
    <w:p>
      <w:pPr>
        <w:pStyle w:val="TextBody"/>
        <w:bidi w:val="0"/>
        <w:spacing w:lineRule="auto" w:line="240" w:before="0" w:after="240"/>
        <w:ind w:left="0" w:right="0" w:firstLine="720"/>
        <w:jc w:val="both"/>
        <w:rPr/>
      </w:pPr>
      <w:r>
        <w:rPr>
          <w:rFonts w:ascii="Times New Roman;serif" w:hAnsi="Times New Roman;serif"/>
          <w:b/>
          <w:color w:val="000000"/>
          <w:sz w:val="20"/>
        </w:rPr>
        <w:t>(c)</w:t>
      </w:r>
      <w:r>
        <w:rPr>
          <w:rFonts w:ascii="Times New Roman;serif" w:hAnsi="Times New Roman;serif"/>
          <w:b/>
          <w:color w:val="000000"/>
          <w:sz w:val="20"/>
        </w:rPr>
        <w:t>Share Reserve Operation.</w:t>
      </w:r>
    </w:p>
    <w:p>
      <w:pPr>
        <w:pStyle w:val="TextBody"/>
        <w:bidi w:val="0"/>
        <w:spacing w:lineRule="auto" w:line="240" w:before="0" w:after="240"/>
        <w:ind w:left="0" w:right="0" w:firstLine="1440"/>
        <w:jc w:val="both"/>
        <w:rPr/>
      </w:pPr>
      <w:r>
        <w:rPr>
          <w:rFonts w:ascii="Times New Roman;serif" w:hAnsi="Times New Roman;serif"/>
          <w:b/>
          <w:color w:val="000000"/>
          <w:sz w:val="20"/>
        </w:rPr>
        <w:t>(i)</w:t>
      </w:r>
      <w:r>
        <w:rPr>
          <w:rFonts w:ascii="Times New Roman;serif" w:hAnsi="Times New Roman;serif"/>
          <w:b/>
          <w:color w:val="000000"/>
          <w:sz w:val="20"/>
        </w:rPr>
        <w:t>Limit Applies to Class A Common Stock Issued Pursuant to Awards</w:t>
      </w:r>
      <w:r>
        <w:rPr>
          <w:rFonts w:ascii="Times New Roman;serif" w:hAnsi="Times New Roman;serif"/>
          <w:b w:val="false"/>
          <w:color w:val="000000"/>
          <w:sz w:val="20"/>
        </w:rPr>
        <w:t>. For clarity, the Share Reserve is a limit on the number of shares of Class A Common Stock that may be issued pursuant to Awards and does not limit the granting of Awards, except that the Company will keep available at all times the number of shares of Class A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pStyle w:val="TextBody"/>
        <w:bidi w:val="0"/>
        <w:spacing w:lineRule="auto" w:line="240" w:before="0" w:after="240"/>
        <w:ind w:left="0" w:right="0" w:firstLine="1440"/>
        <w:jc w:val="both"/>
        <w:rPr/>
      </w:pPr>
      <w:r>
        <w:rPr>
          <w:rFonts w:ascii="Times New Roman;serif" w:hAnsi="Times New Roman;serif"/>
          <w:b/>
          <w:color w:val="000000"/>
          <w:sz w:val="20"/>
        </w:rPr>
        <w:t>(ii)</w:t>
      </w:r>
      <w:r>
        <w:rPr>
          <w:rFonts w:ascii="Times New Roman;serif" w:hAnsi="Times New Roman;serif"/>
          <w:b/>
          <w:color w:val="000000"/>
          <w:sz w:val="20"/>
        </w:rPr>
        <w:t>Actions that Do Not Constitute Issuance of Class A Common Stock and Do Not Reduce Share Reserve</w:t>
      </w:r>
      <w:r>
        <w:rPr>
          <w:rFonts w:ascii="Times New Roman;serif" w:hAnsi="Times New Roman;serif"/>
          <w:b w:val="false"/>
          <w:color w:val="000000"/>
          <w:sz w:val="20"/>
        </w:rPr>
        <w:t>. The following actions do 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(i.e., the Participant receives cash rather than Class A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pStyle w:val="TextBody"/>
        <w:bidi w:val="0"/>
        <w:spacing w:lineRule="auto" w:line="240" w:before="0" w:after="240"/>
        <w:ind w:left="0" w:right="0" w:firstLine="1440"/>
        <w:jc w:val="both"/>
        <w:rPr/>
      </w:pPr>
      <w:r>
        <w:rPr>
          <w:rFonts w:ascii="Times New Roman;serif" w:hAnsi="Times New Roman;serif"/>
          <w:b/>
          <w:color w:val="000000"/>
          <w:sz w:val="20"/>
        </w:rPr>
        <w:t>(iii)</w:t>
      </w:r>
      <w:r>
        <w:rPr>
          <w:rFonts w:ascii="Times New Roman;serif" w:hAnsi="Times New Roman;serif"/>
          <w:b/>
          <w:color w:val="000000"/>
          <w:sz w:val="20"/>
        </w:rPr>
        <w:t>Reversion of Previously Issued Shares of Class A Common Stock to Share Reserve</w:t>
      </w:r>
      <w:r>
        <w:rPr>
          <w:rFonts w:ascii="Times New Roman;serif" w:hAnsi="Times New Roman;serif"/>
          <w:b w:val="false"/>
          <w:color w:val="000000"/>
          <w:sz w:val="20"/>
        </w:rPr>
        <w:t>. The following shares of Class A Common Stock 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on or before the tenth anniversary of the Approval Date, any shares that are reacquired by the Company to satisfy the exercise, strike or purchase price of an Award; and (3) on or before the tenth anniversary of the Approval Date, any shares that are reacquired by the Company to satisfy a tax withholding obligation in connection with an Award, or after the tenth anniversary of the Approval Date, any shares subject to a Restricted Stock Award that are reacquired by the Company upon vesting to satisfy a tax withholding obligation in connection with such Award.</w:t>
      </w:r>
    </w:p>
    <w:p>
      <w:pPr>
        <w:pStyle w:val="TextBody"/>
        <w:bidi w:val="0"/>
        <w:spacing w:lineRule="auto" w:line="240" w:before="0" w:after="240"/>
        <w:ind w:left="0" w:right="0" w:hanging="720"/>
        <w:jc w:val="left"/>
        <w:rPr>
          <w:rFonts w:ascii="Times New Roman;serif" w:hAnsi="Times New Roman;serif"/>
          <w:b/>
          <w:color w:val="000000"/>
          <w:sz w:val="20"/>
        </w:rPr>
      </w:pPr>
      <w:r>
        <w:rPr>
          <w:rFonts w:ascii="Times New Roman;serif" w:hAnsi="Times New Roman;serif"/>
          <w:b/>
          <w:color w:val="000000"/>
          <w:sz w:val="20"/>
        </w:rPr>
        <w:t>3.Eligibility and Limitations.</w:t>
      </w:r>
    </w:p>
    <w:p>
      <w:pPr>
        <w:pStyle w:val="TextBody"/>
        <w:bidi w:val="0"/>
        <w:spacing w:lineRule="auto" w:line="240" w:before="0" w:after="240"/>
        <w:ind w:left="0" w:right="0" w:firstLine="720"/>
        <w:jc w:val="both"/>
        <w:rPr/>
      </w:pPr>
      <w:r>
        <w:rPr>
          <w:rFonts w:ascii="Times New Roman;serif" w:hAnsi="Times New Roman;serif"/>
          <w:b/>
          <w:color w:val="000000"/>
          <w:sz w:val="20"/>
        </w:rPr>
        <w:t>(a)</w:t>
      </w:r>
      <w:r>
        <w:rPr>
          <w:rFonts w:ascii="Times New Roman;serif" w:hAnsi="Times New Roman;serif"/>
          <w:b/>
          <w:color w:val="000000"/>
          <w:sz w:val="20"/>
        </w:rPr>
        <w:t>Eligible Award Recipients</w:t>
      </w:r>
      <w:r>
        <w:rPr>
          <w:rFonts w:ascii="Times New Roman;serif" w:hAnsi="Times New Roman;serif"/>
          <w:b w:val="false"/>
          <w:color w:val="000000"/>
          <w:sz w:val="20"/>
        </w:rPr>
        <w:t>. Subject to the terms of the Plan, Employees, Directors and Consultants are eligible to receive Awards.</w:t>
      </w:r>
    </w:p>
    <w:p>
      <w:pPr>
        <w:pStyle w:val="TextBody"/>
        <w:bidi w:val="0"/>
        <w:spacing w:lineRule="auto" w:line="240" w:before="0" w:after="240"/>
        <w:ind w:left="0" w:right="0" w:firstLine="720"/>
        <w:jc w:val="both"/>
        <w:rPr/>
      </w:pPr>
      <w:r>
        <w:rPr>
          <w:rFonts w:ascii="Times New Roman;serif" w:hAnsi="Times New Roman;serif"/>
          <w:b/>
          <w:color w:val="000000"/>
          <w:sz w:val="20"/>
        </w:rPr>
        <w:t>(b)</w:t>
      </w:r>
      <w:r>
        <w:rPr>
          <w:rFonts w:ascii="Times New Roman;serif" w:hAnsi="Times New Roman;serif"/>
          <w:b/>
          <w:color w:val="000000"/>
          <w:sz w:val="20"/>
        </w:rPr>
        <w:t>Specific Award Limitations</w:t>
      </w:r>
      <w:r>
        <w:rPr>
          <w:rFonts w:ascii="Times New Roman;serif" w:hAnsi="Times New Roman;serif"/>
          <w:b w:val="false"/>
          <w:color w:val="000000"/>
          <w:sz w:val="20"/>
        </w:rPr>
        <w:t>.</w:t>
      </w:r>
    </w:p>
    <w:p>
      <w:pPr>
        <w:pStyle w:val="TextBody"/>
        <w:bidi w:val="0"/>
        <w:spacing w:lineRule="auto" w:line="240" w:before="0" w:after="240"/>
        <w:ind w:left="0" w:right="0" w:firstLine="1440"/>
        <w:jc w:val="both"/>
        <w:rPr/>
      </w:pPr>
      <w:r>
        <w:rPr>
          <w:rFonts w:ascii="Times New Roman;serif" w:hAnsi="Times New Roman;serif"/>
          <w:b/>
          <w:color w:val="000000"/>
          <w:sz w:val="20"/>
        </w:rPr>
        <w:t>(i)</w:t>
      </w:r>
      <w:r>
        <w:rPr>
          <w:rFonts w:ascii="Times New Roman;serif" w:hAnsi="Times New Roman;serif"/>
          <w:b/>
          <w:color w:val="000000"/>
          <w:sz w:val="20"/>
        </w:rPr>
        <w:t>Limitations on Incentive Stock Option Recipients</w:t>
      </w:r>
      <w:r>
        <w:rPr>
          <w:rFonts w:ascii="Times New Roman;serif" w:hAnsi="Times New Roman;serif"/>
          <w:b w:val="false"/>
          <w:color w:val="000000"/>
          <w:sz w:val="20"/>
        </w:rPr>
        <w:t>. Incentive Stock Options may be granted only to Employees of the Company or a “parent corporation” or “subsidiary corporation” thereof (as such terms are defined in Sections 424(e) and (f) of the Code).</w:t>
      </w:r>
    </w:p>
    <w:p>
      <w:pPr>
        <w:pStyle w:val="TextBody"/>
        <w:bidi w:val="0"/>
        <w:spacing w:lineRule="auto" w:line="240" w:before="0" w:after="240"/>
        <w:ind w:left="0" w:right="0" w:firstLine="1440"/>
        <w:jc w:val="both"/>
        <w:rPr/>
      </w:pPr>
      <w:r>
        <w:rPr>
          <w:rFonts w:ascii="Times New Roman;serif" w:hAnsi="Times New Roman;serif"/>
          <w:b/>
          <w:color w:val="000000"/>
          <w:sz w:val="20"/>
        </w:rPr>
        <w:t>(ii)</w:t>
      </w:r>
      <w:r>
        <w:rPr>
          <w:rFonts w:ascii="Times New Roman;serif" w:hAnsi="Times New Roman;serif"/>
          <w:b/>
          <w:color w:val="000000"/>
          <w:sz w:val="20"/>
        </w:rPr>
        <w:t>Incentive Stock Option $100,000 Limitation</w:t>
      </w:r>
      <w:r>
        <w:rPr>
          <w:rFonts w:ascii="Times New Roman;serif" w:hAnsi="Times New Roman;serif"/>
          <w:b w:val="false"/>
          <w:color w:val="000000"/>
          <w:sz w:val="20"/>
        </w:rPr>
        <w:t>. To the extent that the aggregate Fair Market Value (determined at the time of grant) of Class A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pStyle w:val="TextBody"/>
        <w:bidi w:val="0"/>
        <w:spacing w:lineRule="auto" w:line="240" w:before="0" w:after="240"/>
        <w:ind w:left="0" w:right="0" w:firstLine="1440"/>
        <w:jc w:val="both"/>
        <w:rPr/>
      </w:pPr>
      <w:r>
        <w:rPr>
          <w:rFonts w:ascii="Times New Roman;serif" w:hAnsi="Times New Roman;serif"/>
          <w:b/>
          <w:color w:val="000000"/>
          <w:sz w:val="20"/>
        </w:rPr>
        <w:t>(iii)</w:t>
      </w:r>
      <w:r>
        <w:rPr>
          <w:rFonts w:ascii="Times New Roman;serif" w:hAnsi="Times New Roman;serif"/>
          <w:b/>
          <w:color w:val="000000"/>
          <w:sz w:val="20"/>
        </w:rPr>
        <w:t>Limitations on Incentive Stock Options Granted to Ten Percent Stockholders</w:t>
      </w:r>
      <w:r>
        <w:rPr>
          <w:rFonts w:ascii="Times New Roman;serif" w:hAnsi="Times New Roman;serif"/>
          <w:b w:val="false"/>
          <w:color w:val="000000"/>
          <w:sz w:val="20"/>
        </w:rPr>
        <w:t>. A Ten Percent Stockholder may not be granted an Incentive Stock Option unless (i) the exercise price of such Option is at least 110% of the Fair Market Value on the date of grant of such Option and (ii) the Option is not exercisable after the expiration of five years from the date of grant of such Option.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5"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erif" w:hAnsi="Times New Roman;serif"/>
          <w:b/>
          <w:color w:val="000000"/>
          <w:sz w:val="20"/>
        </w:rPr>
        <w:t>(iv)</w:t>
      </w:r>
      <w:r>
        <w:rPr>
          <w:rFonts w:ascii="Times New Roman;serif" w:hAnsi="Times New Roman;serif"/>
          <w:b/>
          <w:color w:val="000000"/>
          <w:sz w:val="20"/>
        </w:rPr>
        <w:t>Limitations on Nonstatutory Stock Options and SARs</w:t>
      </w:r>
      <w:r>
        <w:rPr>
          <w:rFonts w:ascii="Times New Roman;serif" w:hAnsi="Times New Roman;serif"/>
          <w:b w:val="false"/>
          <w:color w:val="000000"/>
          <w:sz w:val="20"/>
        </w:rPr>
        <w:t>. Nonstatutory Stock Options and SARs may not be granted to Employees, 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w:t>
      </w:r>
    </w:p>
    <w:p>
      <w:pPr>
        <w:pStyle w:val="TextBody"/>
        <w:bidi w:val="0"/>
        <w:spacing w:lineRule="auto" w:line="240" w:before="0" w:after="240"/>
        <w:ind w:left="0" w:right="0" w:firstLine="720"/>
        <w:jc w:val="both"/>
        <w:rPr/>
      </w:pPr>
      <w:r>
        <w:rPr>
          <w:rFonts w:ascii="Times New Roman;serif" w:hAnsi="Times New Roman;serif"/>
          <w:b/>
          <w:color w:val="000000"/>
          <w:sz w:val="20"/>
        </w:rPr>
        <w:t>(c)</w:t>
      </w:r>
      <w:r>
        <w:rPr>
          <w:rFonts w:ascii="Times New Roman;serif" w:hAnsi="Times New Roman;serif"/>
          <w:b/>
          <w:color w:val="000000"/>
          <w:sz w:val="20"/>
        </w:rPr>
        <w:t>Aggregate Incentive Stock Option Limit</w:t>
      </w:r>
      <w:r>
        <w:rPr>
          <w:rFonts w:ascii="Times New Roman;serif" w:hAnsi="Times New Roman;serif"/>
          <w:b w:val="false"/>
          <w:color w:val="000000"/>
          <w:sz w:val="20"/>
        </w:rPr>
        <w:t>. The aggregate maximum number of shares of Class A Common Stock that may be issued pursuant to the exercise of Incentive Stock Options is the number of shares specified in Section 2(b).</w:t>
      </w:r>
    </w:p>
    <w:p>
      <w:pPr>
        <w:pStyle w:val="TextBody"/>
        <w:bidi w:val="0"/>
        <w:spacing w:lineRule="auto" w:line="240" w:before="0" w:after="240"/>
        <w:ind w:left="0" w:right="0" w:firstLine="720"/>
        <w:jc w:val="both"/>
        <w:rPr/>
      </w:pPr>
      <w:r>
        <w:rPr>
          <w:rFonts w:ascii="Times New Roman;serif" w:hAnsi="Times New Roman;serif"/>
          <w:b/>
          <w:color w:val="000000"/>
          <w:sz w:val="20"/>
        </w:rPr>
        <w:t>(d)</w:t>
      </w:r>
      <w:r>
        <w:rPr>
          <w:rFonts w:ascii="Times New Roman;serif" w:hAnsi="Times New Roman;serif"/>
          <w:b/>
          <w:color w:val="000000"/>
          <w:sz w:val="20"/>
        </w:rPr>
        <w:t>Non-Employee Director Compensation Limit</w:t>
      </w:r>
      <w:r>
        <w:rPr>
          <w:rFonts w:ascii="Times New Roman;serif" w:hAnsi="Times New Roman;serif"/>
          <w:b w:val="false"/>
          <w:color w:val="000000"/>
          <w:sz w:val="20"/>
        </w:rPr>
        <w:t>. The aggregate value of all compensation granted or paid, as applicable, to any individual for service as a Non-Employee Director with respect to any calendar year, including Awards granted and cash fees paid by the Company to such Non-Employee Director, will not exceed (i) $700,000 in total value or (ii) in the event such Non-Employee Director is first appointed or elected to the Board during such calendar year, $900,000 in total value, in each case calculating the value of any equity awards based on the grant date fair value of such equity awards for financial reporting purposes.</w:t>
      </w:r>
    </w:p>
    <w:p>
      <w:pPr>
        <w:pStyle w:val="TextBody"/>
        <w:bidi w:val="0"/>
        <w:spacing w:lineRule="auto" w:line="240" w:before="0" w:after="240"/>
        <w:ind w:left="0" w:right="0" w:hanging="720"/>
        <w:jc w:val="left"/>
        <w:rPr>
          <w:rFonts w:ascii="Times New Roman;serif" w:hAnsi="Times New Roman;serif"/>
          <w:b/>
          <w:color w:val="000000"/>
          <w:sz w:val="20"/>
        </w:rPr>
      </w:pPr>
      <w:r>
        <w:rPr>
          <w:rFonts w:ascii="Times New Roman;serif" w:hAnsi="Times New Roman;serif"/>
          <w:b/>
          <w:color w:val="000000"/>
          <w:sz w:val="20"/>
        </w:rPr>
        <w:t>4.Options and Stock Appreciation Rights.</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Option and SAR will have such terms and conditions as determined by the Board. Each Option will be designated in writing as an Incentive Stock Option or Nonstatutory Stock Option at the time of grant; provided, however, that if an Option is not so designated, then such Option will be a Nonstatutory Stock Option, and the shares purchased upon exercise of each type of Option will be separately accounted for. Each SAR will be denominated in shares of Class A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pStyle w:val="TextBody"/>
        <w:bidi w:val="0"/>
        <w:spacing w:lineRule="auto" w:line="240" w:before="0" w:after="240"/>
        <w:ind w:left="0" w:right="0" w:firstLine="720"/>
        <w:jc w:val="both"/>
        <w:rPr/>
      </w:pPr>
      <w:r>
        <w:rPr>
          <w:rFonts w:ascii="Times New Roman;serif" w:hAnsi="Times New Roman;serif"/>
          <w:b/>
          <w:color w:val="000000"/>
          <w:sz w:val="20"/>
        </w:rPr>
        <w:t>(a)</w:t>
      </w:r>
      <w:r>
        <w:rPr>
          <w:rFonts w:ascii="Times New Roman;serif" w:hAnsi="Times New Roman;serif"/>
          <w:b/>
          <w:color w:val="000000"/>
          <w:sz w:val="20"/>
        </w:rPr>
        <w:t>Term</w:t>
      </w:r>
      <w:r>
        <w:rPr>
          <w:rFonts w:ascii="Times New Roman;serif" w:hAnsi="Times New Roman;serif"/>
          <w:b w:val="false"/>
          <w:color w:val="000000"/>
          <w:sz w:val="20"/>
        </w:rPr>
        <w:t>. Subject to Section 3(b) regarding Ten Percent Stockholders, no Option or SAR will be exercisable after the expiration of ten years from the date of grant of such Award or such shorter period specified in the Award Agreement.</w:t>
      </w:r>
    </w:p>
    <w:p>
      <w:pPr>
        <w:pStyle w:val="TextBody"/>
        <w:bidi w:val="0"/>
        <w:spacing w:lineRule="auto" w:line="240" w:before="0" w:after="240"/>
        <w:ind w:left="0" w:right="0" w:firstLine="720"/>
        <w:jc w:val="both"/>
        <w:rPr/>
      </w:pPr>
      <w:r>
        <w:rPr>
          <w:rFonts w:ascii="Times New Roman;serif" w:hAnsi="Times New Roman;serif"/>
          <w:b/>
          <w:color w:val="000000"/>
          <w:sz w:val="20"/>
        </w:rPr>
        <w:t>(b)</w:t>
      </w:r>
      <w:r>
        <w:rPr>
          <w:rFonts w:ascii="Times New Roman;serif" w:hAnsi="Times New Roman;serif"/>
          <w:b/>
          <w:color w:val="000000"/>
          <w:sz w:val="20"/>
        </w:rPr>
        <w:t>Exercise or Strike Price</w:t>
      </w:r>
      <w:r>
        <w:rPr>
          <w:rFonts w:ascii="Times New Roman;serif" w:hAnsi="Times New Roman;serif"/>
          <w:b w:val="false"/>
          <w:color w:val="000000"/>
          <w:sz w:val="20"/>
        </w:rPr>
        <w:t>. Subject to Section 3(b) regarding Ten Percent Stockholders, the exercise or strike price of each 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pStyle w:val="TextBody"/>
        <w:bidi w:val="0"/>
        <w:spacing w:lineRule="auto" w:line="240" w:before="0" w:after="240"/>
        <w:ind w:left="0" w:right="0" w:firstLine="720"/>
        <w:jc w:val="both"/>
        <w:rPr/>
      </w:pPr>
      <w:r>
        <w:rPr>
          <w:rFonts w:ascii="Times New Roman;serif" w:hAnsi="Times New Roman;serif"/>
          <w:b/>
          <w:color w:val="000000"/>
          <w:sz w:val="20"/>
        </w:rPr>
        <w:t>(c)</w:t>
      </w:r>
      <w:r>
        <w:rPr>
          <w:rFonts w:ascii="Times New Roman;serif" w:hAnsi="Times New Roman;serif"/>
          <w:b/>
          <w:color w:val="000000"/>
          <w:sz w:val="20"/>
        </w:rPr>
        <w:t>Exercise Procedure and Payment of Exercise Price for Options</w:t>
      </w:r>
      <w:r>
        <w:rPr>
          <w:rFonts w:ascii="Times New Roman;serif" w:hAnsi="Times New Roman;serif"/>
          <w:b w:val="false"/>
          <w:color w:val="000000"/>
          <w:sz w:val="20"/>
        </w:rPr>
        <w:t>. In order to exercise an Option, the Participant must provide 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pStyle w:val="TextBody"/>
        <w:bidi w:val="0"/>
        <w:spacing w:lineRule="auto" w:line="240" w:before="0" w:after="240"/>
        <w:ind w:left="0" w:right="0" w:firstLine="1440"/>
        <w:jc w:val="both"/>
        <w:rPr/>
      </w:pPr>
      <w:r>
        <w:rPr>
          <w:rFonts w:ascii="Times New Roman;serif" w:hAnsi="Times New Roman;serif"/>
          <w:b/>
          <w:color w:val="000000"/>
          <w:sz w:val="20"/>
        </w:rPr>
        <w:t>(i)</w:t>
      </w:r>
      <w:r>
        <w:rPr>
          <w:rFonts w:ascii="Times New Roman;serif" w:hAnsi="Times New Roman;serif"/>
          <w:b w:val="false"/>
          <w:color w:val="000000"/>
          <w:sz w:val="20"/>
        </w:rPr>
        <w:t>by cash or check, bank draft or money order payable to the Company;</w:t>
      </w:r>
    </w:p>
    <w:p>
      <w:pPr>
        <w:pStyle w:val="TextBody"/>
        <w:bidi w:val="0"/>
        <w:spacing w:lineRule="auto" w:line="240" w:before="0" w:after="240"/>
        <w:ind w:left="0" w:right="0" w:firstLine="1440"/>
        <w:jc w:val="both"/>
        <w:rPr/>
      </w:pPr>
      <w:r>
        <w:rPr>
          <w:rFonts w:ascii="Times New Roman;serif" w:hAnsi="Times New Roman;serif"/>
          <w:b/>
          <w:color w:val="000000"/>
          <w:sz w:val="20"/>
        </w:rPr>
        <w:t>(ii)</w:t>
      </w:r>
      <w:r>
        <w:rPr>
          <w:rFonts w:ascii="Times New Roman;serif" w:hAnsi="Times New Roman;serif"/>
          <w:b w:val="false"/>
          <w:color w:val="000000"/>
          <w:sz w:val="20"/>
        </w:rPr>
        <w:t>pursuant to a “cashless exercise” program developed under Regulation T as promulgated by the Federal Reserve Board that, prior to the issuance of the Class A Common Stock subject to the Option, results in either the receipt of cash (or check) by the Company or the receipt of irrevocable instructions to pay the exercise price to the Company from the sales proceeds;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6"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erif" w:hAnsi="Times New Roman;serif"/>
          <w:b/>
          <w:color w:val="000000"/>
          <w:sz w:val="20"/>
        </w:rPr>
        <w:t>(iii)</w:t>
      </w:r>
      <w:r>
        <w:rPr>
          <w:rFonts w:ascii="Times New Roman;serif" w:hAnsi="Times New Roman;serif"/>
          <w:b w:val="false"/>
          <w:color w:val="000000"/>
          <w:sz w:val="20"/>
        </w:rPr>
        <w:t>by delivery to the Company (either by actual delivery or attestation) of shares of Class A Common Stock that are already owned by the Participant free and clear of any liens, claims, encumbrances or security interests, with a Fair Market Value on the date of exercise that does not exceed the exercise price, provided that (1) at the time of exercise the Class A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Class A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pStyle w:val="TextBody"/>
        <w:bidi w:val="0"/>
        <w:spacing w:lineRule="auto" w:line="240" w:before="0" w:after="240"/>
        <w:ind w:left="0" w:right="0" w:firstLine="1440"/>
        <w:jc w:val="both"/>
        <w:rPr/>
      </w:pPr>
      <w:r>
        <w:rPr>
          <w:rFonts w:ascii="Times New Roman;serif" w:hAnsi="Times New Roman;serif"/>
          <w:b/>
          <w:color w:val="000000"/>
          <w:sz w:val="20"/>
        </w:rPr>
        <w:t>(iv)</w:t>
      </w:r>
      <w:r>
        <w:rPr>
          <w:rFonts w:ascii="Times New Roman;serif" w:hAnsi="Times New Roman;serif"/>
          <w:b w:val="false"/>
          <w:color w:val="000000"/>
          <w:sz w:val="20"/>
        </w:rPr>
        <w:t>if the Option is a Nonstatutory Stock Option, by a “net exercise” arrangement pursuant to which the Company will reduce the number of shares of Class A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pStyle w:val="TextBody"/>
        <w:bidi w:val="0"/>
        <w:spacing w:lineRule="auto" w:line="240" w:before="0" w:after="240"/>
        <w:ind w:left="0" w:right="0" w:firstLine="1440"/>
        <w:jc w:val="both"/>
        <w:rPr/>
      </w:pPr>
      <w:r>
        <w:rPr>
          <w:rFonts w:ascii="Times New Roman;serif" w:hAnsi="Times New Roman;serif"/>
          <w:b/>
          <w:color w:val="000000"/>
          <w:sz w:val="20"/>
        </w:rPr>
        <w:t>(v)</w:t>
      </w:r>
      <w:r>
        <w:rPr>
          <w:rFonts w:ascii="Times New Roman;serif" w:hAnsi="Times New Roman;serif"/>
          <w:b w:val="false"/>
          <w:color w:val="000000"/>
          <w:sz w:val="20"/>
        </w:rPr>
        <w:t>in any other form of consideration that may be acceptable to the Board and permissible under Applicable Law.</w:t>
      </w:r>
    </w:p>
    <w:p>
      <w:pPr>
        <w:pStyle w:val="TextBody"/>
        <w:bidi w:val="0"/>
        <w:spacing w:lineRule="auto" w:line="240" w:before="0" w:after="240"/>
        <w:ind w:left="0" w:right="0" w:firstLine="720"/>
        <w:jc w:val="both"/>
        <w:rPr/>
      </w:pPr>
      <w:r>
        <w:rPr>
          <w:rFonts w:ascii="Times New Roman;serif" w:hAnsi="Times New Roman;serif"/>
          <w:b/>
          <w:color w:val="000000"/>
          <w:sz w:val="20"/>
        </w:rPr>
        <w:t>(d)</w:t>
      </w:r>
      <w:r>
        <w:rPr>
          <w:rFonts w:ascii="Times New Roman;serif" w:hAnsi="Times New Roman;serif"/>
          <w:b/>
          <w:color w:val="000000"/>
          <w:sz w:val="20"/>
        </w:rPr>
        <w:t>Exercise Procedure and Payment of Appreciation Distribution for SARs</w:t>
      </w:r>
      <w:r>
        <w:rPr>
          <w:rFonts w:ascii="Times New Roman;serif" w:hAnsi="Times New Roman;serif"/>
          <w:b w:val="false"/>
          <w:color w:val="000000"/>
          <w:sz w:val="20"/>
        </w:rPr>
        <w:t>. In order to exercise any SAR, the Participant must 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Class A Common Stock equal to the number of Class A Common Stock equivalents that are vested and being exercised under such SAR, over (ii) the strike price of such SAR. Such appreciation distribution may be paid to the Participant in the form of Class A Common Stock or cash (or any combination of Class A Common Stock and cash) or in any other form of payment, as determined by the Board and specified in the SAR Agreement.</w:t>
      </w:r>
    </w:p>
    <w:p>
      <w:pPr>
        <w:pStyle w:val="TextBody"/>
        <w:bidi w:val="0"/>
        <w:spacing w:lineRule="auto" w:line="240" w:before="0" w:after="240"/>
        <w:ind w:left="0" w:right="0" w:firstLine="720"/>
        <w:jc w:val="both"/>
        <w:rPr/>
      </w:pPr>
      <w:r>
        <w:rPr>
          <w:rFonts w:ascii="Times New Roman;serif" w:hAnsi="Times New Roman;serif"/>
          <w:b/>
          <w:color w:val="000000"/>
          <w:sz w:val="20"/>
        </w:rPr>
        <w:t>(e)</w:t>
      </w:r>
      <w:r>
        <w:rPr>
          <w:rFonts w:ascii="Times New Roman;serif" w:hAnsi="Times New Roman;serif"/>
          <w:b/>
          <w:color w:val="000000"/>
          <w:sz w:val="20"/>
        </w:rPr>
        <w:t>Transferability</w:t>
      </w:r>
      <w:r>
        <w:rPr>
          <w:rFonts w:ascii="Times New Roman;serif" w:hAnsi="Times New Roman;serif"/>
          <w:b w:val="false"/>
          <w:color w:val="000000"/>
          <w:sz w:val="20"/>
        </w:rPr>
        <w:t>. Options and SARs may not be transferred to third party financial institutions for value. The Board may impose 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provided, further, that if an Option is an Incentive Stock Option, such Option may be deemed to be a Nonstatutory Stock Option as a result of such transfer:</w:t>
      </w:r>
    </w:p>
    <w:p>
      <w:pPr>
        <w:pStyle w:val="TextBody"/>
        <w:bidi w:val="0"/>
        <w:spacing w:lineRule="auto" w:line="240" w:before="0" w:after="240"/>
        <w:ind w:left="0" w:right="0" w:firstLine="1440"/>
        <w:jc w:val="both"/>
        <w:rPr/>
      </w:pPr>
      <w:r>
        <w:rPr>
          <w:rFonts w:ascii="Times New Roman;serif" w:hAnsi="Times New Roman;serif"/>
          <w:b/>
          <w:color w:val="000000"/>
          <w:sz w:val="20"/>
        </w:rPr>
        <w:t>(i)</w:t>
      </w:r>
      <w:r>
        <w:rPr>
          <w:rFonts w:ascii="Times New Roman;serif" w:hAnsi="Times New Roman;serif"/>
          <w:b/>
          <w:color w:val="000000"/>
          <w:sz w:val="20"/>
        </w:rPr>
        <w:t>Restrictions on Transfer</w:t>
      </w:r>
      <w:r>
        <w:rPr>
          <w:rFonts w:ascii="Times New Roman;serif" w:hAnsi="Times New Roman;serif"/>
          <w:b w:val="false"/>
          <w:color w:val="000000"/>
          <w:sz w:val="20"/>
        </w:rPr>
        <w:t>. An Option or SAR will not be transferable, except by will or by the laws of descent and distribution, 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pStyle w:val="TextBody"/>
        <w:bidi w:val="0"/>
        <w:spacing w:lineRule="auto" w:line="240" w:before="0" w:after="240"/>
        <w:ind w:left="0" w:right="0" w:firstLine="1440"/>
        <w:jc w:val="both"/>
        <w:rPr/>
      </w:pPr>
      <w:r>
        <w:rPr>
          <w:rFonts w:ascii="Times New Roman;serif" w:hAnsi="Times New Roman;serif"/>
          <w:b/>
          <w:color w:val="000000"/>
          <w:sz w:val="20"/>
        </w:rPr>
        <w:t>(ii)</w:t>
      </w:r>
      <w:r>
        <w:rPr>
          <w:rFonts w:ascii="Times New Roman;serif" w:hAnsi="Times New Roman;serif"/>
          <w:b/>
          <w:color w:val="000000"/>
          <w:sz w:val="20"/>
        </w:rPr>
        <w:t>Domestic Relations Orders</w:t>
      </w:r>
      <w:r>
        <w:rPr>
          <w:rFonts w:ascii="Times New Roman;serif" w:hAnsi="Times New Roman;serif"/>
          <w:b w:val="false"/>
          <w:color w:val="000000"/>
          <w:sz w:val="20"/>
        </w:rPr>
        <w:t>. Notwithstanding the foregoing, subject to the execution of transfer documentation in a format acceptable to the Company and subject to the approval of the Board or a duly authorized Officer, an Option or SAR may be transferred pursuant to a domestic relations order.</w:t>
      </w:r>
    </w:p>
    <w:p>
      <w:pPr>
        <w:pStyle w:val="TextBody"/>
        <w:bidi w:val="0"/>
        <w:spacing w:lineRule="auto" w:line="240" w:before="0" w:after="240"/>
        <w:ind w:left="0" w:right="0" w:firstLine="720"/>
        <w:jc w:val="both"/>
        <w:rPr/>
      </w:pPr>
      <w:r>
        <w:rPr>
          <w:rFonts w:ascii="Times New Roman;serif" w:hAnsi="Times New Roman;serif"/>
          <w:b/>
          <w:color w:val="000000"/>
          <w:sz w:val="20"/>
        </w:rPr>
        <w:t>(f)</w:t>
      </w:r>
      <w:r>
        <w:rPr>
          <w:rFonts w:ascii="Times New Roman;serif" w:hAnsi="Times New Roman;serif"/>
          <w:b/>
          <w:color w:val="000000"/>
          <w:sz w:val="20"/>
        </w:rPr>
        <w:t>Vesting</w:t>
      </w:r>
      <w:r>
        <w:rPr>
          <w:rFonts w:ascii="Times New Roman;serif" w:hAnsi="Times New Roman;serif"/>
          <w:b w:val="false"/>
          <w:color w:val="000000"/>
          <w:sz w:val="20"/>
        </w:rPr>
        <w:t>. The Board may impose such restrictions on or conditions to the vesting and/or exercisability of an Option or SAR as determined by the Board. Except as otherwise provided in the Award Agreement or other written agreement between a Participant and the Company or an Affiliate, vesting of Options and SARs will cease upon termination of the Participant’s Continuous Service.</w:t>
      </w:r>
    </w:p>
    <w:p>
      <w:pPr>
        <w:pStyle w:val="TextBody"/>
        <w:bidi w:val="0"/>
        <w:spacing w:lineRule="auto" w:line="240" w:before="0" w:after="240"/>
        <w:ind w:left="0" w:right="0" w:firstLine="720"/>
        <w:jc w:val="both"/>
        <w:rPr/>
      </w:pPr>
      <w:r>
        <w:rPr>
          <w:rFonts w:ascii="Times New Roman;serif" w:hAnsi="Times New Roman;serif"/>
          <w:b/>
          <w:color w:val="000000"/>
          <w:sz w:val="20"/>
        </w:rPr>
        <w:t>(g)</w:t>
      </w:r>
      <w:r>
        <w:rPr>
          <w:rFonts w:ascii="Times New Roman;serif" w:hAnsi="Times New Roman;serif"/>
          <w:b/>
          <w:color w:val="000000"/>
          <w:sz w:val="20"/>
        </w:rPr>
        <w:t>Termination of Continuous Service for Cause</w:t>
      </w:r>
      <w:r>
        <w:rPr>
          <w:rFonts w:ascii="Times New Roman;serif" w:hAnsi="Times New Roman;serif"/>
          <w:b w:val="false"/>
          <w:color w:val="000000"/>
          <w:sz w:val="20"/>
        </w:rPr>
        <w:t>. Except as explicitly otherwise provided in the Award Agreement or other written agreement 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Class A Common Stock subject to the forfeited Award, or any consideration in respect of the forfeited Award.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7"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color w:val="000000"/>
          <w:sz w:val="20"/>
        </w:rPr>
        <w:t>(h)</w:t>
      </w:r>
      <w:r>
        <w:rPr>
          <w:rFonts w:ascii="Times New Roman;serif" w:hAnsi="Times New Roman;serif"/>
          <w:b/>
          <w:color w:val="000000"/>
          <w:sz w:val="20"/>
        </w:rPr>
        <w:t>Post-Termination Exercise Period Following Termination of Continuous Service for Reasons Other than Cause</w:t>
      </w:r>
      <w:r>
        <w:rPr>
          <w:rFonts w:ascii="Times New Roman;serif" w:hAnsi="Times New Roman;serif"/>
          <w:b w:val="false"/>
          <w:color w:val="000000"/>
          <w:sz w:val="20"/>
        </w:rPr>
        <w:t>. Subject to Section 4(i), 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pStyle w:val="TextBody"/>
        <w:bidi w:val="0"/>
        <w:spacing w:lineRule="auto" w:line="240" w:before="0" w:after="240"/>
        <w:ind w:left="0" w:right="0" w:firstLine="1440"/>
        <w:jc w:val="both"/>
        <w:rPr/>
      </w:pPr>
      <w:r>
        <w:rPr>
          <w:rFonts w:ascii="Times New Roman;serif" w:hAnsi="Times New Roman;serif"/>
          <w:b/>
          <w:color w:val="000000"/>
          <w:sz w:val="20"/>
        </w:rPr>
        <w:t>(i)</w:t>
      </w:r>
      <w:r>
        <w:rPr>
          <w:rFonts w:ascii="Times New Roman;serif" w:hAnsi="Times New Roman;serif"/>
          <w:b w:val="false"/>
          <w:color w:val="000000"/>
          <w:sz w:val="20"/>
        </w:rPr>
        <w:t>three months following the date of such termination if such termination is a termination without Cause (other than any termination due to the Participant’s Disability or death);</w:t>
      </w:r>
    </w:p>
    <w:p>
      <w:pPr>
        <w:pStyle w:val="TextBody"/>
        <w:bidi w:val="0"/>
        <w:spacing w:lineRule="auto" w:line="240" w:before="0" w:after="240"/>
        <w:ind w:left="0" w:right="0" w:firstLine="1440"/>
        <w:jc w:val="both"/>
        <w:rPr/>
      </w:pPr>
      <w:r>
        <w:rPr>
          <w:rFonts w:ascii="Times New Roman;serif" w:hAnsi="Times New Roman;serif"/>
          <w:b/>
          <w:color w:val="000000"/>
          <w:sz w:val="20"/>
        </w:rPr>
        <w:t>(ii)</w:t>
      </w:r>
      <w:r>
        <w:rPr>
          <w:rFonts w:ascii="Times New Roman;serif" w:hAnsi="Times New Roman;serif"/>
          <w:b w:val="false"/>
          <w:color w:val="000000"/>
          <w:sz w:val="20"/>
        </w:rPr>
        <w:t>12 months following the date of such termination if such termination is due to the Participant’s Disability;</w:t>
      </w:r>
    </w:p>
    <w:p>
      <w:pPr>
        <w:pStyle w:val="TextBody"/>
        <w:bidi w:val="0"/>
        <w:spacing w:lineRule="auto" w:line="240" w:before="0" w:after="240"/>
        <w:ind w:left="0" w:right="0" w:firstLine="1440"/>
        <w:jc w:val="both"/>
        <w:rPr/>
      </w:pPr>
      <w:r>
        <w:rPr>
          <w:rFonts w:ascii="Times New Roman;serif" w:hAnsi="Times New Roman;serif"/>
          <w:b/>
          <w:color w:val="000000"/>
          <w:sz w:val="20"/>
        </w:rPr>
        <w:t>(iii)</w:t>
      </w:r>
      <w:r>
        <w:rPr>
          <w:rFonts w:ascii="Times New Roman;serif" w:hAnsi="Times New Roman;serif"/>
          <w:b w:val="false"/>
          <w:color w:val="000000"/>
          <w:sz w:val="20"/>
        </w:rPr>
        <w:t>18 months following the date of such termination if such termination is due to the Participant’s death; or</w:t>
      </w:r>
    </w:p>
    <w:p>
      <w:pPr>
        <w:pStyle w:val="TextBody"/>
        <w:bidi w:val="0"/>
        <w:spacing w:lineRule="auto" w:line="240" w:before="0" w:after="240"/>
        <w:ind w:left="0" w:right="0" w:firstLine="1440"/>
        <w:jc w:val="both"/>
        <w:rPr/>
      </w:pPr>
      <w:r>
        <w:rPr>
          <w:rFonts w:ascii="Times New Roman;serif" w:hAnsi="Times New Roman;serif"/>
          <w:b/>
          <w:color w:val="000000"/>
          <w:sz w:val="20"/>
        </w:rPr>
        <w:t>(iv)</w:t>
      </w:r>
      <w:r>
        <w:rPr>
          <w:rFonts w:ascii="Times New Roman;serif" w:hAnsi="Times New Roman;serif"/>
          <w:b w:val="false"/>
          <w:color w:val="000000"/>
          <w:sz w:val="20"/>
        </w:rPr>
        <w:t>18 months following the date of the Participant’s death if such death occurs following the date of such termination but during the period such Award is otherwise exercisable (as provided in (i) or (ii) above).</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terminated Award, the shares of Class A Common Stock subject to the terminated Award, or any consideration in respect of the terminated Award.</w:t>
      </w:r>
    </w:p>
    <w:p>
      <w:pPr>
        <w:pStyle w:val="TextBody"/>
        <w:bidi w:val="0"/>
        <w:spacing w:lineRule="auto" w:line="240" w:before="0" w:after="240"/>
        <w:ind w:left="0" w:right="0" w:firstLine="720"/>
        <w:jc w:val="both"/>
        <w:rPr/>
      </w:pPr>
      <w:r>
        <w:rPr>
          <w:rFonts w:ascii="Times New Roman;serif" w:hAnsi="Times New Roman;serif"/>
          <w:b/>
          <w:color w:val="000000"/>
          <w:sz w:val="20"/>
        </w:rPr>
        <w:t>(i)</w:t>
      </w:r>
      <w:r>
        <w:rPr>
          <w:rFonts w:ascii="Times New Roman;serif" w:hAnsi="Times New Roman;serif"/>
          <w:b/>
          <w:color w:val="000000"/>
          <w:sz w:val="20"/>
        </w:rPr>
        <w:t>Restrictions on Exercise; Extension of Exercisability</w:t>
      </w:r>
      <w:r>
        <w:rPr>
          <w:rFonts w:ascii="Times New Roman;serif" w:hAnsi="Times New Roman;serif"/>
          <w:b w:val="false"/>
          <w:color w:val="000000"/>
          <w:sz w:val="20"/>
        </w:rPr>
        <w:t>. A Participant may not exercise an Option or SAR at any time that the issuance of shares of Class A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Class A Common Stock upon such exercise would violate Applicable Law, or (ii) the immediate sale of any shares of Class A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pStyle w:val="TextBody"/>
        <w:bidi w:val="0"/>
        <w:spacing w:lineRule="auto" w:line="240" w:before="0" w:after="240"/>
        <w:ind w:left="0" w:right="0" w:firstLine="720"/>
        <w:jc w:val="both"/>
        <w:rPr/>
      </w:pPr>
      <w:r>
        <w:rPr>
          <w:rFonts w:ascii="Times New Roman;serif" w:hAnsi="Times New Roman;serif"/>
          <w:b/>
          <w:color w:val="000000"/>
          <w:sz w:val="20"/>
        </w:rPr>
        <w:t>(j)</w:t>
      </w:r>
      <w:r>
        <w:rPr>
          <w:rFonts w:ascii="Times New Roman;serif" w:hAnsi="Times New Roman;serif"/>
          <w:b/>
          <w:color w:val="000000"/>
          <w:sz w:val="20"/>
        </w:rPr>
        <w:t>Non-Exempt Employees</w:t>
      </w:r>
      <w:r>
        <w:rPr>
          <w:rFonts w:ascii="Times New Roman;serif" w:hAnsi="Times New Roman;serif"/>
          <w:b w:val="false"/>
          <w:color w:val="000000"/>
          <w:sz w:val="20"/>
        </w:rPr>
        <w:t>. No Option or SAR, whether or not vested, granted to an Employee who is a non-exempt employee for purposes of the Fair Labor Standards Act of 1938, as amended, will be first exercisable for any shares of Class A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pStyle w:val="TextBody"/>
        <w:bidi w:val="0"/>
        <w:spacing w:lineRule="auto" w:line="240" w:before="0" w:after="240"/>
        <w:ind w:left="0" w:right="0" w:firstLine="720"/>
        <w:jc w:val="both"/>
        <w:rPr/>
      </w:pPr>
      <w:r>
        <w:rPr>
          <w:rFonts w:ascii="Times New Roman;serif" w:hAnsi="Times New Roman;serif"/>
          <w:b/>
          <w:color w:val="000000"/>
          <w:sz w:val="20"/>
        </w:rPr>
        <w:t>(k)</w:t>
      </w:r>
      <w:r>
        <w:rPr>
          <w:rFonts w:ascii="Times New Roman;serif" w:hAnsi="Times New Roman;serif"/>
          <w:b/>
          <w:color w:val="000000"/>
          <w:sz w:val="20"/>
        </w:rPr>
        <w:t>Whole Shares</w:t>
      </w:r>
      <w:r>
        <w:rPr>
          <w:rFonts w:ascii="Times New Roman;serif" w:hAnsi="Times New Roman;serif"/>
          <w:b w:val="false"/>
          <w:color w:val="000000"/>
          <w:sz w:val="20"/>
        </w:rPr>
        <w:t>. Options and SARs may be exercised only with respect to whole shares of Class A Common Stock or their equivalents.</w:t>
      </w:r>
    </w:p>
    <w:p>
      <w:pPr>
        <w:pStyle w:val="TextBody"/>
        <w:bidi w:val="0"/>
        <w:spacing w:lineRule="auto" w:line="240" w:before="0" w:after="240"/>
        <w:ind w:left="0" w:right="0" w:hanging="720"/>
        <w:jc w:val="left"/>
        <w:rPr>
          <w:rFonts w:ascii="Times New Roman;serif" w:hAnsi="Times New Roman;serif"/>
          <w:b/>
          <w:color w:val="000000"/>
          <w:sz w:val="20"/>
        </w:rPr>
      </w:pPr>
      <w:r>
        <w:rPr>
          <w:rFonts w:ascii="Times New Roman;serif" w:hAnsi="Times New Roman;serif"/>
          <w:b/>
          <w:color w:val="000000"/>
          <w:sz w:val="20"/>
        </w:rPr>
        <w:t>5.Awards Other Than Options and Stock Appreciation Rights.</w:t>
      </w:r>
    </w:p>
    <w:p>
      <w:pPr>
        <w:pStyle w:val="TextBody"/>
        <w:bidi w:val="0"/>
        <w:spacing w:lineRule="auto" w:line="240" w:before="0" w:after="240"/>
        <w:ind w:left="0" w:right="0" w:firstLine="720"/>
        <w:jc w:val="both"/>
        <w:rPr/>
      </w:pPr>
      <w:r>
        <w:rPr>
          <w:rFonts w:ascii="Times New Roman;serif" w:hAnsi="Times New Roman;serif"/>
          <w:b/>
          <w:color w:val="000000"/>
          <w:sz w:val="20"/>
        </w:rPr>
        <w:t>(a)</w:t>
      </w:r>
      <w:r>
        <w:rPr>
          <w:rFonts w:ascii="Times New Roman;serif" w:hAnsi="Times New Roman;serif"/>
          <w:b/>
          <w:color w:val="000000"/>
          <w:sz w:val="20"/>
        </w:rPr>
        <w:t>Restricted Stock Awards and RSU Awards</w:t>
      </w:r>
      <w:r>
        <w:rPr>
          <w:rFonts w:ascii="Times New Roman;serif" w:hAnsi="Times New Roman;serif"/>
          <w:b w:val="false"/>
          <w:color w:val="000000"/>
          <w:sz w:val="20"/>
        </w:rPr>
        <w:t>. Each Restricted Stock Award and RSU Award will have such terms and conditions as 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pStyle w:val="TextBody"/>
        <w:bidi w:val="0"/>
        <w:spacing w:lineRule="auto" w:line="240" w:before="0" w:after="240"/>
        <w:ind w:left="0" w:right="0" w:firstLine="1440"/>
        <w:jc w:val="both"/>
        <w:rPr/>
      </w:pPr>
      <w:r>
        <w:rPr>
          <w:rFonts w:ascii="Times New Roman;serif" w:hAnsi="Times New Roman;serif"/>
          <w:b/>
          <w:color w:val="000000"/>
          <w:sz w:val="20"/>
        </w:rPr>
        <w:t>(i)</w:t>
      </w:r>
      <w:r>
        <w:rPr>
          <w:rFonts w:ascii="Times New Roman;serif" w:hAnsi="Times New Roman;serif"/>
          <w:b/>
          <w:color w:val="000000"/>
          <w:sz w:val="20"/>
        </w:rPr>
        <w:t>Form of Award</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78"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2160"/>
        <w:jc w:val="both"/>
        <w:rPr/>
      </w:pPr>
      <w:r>
        <w:rPr>
          <w:rFonts w:ascii="Times New Roman;serif" w:hAnsi="Times New Roman;serif"/>
          <w:b/>
          <w:color w:val="000000"/>
          <w:sz w:val="20"/>
        </w:rPr>
        <w:t>(1)</w:t>
      </w:r>
      <w:r>
        <w:rPr>
          <w:rFonts w:ascii="Times New Roman;serif" w:hAnsi="Times New Roman;serif"/>
          <w:b w:val="false"/>
          <w:color w:val="000000"/>
          <w:sz w:val="20"/>
        </w:rPr>
        <w:t>RSAs: To the extent consistent with the Company’s Bylaws, at the Board’s election, shares of Class A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pStyle w:val="TextBody"/>
        <w:bidi w:val="0"/>
        <w:spacing w:lineRule="auto" w:line="240" w:before="0" w:after="240"/>
        <w:ind w:left="0" w:right="0" w:firstLine="2160"/>
        <w:jc w:val="both"/>
        <w:rPr/>
      </w:pPr>
      <w:r>
        <w:rPr>
          <w:rFonts w:ascii="Times New Roman;serif" w:hAnsi="Times New Roman;serif"/>
          <w:b/>
          <w:color w:val="000000"/>
          <w:sz w:val="20"/>
        </w:rPr>
        <w:t>(2)</w:t>
      </w:r>
      <w:r>
        <w:rPr>
          <w:rFonts w:ascii="Times New Roman;serif" w:hAnsi="Times New Roman;serif"/>
          <w:b w:val="false"/>
          <w:color w:val="000000"/>
          <w:sz w:val="20"/>
        </w:rPr>
        <w:t>RSUs: A RSU Award represents a Participant’s right to be issued on a future date the number of shares of Class A Common Stock that is equal to the number of restricted stock units subject to the RSU Award. As a holder of a RSU Award, a Participant is an unsecured creditor of the Company with respect to the Company’s unfunded obligation, if any, to issue shares of Class A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pStyle w:val="TextBody"/>
        <w:bidi w:val="0"/>
        <w:spacing w:lineRule="auto" w:line="240" w:before="0" w:after="240"/>
        <w:ind w:left="0" w:right="0" w:firstLine="1440"/>
        <w:jc w:val="both"/>
        <w:rPr/>
      </w:pPr>
      <w:r>
        <w:rPr>
          <w:rFonts w:ascii="Times New Roman;serif" w:hAnsi="Times New Roman;serif"/>
          <w:b/>
          <w:color w:val="000000"/>
          <w:sz w:val="20"/>
        </w:rPr>
        <w:t>(ii)</w:t>
      </w:r>
      <w:r>
        <w:rPr>
          <w:rFonts w:ascii="Times New Roman;serif" w:hAnsi="Times New Roman;serif"/>
          <w:b/>
          <w:color w:val="000000"/>
          <w:sz w:val="20"/>
        </w:rPr>
        <w:t>Consideration</w:t>
      </w:r>
      <w:r>
        <w:rPr>
          <w:rFonts w:ascii="Times New Roman;serif" w:hAnsi="Times New Roman;serif"/>
          <w:b w:val="false"/>
          <w:color w:val="000000"/>
          <w:sz w:val="20"/>
        </w:rPr>
        <w:t>.</w:t>
      </w:r>
    </w:p>
    <w:p>
      <w:pPr>
        <w:pStyle w:val="TextBody"/>
        <w:bidi w:val="0"/>
        <w:spacing w:lineRule="auto" w:line="240" w:before="0" w:after="240"/>
        <w:ind w:left="0" w:right="0" w:firstLine="2160"/>
        <w:jc w:val="both"/>
        <w:rPr/>
      </w:pPr>
      <w:r>
        <w:rPr>
          <w:rFonts w:ascii="Times New Roman;serif" w:hAnsi="Times New Roman;serif"/>
          <w:b/>
          <w:color w:val="000000"/>
          <w:sz w:val="20"/>
        </w:rPr>
        <w:t>(1)</w:t>
      </w:r>
      <w:r>
        <w:rPr>
          <w:rFonts w:ascii="Times New Roman;serif" w:hAnsi="Times New Roman;serif"/>
          <w:b w:val="false"/>
          <w:color w:val="000000"/>
          <w:sz w:val="20"/>
        </w:rPr>
        <w:t>RSA: A Restricted Stock Award may be granted in consideration for (A) cash or check, bank draft or money order payable to the Company, (B) past services to the Company or an Affiliate, or (C) any other form of consideration as the Board may determine and permissible under Applicable Law.</w:t>
      </w:r>
    </w:p>
    <w:p>
      <w:pPr>
        <w:pStyle w:val="TextBody"/>
        <w:bidi w:val="0"/>
        <w:spacing w:lineRule="auto" w:line="240" w:before="0" w:after="240"/>
        <w:ind w:left="0" w:right="0" w:firstLine="2160"/>
        <w:jc w:val="both"/>
        <w:rPr/>
      </w:pPr>
      <w:r>
        <w:rPr>
          <w:rFonts w:ascii="Times New Roman;serif" w:hAnsi="Times New Roman;serif"/>
          <w:b/>
          <w:color w:val="000000"/>
          <w:sz w:val="20"/>
        </w:rPr>
        <w:t>(2)</w:t>
      </w:r>
      <w:r>
        <w:rPr>
          <w:rFonts w:ascii="Times New Roman;serif" w:hAnsi="Times New Roman;serif"/>
          <w:b w:val="false"/>
          <w:color w:val="000000"/>
          <w:sz w:val="20"/>
        </w:rPr>
        <w:t>RSU: Unless otherwise determined by the Board at the time of grant, a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Class A Common Stock pursuant to the RSU Award. If, at the time of grant, the Board determines that any consideration must be paid by the Participant (in a form other than the Participant’s services to the Company or an Affiliate) upon the issuance of any shares of Class A Common Stock in settlement of the RSU Award, such consideration may be paid in any form of consideration as the Board may determine and permissible under Applicable Law.</w:t>
      </w:r>
    </w:p>
    <w:p>
      <w:pPr>
        <w:pStyle w:val="TextBody"/>
        <w:bidi w:val="0"/>
        <w:spacing w:lineRule="auto" w:line="240" w:before="0" w:after="240"/>
        <w:ind w:left="0" w:right="0" w:firstLine="1440"/>
        <w:jc w:val="both"/>
        <w:rPr/>
      </w:pPr>
      <w:r>
        <w:rPr>
          <w:rFonts w:ascii="Times New Roman;serif" w:hAnsi="Times New Roman;serif"/>
          <w:b/>
          <w:color w:val="000000"/>
          <w:sz w:val="20"/>
        </w:rPr>
        <w:t>(iii)</w:t>
      </w:r>
      <w:r>
        <w:rPr>
          <w:rFonts w:ascii="Times New Roman;serif" w:hAnsi="Times New Roman;serif"/>
          <w:b/>
          <w:color w:val="000000"/>
          <w:sz w:val="20"/>
        </w:rPr>
        <w:t>Vesting</w:t>
      </w:r>
      <w:r>
        <w:rPr>
          <w:rFonts w:ascii="Times New Roman;serif" w:hAnsi="Times New Roman;serif"/>
          <w:b w:val="false"/>
          <w:color w:val="000000"/>
          <w:sz w:val="20"/>
        </w:rPr>
        <w:t>. The Board may impose such restrictions on or conditions to the vesting of a Restricted Stock Award or RSU Award as 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pStyle w:val="TextBody"/>
        <w:bidi w:val="0"/>
        <w:spacing w:lineRule="auto" w:line="240" w:before="0" w:after="240"/>
        <w:ind w:left="0" w:right="0" w:firstLine="1440"/>
        <w:jc w:val="both"/>
        <w:rPr/>
      </w:pPr>
      <w:r>
        <w:rPr>
          <w:rFonts w:ascii="Times New Roman;serif" w:hAnsi="Times New Roman;serif"/>
          <w:b/>
          <w:color w:val="000000"/>
          <w:sz w:val="20"/>
        </w:rPr>
        <w:t>(iv)</w:t>
      </w:r>
      <w:r>
        <w:rPr>
          <w:rFonts w:ascii="Times New Roman;serif" w:hAnsi="Times New Roman;serif"/>
          <w:b/>
          <w:color w:val="000000"/>
          <w:sz w:val="20"/>
        </w:rPr>
        <w:t>Termination of Continuous Service</w:t>
      </w:r>
      <w:r>
        <w:rPr>
          <w:rFonts w:ascii="Times New Roman;serif" w:hAnsi="Times New Roman;serif"/>
          <w:b w:val="false"/>
          <w:color w:val="000000"/>
          <w:sz w:val="20"/>
        </w:rPr>
        <w:t>. Except as otherwise provided in the Award Agreement or other written agreement between a Participant and the Company or an Affiliate, if a Participant’s Continuous Service terminates for any reason, (i) the Company may receive through a forfeiture condition or a repurchase right any or all of the shares of Class A Common Stock held by the Participant under his or her Restricted Stock Award that have not vested as of the date of such termination as set forth in the Restricted Stock Award Agreement and (ii) any portion of his or her RSU Award that has not vested will be forfeited upon such termination and the Participant will have no further right, title or interest in the RSU Award, the shares of Class A Common Stock issuable pursuant to the RSU Award, or any consideration in respect of the RSU Award.</w:t>
      </w:r>
    </w:p>
    <w:p>
      <w:pPr>
        <w:pStyle w:val="TextBody"/>
        <w:bidi w:val="0"/>
        <w:spacing w:lineRule="auto" w:line="240" w:before="0" w:after="240"/>
        <w:ind w:left="0" w:right="0" w:firstLine="1440"/>
        <w:jc w:val="both"/>
        <w:rPr/>
      </w:pPr>
      <w:r>
        <w:rPr>
          <w:rFonts w:ascii="Times New Roman;serif" w:hAnsi="Times New Roman;serif"/>
          <w:b/>
          <w:color w:val="000000"/>
          <w:sz w:val="20"/>
        </w:rPr>
        <w:t>(v)</w:t>
      </w:r>
      <w:r>
        <w:rPr>
          <w:rFonts w:ascii="Times New Roman;serif" w:hAnsi="Times New Roman;serif"/>
          <w:b/>
          <w:color w:val="000000"/>
          <w:sz w:val="20"/>
        </w:rPr>
        <w:t>Dividends and Dividend Equivalents</w:t>
      </w:r>
      <w:r>
        <w:rPr>
          <w:rFonts w:ascii="Times New Roman;serif" w:hAnsi="Times New Roman;serif"/>
          <w:b w:val="false"/>
          <w:color w:val="000000"/>
          <w:sz w:val="20"/>
        </w:rPr>
        <w:t>. Dividends or dividend equivalents may be paid or credited, as applicable, with respect to any shares of Class A Common Stock subject to a Restricted Stock Award or RSU Award, as determined by the Board and specified in the Award Agreement).</w:t>
      </w:r>
    </w:p>
    <w:p>
      <w:pPr>
        <w:pStyle w:val="TextBody"/>
        <w:bidi w:val="0"/>
        <w:spacing w:lineRule="auto" w:line="240" w:before="0" w:after="240"/>
        <w:ind w:left="0" w:right="0" w:firstLine="1440"/>
        <w:jc w:val="both"/>
        <w:rPr/>
      </w:pPr>
      <w:r>
        <w:rPr>
          <w:rFonts w:ascii="Times New Roman;serif" w:hAnsi="Times New Roman;serif"/>
          <w:b/>
          <w:color w:val="000000"/>
          <w:sz w:val="20"/>
        </w:rPr>
        <w:t>(vi)</w:t>
      </w:r>
      <w:r>
        <w:rPr>
          <w:rFonts w:ascii="Times New Roman;serif" w:hAnsi="Times New Roman;serif"/>
          <w:b/>
          <w:color w:val="000000"/>
          <w:sz w:val="20"/>
        </w:rPr>
        <w:t>Settlement of RSU Awards</w:t>
      </w:r>
      <w:r>
        <w:rPr>
          <w:rFonts w:ascii="Times New Roman;serif" w:hAnsi="Times New Roman;serif"/>
          <w:b w:val="false"/>
          <w:color w:val="000000"/>
          <w:sz w:val="20"/>
        </w:rPr>
        <w:t>. A RSU Award may be settled by the issuance of shares of Class A Common Stock or cash (or any 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pStyle w:val="TextBody"/>
        <w:bidi w:val="0"/>
        <w:spacing w:lineRule="auto" w:line="240" w:before="0" w:after="240"/>
        <w:ind w:left="0" w:right="0" w:firstLine="720"/>
        <w:jc w:val="both"/>
        <w:rPr/>
      </w:pPr>
      <w:r>
        <w:rPr>
          <w:rFonts w:ascii="Times New Roman;serif" w:hAnsi="Times New Roman;serif"/>
          <w:b/>
          <w:color w:val="000000"/>
          <w:sz w:val="20"/>
        </w:rPr>
        <w:t>(b)</w:t>
      </w:r>
      <w:r>
        <w:rPr>
          <w:rFonts w:ascii="Times New Roman;serif" w:hAnsi="Times New Roman;serif"/>
          <w:b/>
          <w:color w:val="000000"/>
          <w:sz w:val="20"/>
        </w:rPr>
        <w:t>Performance Awards</w:t>
      </w:r>
      <w:r>
        <w:rPr>
          <w:rFonts w:ascii="Times New Roman;serif" w:hAnsi="Times New Roman;serif"/>
          <w:b w:val="false"/>
          <w:color w:val="000000"/>
          <w:sz w:val="20"/>
        </w:rPr>
        <w:t>. With respect to any Performance Award, the length of any Performance Period, the Performance Goals to be achieved during the Performance Period, the other terms and conditions of such Award, and the measure of whether and to what degree such Performance Goals have been attained will be determined by the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79"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color w:val="000000"/>
          <w:sz w:val="20"/>
        </w:rPr>
        <w:t>(c)</w:t>
      </w:r>
      <w:r>
        <w:rPr>
          <w:rFonts w:ascii="Times New Roman;serif" w:hAnsi="Times New Roman;serif"/>
          <w:b/>
          <w:color w:val="000000"/>
          <w:sz w:val="20"/>
        </w:rPr>
        <w:t>Other Awards</w:t>
      </w:r>
      <w:r>
        <w:rPr>
          <w:rFonts w:ascii="Times New Roman;serif" w:hAnsi="Times New Roman;serif"/>
          <w:b w:val="false"/>
          <w:color w:val="000000"/>
          <w:sz w:val="20"/>
        </w:rPr>
        <w:t>. Other Awards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Class A Common Stock (or the cash equivalent thereof) to be granted pursuant to such Other Awards and all other terms and conditions of such Other Awards.</w:t>
      </w:r>
    </w:p>
    <w:p>
      <w:pPr>
        <w:pStyle w:val="TextBody"/>
        <w:bidi w:val="0"/>
        <w:spacing w:lineRule="auto" w:line="240" w:before="0" w:after="240"/>
        <w:ind w:left="0" w:right="0" w:hanging="720"/>
        <w:jc w:val="left"/>
        <w:rPr>
          <w:rFonts w:ascii="Times New Roman;serif" w:hAnsi="Times New Roman;serif"/>
          <w:b/>
          <w:color w:val="000000"/>
          <w:sz w:val="20"/>
        </w:rPr>
      </w:pPr>
      <w:r>
        <w:rPr>
          <w:rFonts w:ascii="Times New Roman;serif" w:hAnsi="Times New Roman;serif"/>
          <w:b/>
          <w:color w:val="000000"/>
          <w:sz w:val="20"/>
        </w:rPr>
        <w:t>6.Adjustments upon Changes in Class A Common Stock; Other Corporate Events.</w:t>
      </w:r>
    </w:p>
    <w:p>
      <w:pPr>
        <w:pStyle w:val="TextBody"/>
        <w:bidi w:val="0"/>
        <w:spacing w:lineRule="auto" w:line="240" w:before="0" w:after="240"/>
        <w:ind w:left="0" w:right="0" w:firstLine="720"/>
        <w:jc w:val="both"/>
        <w:rPr/>
      </w:pPr>
      <w:r>
        <w:rPr>
          <w:rFonts w:ascii="Times New Roman;serif" w:hAnsi="Times New Roman;serif"/>
          <w:b/>
          <w:color w:val="000000"/>
          <w:sz w:val="20"/>
        </w:rPr>
        <w:t>(a)</w:t>
      </w:r>
      <w:r>
        <w:rPr>
          <w:rFonts w:ascii="Times New Roman;serif" w:hAnsi="Times New Roman;serif"/>
          <w:b/>
          <w:color w:val="000000"/>
          <w:sz w:val="20"/>
        </w:rPr>
        <w:t>Capitalization Adjustments</w:t>
      </w:r>
      <w:r>
        <w:rPr>
          <w:rFonts w:ascii="Times New Roman;serif" w:hAnsi="Times New Roman;serif"/>
          <w:b w:val="false"/>
          <w:color w:val="000000"/>
          <w:sz w:val="20"/>
        </w:rPr>
        <w:t>. In the event of a Capitalization Adjustment, the Board shall appropriately and proportionately adjust: (i) the class(es) and maximum number of shares of Class A Common Stock subject to the Plan and the maximum number of shares by which the Share Reserve may annually increase pursuant to Section 2(a), (ii) the class(es) and maximum number of shares that may be issued pursuant to the exercise of Incentive Stock Options pursuant to Section 2(b), and (iii) the class(es) and number of securities and exercise price, strike price or purchase price of Class A Common Stock subject to outstanding Awards. The Board shall make such adjustments, and its determination shall be final, binding and conclusive. Notwithstanding the foregoing, no fractional shares or rights for fractional shares of Class A Common Stock shall be created in order to implement any Capitalization Adjustment. The Board shall determine an equivalent benefit for any fractional shares or fractional shares that might be created by the adjustments referred to in the preceding provisions of this Section.</w:t>
      </w:r>
    </w:p>
    <w:p>
      <w:pPr>
        <w:pStyle w:val="TextBody"/>
        <w:bidi w:val="0"/>
        <w:spacing w:lineRule="auto" w:line="240" w:before="0" w:after="240"/>
        <w:ind w:left="0" w:right="0" w:firstLine="720"/>
        <w:jc w:val="both"/>
        <w:rPr/>
      </w:pPr>
      <w:r>
        <w:rPr>
          <w:rFonts w:ascii="Times New Roman;serif" w:hAnsi="Times New Roman;serif"/>
          <w:b/>
          <w:color w:val="000000"/>
          <w:sz w:val="20"/>
        </w:rPr>
        <w:t>(b)</w:t>
      </w:r>
      <w:r>
        <w:rPr>
          <w:rFonts w:ascii="Times New Roman;serif" w:hAnsi="Times New Roman;serif"/>
          <w:b/>
          <w:color w:val="000000"/>
          <w:sz w:val="20"/>
        </w:rPr>
        <w:t>Dissolution or Liquidation</w:t>
      </w:r>
      <w:r>
        <w:rPr>
          <w:rFonts w:ascii="Times New Roman;serif" w:hAnsi="Times New Roman;serif"/>
          <w:b w:val="false"/>
          <w:color w:val="000000"/>
          <w:sz w:val="20"/>
        </w:rPr>
        <w:t>. Except as otherwise provided in the Award Agreement, in the event of a dissolution or liquidation of the Company, all outstanding Awards (other than Awards consisting of vested and outstanding shares of Class A Common Stock not subject to a forfeiture condition or the Company’s right of repurchase) will terminate immediately prior to the completion of such dissolution or liquidation, and the shares of Class A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pStyle w:val="TextBody"/>
        <w:bidi w:val="0"/>
        <w:spacing w:lineRule="auto" w:line="240" w:before="0" w:after="240"/>
        <w:ind w:left="0" w:right="0" w:firstLine="720"/>
        <w:jc w:val="both"/>
        <w:rPr/>
      </w:pPr>
      <w:r>
        <w:rPr>
          <w:rFonts w:ascii="Times New Roman;serif" w:hAnsi="Times New Roman;serif"/>
          <w:b/>
          <w:color w:val="000000"/>
          <w:sz w:val="20"/>
        </w:rPr>
        <w:t>(c)</w:t>
      </w:r>
      <w:r>
        <w:rPr>
          <w:rFonts w:ascii="Times New Roman;serif" w:hAnsi="Times New Roman;serif"/>
          <w:b/>
          <w:color w:val="000000"/>
          <w:sz w:val="20"/>
        </w:rPr>
        <w:t>Corporate Transaction</w:t>
      </w:r>
      <w:r>
        <w:rPr>
          <w:rFonts w:ascii="Times New Roman;serif" w:hAnsi="Times New Roman;serif"/>
          <w:b w:val="false"/>
          <w:color w:val="000000"/>
          <w:sz w:val="20"/>
        </w:rPr>
        <w:t>. The following provisions will apply to Awards in the event of a Corporate Transaction except as set forth in Section 11, and unless otherwise provided in the instrument evidencing the Award or any other written agreement between the Company or any Affiliate and the Participant or unless otherwise expressly provided by the Board at the time of grant of an Award.</w:t>
      </w:r>
    </w:p>
    <w:p>
      <w:pPr>
        <w:pStyle w:val="TextBody"/>
        <w:bidi w:val="0"/>
        <w:spacing w:lineRule="auto" w:line="240" w:before="0" w:after="240"/>
        <w:ind w:left="0" w:right="0" w:firstLine="1440"/>
        <w:jc w:val="both"/>
        <w:rPr/>
      </w:pPr>
      <w:r>
        <w:rPr>
          <w:rFonts w:ascii="Times New Roman;serif" w:hAnsi="Times New Roman;serif"/>
          <w:b/>
          <w:color w:val="000000"/>
          <w:sz w:val="20"/>
        </w:rPr>
        <w:t>(i)</w:t>
      </w:r>
      <w:r>
        <w:rPr>
          <w:rFonts w:ascii="Times New Roman;serif" w:hAnsi="Times New Roman;serif"/>
          <w:b/>
          <w:color w:val="000000"/>
          <w:sz w:val="20"/>
        </w:rPr>
        <w:t>Awards May Be Assumed</w:t>
      </w:r>
      <w:r>
        <w:rPr>
          <w:rFonts w:ascii="Times New Roman;serif" w:hAnsi="Times New Roman;serif"/>
          <w:b w:val="false"/>
          <w:color w:val="000000"/>
          <w:sz w:val="20"/>
        </w:rPr>
        <w:t>. In the event of a Corporate Transaction, any surviving corporation or 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Class A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0"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erif" w:hAnsi="Times New Roman;serif"/>
          <w:b/>
          <w:color w:val="000000"/>
          <w:sz w:val="20"/>
        </w:rPr>
        <w:t>(ii)</w:t>
      </w:r>
      <w:r>
        <w:rPr>
          <w:rFonts w:ascii="Times New Roman;serif" w:hAnsi="Times New Roman;serif"/>
          <w:b/>
          <w:color w:val="000000"/>
          <w:sz w:val="20"/>
        </w:rPr>
        <w:t>Awards Held by Current Participants</w:t>
      </w:r>
      <w:r>
        <w:rPr>
          <w:rFonts w:ascii="Times New Roman;serif" w:hAnsi="Times New Roman;serif"/>
          <w:b w:val="false"/>
          <w:color w:val="000000"/>
          <w:sz w:val="20"/>
        </w:rPr>
        <w:t>.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serif" w:hAnsi="Times New Roman;serif"/>
          <w:b/>
          <w:color w:val="000000"/>
          <w:sz w:val="20"/>
        </w:rPr>
        <w:t>Current Participants</w:t>
      </w:r>
      <w:r>
        <w:rPr>
          <w:color w:val="000000"/>
        </w:rPr>
        <w:t>”</w:t>
      </w:r>
      <w:r>
        <w:rPr>
          <w:rFonts w:ascii="Times New Roman;serif" w:hAnsi="Times New Roman;serif"/>
          <w:b w:val="false"/>
          <w:color w:val="000000"/>
          <w:sz w:val="20"/>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w:t>
      </w:r>
    </w:p>
    <w:p>
      <w:pPr>
        <w:pStyle w:val="TextBody"/>
        <w:bidi w:val="0"/>
        <w:spacing w:lineRule="auto" w:line="240" w:before="0" w:after="240"/>
        <w:ind w:left="0" w:right="0" w:firstLine="1440"/>
        <w:jc w:val="both"/>
        <w:rPr/>
      </w:pPr>
      <w:r>
        <w:rPr>
          <w:rFonts w:ascii="Times New Roman;serif" w:hAnsi="Times New Roman;serif"/>
          <w:b/>
          <w:color w:val="000000"/>
          <w:sz w:val="20"/>
        </w:rPr>
        <w:t>(iii)</w:t>
      </w:r>
      <w:r>
        <w:rPr>
          <w:rFonts w:ascii="Times New Roman;serif" w:hAnsi="Times New Roman;serif"/>
          <w:b/>
          <w:color w:val="000000"/>
          <w:sz w:val="20"/>
        </w:rPr>
        <w:t>Awards Held by Persons other than Current Participants</w:t>
      </w:r>
      <w:r>
        <w:rPr>
          <w:rFonts w:ascii="Times New Roman;serif" w:hAnsi="Times New Roman;serif"/>
          <w:b w:val="false"/>
          <w:color w:val="000000"/>
          <w:sz w:val="20"/>
        </w:rPr>
        <w:t>.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pStyle w:val="TextBody"/>
        <w:bidi w:val="0"/>
        <w:spacing w:lineRule="auto" w:line="240" w:before="0" w:after="240"/>
        <w:ind w:left="0" w:right="0" w:firstLine="1440"/>
        <w:jc w:val="both"/>
        <w:rPr/>
      </w:pPr>
      <w:r>
        <w:rPr>
          <w:rFonts w:ascii="Times New Roman;serif" w:hAnsi="Times New Roman;serif"/>
          <w:b/>
          <w:color w:val="000000"/>
          <w:sz w:val="20"/>
        </w:rPr>
        <w:t>(iv)</w:t>
      </w:r>
      <w:r>
        <w:rPr>
          <w:rFonts w:ascii="Times New Roman;serif" w:hAnsi="Times New Roman;serif"/>
          <w:b/>
          <w:color w:val="000000"/>
          <w:sz w:val="20"/>
        </w:rPr>
        <w:t>Payment for Awards in Lieu of Exercise</w:t>
      </w:r>
      <w:r>
        <w:rPr>
          <w:rFonts w:ascii="Times New Roman;serif" w:hAnsi="Times New Roman;serif"/>
          <w:b w:val="false"/>
          <w:color w:val="000000"/>
          <w:sz w:val="20"/>
        </w:rPr>
        <w:t>. Notwithstanding the foregoing, in the event an Award will terminate if not 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pStyle w:val="TextBody"/>
        <w:bidi w:val="0"/>
        <w:spacing w:lineRule="auto" w:line="240" w:before="0" w:after="240"/>
        <w:ind w:left="0" w:right="0" w:firstLine="720"/>
        <w:jc w:val="both"/>
        <w:rPr/>
      </w:pPr>
      <w:r>
        <w:rPr>
          <w:rFonts w:ascii="Times New Roman;serif" w:hAnsi="Times New Roman;serif"/>
          <w:b/>
          <w:color w:val="000000"/>
          <w:sz w:val="20"/>
        </w:rPr>
        <w:t>(d)</w:t>
      </w:r>
      <w:r>
        <w:rPr>
          <w:rFonts w:ascii="Times New Roman;serif" w:hAnsi="Times New Roman;serif"/>
          <w:b/>
          <w:color w:val="000000"/>
          <w:sz w:val="20"/>
        </w:rPr>
        <w:t>Appointment of Stockholder Representative</w:t>
      </w:r>
      <w:r>
        <w:rPr>
          <w:rFonts w:ascii="Times New Roman;serif" w:hAnsi="Times New Roman;serif"/>
          <w:b w:val="false"/>
          <w:color w:val="000000"/>
          <w:sz w:val="20"/>
        </w:rPr>
        <w:t>. As a condition to the receipt of an Award under this Plan, a Participant will be 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pStyle w:val="TextBody"/>
        <w:bidi w:val="0"/>
        <w:spacing w:lineRule="auto" w:line="240" w:before="0" w:after="240"/>
        <w:ind w:left="0" w:right="0" w:firstLine="720"/>
        <w:jc w:val="both"/>
        <w:rPr/>
      </w:pPr>
      <w:r>
        <w:rPr>
          <w:rFonts w:ascii="Times New Roman;serif" w:hAnsi="Times New Roman;serif"/>
          <w:b/>
          <w:color w:val="000000"/>
          <w:sz w:val="20"/>
        </w:rPr>
        <w:t>(e)</w:t>
      </w:r>
      <w:r>
        <w:rPr>
          <w:rFonts w:ascii="Times New Roman;serif" w:hAnsi="Times New Roman;serif"/>
          <w:b/>
          <w:color w:val="000000"/>
          <w:sz w:val="20"/>
        </w:rPr>
        <w:t>No Restriction on Right to Undertake Transactions</w:t>
      </w:r>
      <w:r>
        <w:rPr>
          <w:rFonts w:ascii="Times New Roman;serif" w:hAnsi="Times New Roman;serif"/>
          <w:b w:val="false"/>
          <w:color w:val="000000"/>
          <w:sz w:val="20"/>
        </w:rPr>
        <w:t>. The grant of any Award under the Plan and the issuance of shares pursuant to any 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Class A Common Stock or the rights thereof or which are convertible into or exchangeable for Class A Common Stock, or the dissolution or liquidation of the Company, or any sale or transfer of all or any part of its assets or business, or any other corporate act or proceeding, whether of a similar character or otherwise.</w:t>
      </w:r>
    </w:p>
    <w:p>
      <w:pPr>
        <w:pStyle w:val="TextBody"/>
        <w:bidi w:val="0"/>
        <w:spacing w:lineRule="auto" w:line="240" w:before="0" w:after="240"/>
        <w:ind w:left="0" w:right="0" w:hanging="720"/>
        <w:jc w:val="left"/>
        <w:rPr>
          <w:rFonts w:ascii="Times New Roman;serif" w:hAnsi="Times New Roman;serif"/>
          <w:b/>
          <w:color w:val="000000"/>
          <w:sz w:val="20"/>
        </w:rPr>
      </w:pPr>
      <w:r>
        <w:rPr>
          <w:rFonts w:ascii="Times New Roman;serif" w:hAnsi="Times New Roman;serif"/>
          <w:b/>
          <w:color w:val="000000"/>
          <w:sz w:val="20"/>
        </w:rPr>
        <w:t>7.Administration.</w:t>
      </w:r>
    </w:p>
    <w:p>
      <w:pPr>
        <w:pStyle w:val="TextBody"/>
        <w:bidi w:val="0"/>
        <w:spacing w:lineRule="auto" w:line="240" w:before="0" w:after="240"/>
        <w:ind w:left="0" w:right="0" w:firstLine="720"/>
        <w:jc w:val="both"/>
        <w:rPr/>
      </w:pPr>
      <w:r>
        <w:rPr>
          <w:rFonts w:ascii="Times New Roman;serif" w:hAnsi="Times New Roman;serif"/>
          <w:b/>
          <w:color w:val="000000"/>
          <w:sz w:val="20"/>
        </w:rPr>
        <w:t>(a)</w:t>
      </w:r>
      <w:r>
        <w:rPr>
          <w:rFonts w:ascii="Times New Roman;serif" w:hAnsi="Times New Roman;serif"/>
          <w:b/>
          <w:color w:val="000000"/>
          <w:sz w:val="20"/>
        </w:rPr>
        <w:t>Administration by Board</w:t>
      </w:r>
      <w:r>
        <w:rPr>
          <w:rFonts w:ascii="Times New Roman;serif" w:hAnsi="Times New Roman;serif"/>
          <w:b w:val="false"/>
          <w:color w:val="000000"/>
          <w:sz w:val="20"/>
        </w:rPr>
        <w:t>. The Board will administer the Plan unless and until the Board delegates administration of the Plan to a Committee or Committees, as provided in subsection (c) below.</w:t>
      </w:r>
    </w:p>
    <w:p>
      <w:pPr>
        <w:pStyle w:val="TextBody"/>
        <w:bidi w:val="0"/>
        <w:spacing w:lineRule="auto" w:line="240" w:before="0" w:after="240"/>
        <w:ind w:left="0" w:right="0" w:firstLine="720"/>
        <w:jc w:val="both"/>
        <w:rPr/>
      </w:pPr>
      <w:r>
        <w:rPr>
          <w:rFonts w:ascii="Times New Roman;serif" w:hAnsi="Times New Roman;serif"/>
          <w:b/>
          <w:color w:val="000000"/>
          <w:sz w:val="20"/>
        </w:rPr>
        <w:t>(b)</w:t>
      </w:r>
      <w:r>
        <w:rPr>
          <w:rFonts w:ascii="Times New Roman;serif" w:hAnsi="Times New Roman;serif"/>
          <w:b/>
          <w:color w:val="000000"/>
          <w:sz w:val="20"/>
        </w:rPr>
        <w:t>Powers of Board</w:t>
      </w:r>
      <w:r>
        <w:rPr>
          <w:rFonts w:ascii="Times New Roman;serif" w:hAnsi="Times New Roman;serif"/>
          <w:b w:val="false"/>
          <w:color w:val="000000"/>
          <w:sz w:val="20"/>
        </w:rPr>
        <w:t>. The Board will have the power, subject to, and within the limitations of, the express provisions of the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1"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erif" w:hAnsi="Times New Roman;serif"/>
          <w:b/>
          <w:color w:val="000000"/>
          <w:sz w:val="20"/>
        </w:rPr>
        <w:t>(i)</w:t>
      </w:r>
      <w:r>
        <w:rPr>
          <w:rFonts w:ascii="Times New Roman;serif" w:hAnsi="Times New Roman;serif"/>
          <w:b w:val="false"/>
          <w:color w:val="000000"/>
          <w:sz w:val="20"/>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Class A Common Stock or other payment pursuant to an Award; (5) the number of shares of Class A Common Stock or cash equivalent with respect to which an Award will be granted to each such person; (6) the Fair Market Value applicable to an Award; and (7) the terms of any Performance Award that is not valued in whole or in part by reference to, or otherwise based on, the Class A Common Stock, including the amount of cash payment or other property that may be earned and the timing of payment.</w:t>
      </w:r>
    </w:p>
    <w:p>
      <w:pPr>
        <w:pStyle w:val="TextBody"/>
        <w:bidi w:val="0"/>
        <w:spacing w:lineRule="auto" w:line="240" w:before="0" w:after="240"/>
        <w:ind w:left="0" w:right="0" w:firstLine="1440"/>
        <w:jc w:val="both"/>
        <w:rPr/>
      </w:pPr>
      <w:r>
        <w:rPr>
          <w:rFonts w:ascii="Times New Roman;serif" w:hAnsi="Times New Roman;serif"/>
          <w:b/>
          <w:color w:val="000000"/>
          <w:sz w:val="20"/>
        </w:rPr>
        <w:t>(ii)</w:t>
      </w:r>
      <w:r>
        <w:rPr>
          <w:rFonts w:ascii="Times New Roman;serif" w:hAnsi="Times New Roman;serif"/>
          <w:b w:val="false"/>
          <w:color w:val="000000"/>
          <w:sz w:val="20"/>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pStyle w:val="TextBody"/>
        <w:bidi w:val="0"/>
        <w:spacing w:lineRule="auto" w:line="240" w:before="0" w:after="240"/>
        <w:ind w:left="0" w:right="0" w:firstLine="1440"/>
        <w:jc w:val="both"/>
        <w:rPr/>
      </w:pPr>
      <w:r>
        <w:rPr>
          <w:rFonts w:ascii="Times New Roman;serif" w:hAnsi="Times New Roman;serif"/>
          <w:b/>
          <w:color w:val="000000"/>
          <w:sz w:val="20"/>
        </w:rPr>
        <w:t>(iii)</w:t>
      </w:r>
      <w:r>
        <w:rPr>
          <w:rFonts w:ascii="Times New Roman;serif" w:hAnsi="Times New Roman;serif"/>
          <w:b w:val="false"/>
          <w:color w:val="000000"/>
          <w:sz w:val="20"/>
        </w:rPr>
        <w:t>To settle all controversies regarding the Plan and Awards granted under it.</w:t>
      </w:r>
    </w:p>
    <w:p>
      <w:pPr>
        <w:pStyle w:val="TextBody"/>
        <w:bidi w:val="0"/>
        <w:spacing w:lineRule="auto" w:line="240" w:before="0" w:after="240"/>
        <w:ind w:left="0" w:right="0" w:firstLine="1440"/>
        <w:jc w:val="both"/>
        <w:rPr/>
      </w:pPr>
      <w:r>
        <w:rPr>
          <w:rFonts w:ascii="Times New Roman;serif" w:hAnsi="Times New Roman;serif"/>
          <w:b/>
          <w:color w:val="000000"/>
          <w:sz w:val="20"/>
        </w:rPr>
        <w:t>(iv)</w:t>
      </w:r>
      <w:r>
        <w:rPr>
          <w:rFonts w:ascii="Times New Roman;serif" w:hAnsi="Times New Roman;serif"/>
          <w:b w:val="false"/>
          <w:color w:val="000000"/>
          <w:sz w:val="20"/>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pStyle w:val="TextBody"/>
        <w:bidi w:val="0"/>
        <w:spacing w:lineRule="auto" w:line="240" w:before="0" w:after="240"/>
        <w:ind w:left="0" w:right="0" w:firstLine="1440"/>
        <w:jc w:val="both"/>
        <w:rPr/>
      </w:pPr>
      <w:r>
        <w:rPr>
          <w:rFonts w:ascii="Times New Roman;serif" w:hAnsi="Times New Roman;serif"/>
          <w:b/>
          <w:color w:val="000000"/>
          <w:sz w:val="20"/>
        </w:rPr>
        <w:t>(v)</w:t>
      </w:r>
      <w:r>
        <w:rPr>
          <w:rFonts w:ascii="Times New Roman;serif" w:hAnsi="Times New Roman;serif"/>
          <w:b w:val="false"/>
          <w:color w:val="000000"/>
          <w:sz w:val="20"/>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Class A Common Stock or the share price of the Class A Common Stock including any Corporate Transaction, for reasons of administrative convenience.</w:t>
      </w:r>
    </w:p>
    <w:p>
      <w:pPr>
        <w:pStyle w:val="TextBody"/>
        <w:bidi w:val="0"/>
        <w:spacing w:lineRule="auto" w:line="240" w:before="0" w:after="240"/>
        <w:ind w:left="0" w:right="0" w:firstLine="1440"/>
        <w:jc w:val="both"/>
        <w:rPr/>
      </w:pPr>
      <w:r>
        <w:rPr>
          <w:rFonts w:ascii="Times New Roman;serif" w:hAnsi="Times New Roman;serif"/>
          <w:b/>
          <w:color w:val="000000"/>
          <w:sz w:val="20"/>
        </w:rPr>
        <w:t>(vi)</w:t>
      </w:r>
      <w:r>
        <w:rPr>
          <w:rFonts w:ascii="Times New Roman;serif" w:hAnsi="Times New Roman;serif"/>
          <w:b w:val="false"/>
          <w:color w:val="000000"/>
          <w:sz w:val="20"/>
        </w:rPr>
        <w:t>To suspend or terminate the Plan at any time. Suspension or termination of the Plan will not Materially Impair rights and obligations under any Award granted while the Plan is in effect except with the written consent of the affected Participant.</w:t>
      </w:r>
    </w:p>
    <w:p>
      <w:pPr>
        <w:pStyle w:val="TextBody"/>
        <w:bidi w:val="0"/>
        <w:spacing w:lineRule="auto" w:line="240" w:before="0" w:after="240"/>
        <w:ind w:left="0" w:right="0" w:firstLine="1440"/>
        <w:jc w:val="both"/>
        <w:rPr/>
      </w:pPr>
      <w:r>
        <w:rPr>
          <w:rFonts w:ascii="Times New Roman;serif" w:hAnsi="Times New Roman;serif"/>
          <w:b/>
          <w:color w:val="000000"/>
          <w:sz w:val="20"/>
        </w:rPr>
        <w:t>(vii)</w:t>
      </w:r>
      <w:r>
        <w:rPr>
          <w:rFonts w:ascii="Times New Roman;serif" w:hAnsi="Times New Roman;serif"/>
          <w:b w:val="false"/>
          <w:color w:val="000000"/>
          <w:sz w:val="20"/>
        </w:rPr>
        <w:t>To amend the Plan in any respect the Board deems necessary or advisable; provided, however,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w:t>
      </w:r>
    </w:p>
    <w:p>
      <w:pPr>
        <w:pStyle w:val="TextBody"/>
        <w:bidi w:val="0"/>
        <w:spacing w:lineRule="auto" w:line="240" w:before="0" w:after="240"/>
        <w:ind w:left="0" w:right="0" w:firstLine="1440"/>
        <w:jc w:val="both"/>
        <w:rPr/>
      </w:pPr>
      <w:r>
        <w:rPr>
          <w:rFonts w:ascii="Times New Roman;serif" w:hAnsi="Times New Roman;serif"/>
          <w:b/>
          <w:color w:val="000000"/>
          <w:sz w:val="20"/>
        </w:rPr>
        <w:t>(viii)</w:t>
      </w:r>
      <w:r>
        <w:rPr>
          <w:rFonts w:ascii="Times New Roman;serif" w:hAnsi="Times New Roman;serif"/>
          <w:b w:val="false"/>
          <w:color w:val="000000"/>
          <w:sz w:val="20"/>
        </w:rPr>
        <w:t>To submit any amendment to the Plan for stockholder approval.</w:t>
      </w:r>
    </w:p>
    <w:p>
      <w:pPr>
        <w:pStyle w:val="TextBody"/>
        <w:bidi w:val="0"/>
        <w:spacing w:lineRule="auto" w:line="240" w:before="0" w:after="240"/>
        <w:ind w:left="0" w:right="0" w:firstLine="1440"/>
        <w:jc w:val="both"/>
        <w:rPr/>
      </w:pPr>
      <w:r>
        <w:rPr>
          <w:rFonts w:ascii="Times New Roman;serif" w:hAnsi="Times New Roman;serif"/>
          <w:b/>
          <w:color w:val="000000"/>
          <w:sz w:val="20"/>
        </w:rPr>
        <w:t>(ix)</w:t>
      </w:r>
      <w:r>
        <w:rPr>
          <w:rFonts w:ascii="Times New Roman;serif" w:hAnsi="Times New Roman;serif"/>
          <w:b w:val="false"/>
          <w:color w:val="000000"/>
          <w:sz w:val="20"/>
        </w:rPr>
        <w:t>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provided however, that, a Participant’s rights under any Award will not be Materially Impaired by any such amendment unless (1) the Company requests the consent of the affected Participant, and (2) such Participant consents in writing.</w:t>
      </w:r>
    </w:p>
    <w:p>
      <w:pPr>
        <w:pStyle w:val="TextBody"/>
        <w:bidi w:val="0"/>
        <w:spacing w:lineRule="auto" w:line="240" w:before="0" w:after="240"/>
        <w:ind w:left="0" w:right="0" w:firstLine="1440"/>
        <w:jc w:val="both"/>
        <w:rPr/>
      </w:pPr>
      <w:r>
        <w:rPr>
          <w:rFonts w:ascii="Times New Roman;serif" w:hAnsi="Times New Roman;serif"/>
          <w:b/>
          <w:color w:val="000000"/>
          <w:sz w:val="20"/>
        </w:rPr>
        <w:t>(x)</w:t>
      </w:r>
      <w:r>
        <w:rPr>
          <w:rFonts w:ascii="Times New Roman;serif" w:hAnsi="Times New Roman;serif"/>
          <w:b w:val="false"/>
          <w:color w:val="000000"/>
          <w:sz w:val="20"/>
        </w:rPr>
        <w:t>Generally, to exercise such powers and to perform such acts as the Board deems necessary or expedient to promote the best interests of the Company and that are not in conflict with the provisions of the Plan or Awards.</w:t>
      </w:r>
    </w:p>
    <w:p>
      <w:pPr>
        <w:pStyle w:val="TextBody"/>
        <w:bidi w:val="0"/>
        <w:spacing w:lineRule="auto" w:line="240" w:before="0" w:after="240"/>
        <w:ind w:left="0" w:right="0" w:firstLine="1440"/>
        <w:jc w:val="both"/>
        <w:rPr/>
      </w:pPr>
      <w:r>
        <w:rPr>
          <w:rFonts w:ascii="Times New Roman;serif" w:hAnsi="Times New Roman;serif"/>
          <w:b/>
          <w:color w:val="000000"/>
          <w:sz w:val="20"/>
        </w:rPr>
        <w:t>(xi)</w:t>
      </w:r>
      <w:r>
        <w:rPr>
          <w:rFonts w:ascii="Times New Roman;serif" w:hAnsi="Times New Roman;serif"/>
          <w:b w:val="false"/>
          <w:color w:val="000000"/>
          <w:sz w:val="20"/>
        </w:rPr>
        <w:t>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2"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erif" w:hAnsi="Times New Roman;serif"/>
          <w:b/>
          <w:color w:val="000000"/>
          <w:sz w:val="20"/>
        </w:rPr>
        <w:t>(xii)</w:t>
      </w:r>
      <w:r>
        <w:rPr>
          <w:rFonts w:ascii="Times New Roman;serif" w:hAnsi="Times New Roman;serif"/>
          <w:b w:val="false"/>
          <w:color w:val="000000"/>
          <w:sz w:val="20"/>
        </w:rPr>
        <w:t>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Class A Common Stock, (B) cash and/or (C) other valuable consideration (as determined by the Board); or (3) any other action that is treated as a repricing under generally accepted accounting principles.</w:t>
      </w:r>
    </w:p>
    <w:p>
      <w:pPr>
        <w:pStyle w:val="TextBody"/>
        <w:bidi w:val="0"/>
        <w:spacing w:lineRule="auto" w:line="240" w:before="0" w:after="240"/>
        <w:ind w:left="0" w:right="0" w:firstLine="720"/>
        <w:jc w:val="both"/>
        <w:rPr/>
      </w:pPr>
      <w:r>
        <w:rPr>
          <w:rFonts w:ascii="Times New Roman;serif" w:hAnsi="Times New Roman;serif"/>
          <w:b/>
          <w:color w:val="000000"/>
          <w:sz w:val="20"/>
        </w:rPr>
        <w:t>(c)</w:t>
      </w:r>
      <w:r>
        <w:rPr>
          <w:rFonts w:ascii="Times New Roman;serif" w:hAnsi="Times New Roman;serif"/>
          <w:b/>
          <w:color w:val="000000"/>
          <w:sz w:val="20"/>
        </w:rPr>
        <w:t>Delegation to Committee</w:t>
      </w:r>
      <w:r>
        <w:rPr>
          <w:rFonts w:ascii="Times New Roman;serif" w:hAnsi="Times New Roman;serif"/>
          <w:b w:val="false"/>
          <w:color w:val="000000"/>
          <w:sz w:val="20"/>
        </w:rPr>
        <w:t>.</w:t>
      </w:r>
    </w:p>
    <w:p>
      <w:pPr>
        <w:pStyle w:val="TextBody"/>
        <w:bidi w:val="0"/>
        <w:spacing w:lineRule="auto" w:line="240" w:before="0" w:after="240"/>
        <w:ind w:left="0" w:right="0" w:firstLine="1440"/>
        <w:jc w:val="both"/>
        <w:rPr/>
      </w:pPr>
      <w:r>
        <w:rPr>
          <w:rFonts w:ascii="Times New Roman;serif" w:hAnsi="Times New Roman;serif"/>
          <w:b/>
          <w:color w:val="000000"/>
          <w:sz w:val="20"/>
        </w:rPr>
        <w:t>(i)</w:t>
      </w:r>
      <w:r>
        <w:rPr>
          <w:rFonts w:ascii="Times New Roman;serif" w:hAnsi="Times New Roman;serif"/>
          <w:b/>
          <w:color w:val="000000"/>
          <w:sz w:val="20"/>
        </w:rPr>
        <w:t>General</w:t>
      </w:r>
      <w:r>
        <w:rPr>
          <w:rFonts w:ascii="Times New Roman;serif" w:hAnsi="Times New Roman;serif"/>
          <w:b w:val="false"/>
          <w:color w:val="000000"/>
          <w:sz w:val="20"/>
        </w:rPr>
        <w:t>. 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pStyle w:val="TextBody"/>
        <w:bidi w:val="0"/>
        <w:spacing w:lineRule="auto" w:line="240" w:before="0" w:after="240"/>
        <w:ind w:left="0" w:right="0" w:firstLine="1440"/>
        <w:jc w:val="both"/>
        <w:rPr/>
      </w:pPr>
      <w:r>
        <w:rPr>
          <w:rFonts w:ascii="Times New Roman;serif" w:hAnsi="Times New Roman;serif"/>
          <w:b/>
          <w:color w:val="000000"/>
          <w:sz w:val="20"/>
        </w:rPr>
        <w:t>(ii)</w:t>
      </w:r>
      <w:r>
        <w:rPr>
          <w:rFonts w:ascii="Times New Roman;serif" w:hAnsi="Times New Roman;serif"/>
          <w:b/>
          <w:color w:val="000000"/>
          <w:sz w:val="20"/>
        </w:rPr>
        <w:t>Rule 16b-3 Compliance</w:t>
      </w:r>
      <w:r>
        <w:rPr>
          <w:rFonts w:ascii="Times New Roman;serif" w:hAnsi="Times New Roman;serif"/>
          <w:b w:val="false"/>
          <w:color w:val="000000"/>
          <w:sz w:val="20"/>
        </w:rPr>
        <w:t>. To the extent an Award is intended to qualify for the exemption from Section 16(b) of the 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pStyle w:val="TextBody"/>
        <w:bidi w:val="0"/>
        <w:spacing w:lineRule="auto" w:line="240" w:before="0" w:after="240"/>
        <w:ind w:left="0" w:right="0" w:firstLine="720"/>
        <w:jc w:val="both"/>
        <w:rPr/>
      </w:pPr>
      <w:r>
        <w:rPr>
          <w:rFonts w:ascii="Times New Roman;serif" w:hAnsi="Times New Roman;serif"/>
          <w:b/>
          <w:color w:val="000000"/>
          <w:sz w:val="20"/>
        </w:rPr>
        <w:t>(d)</w:t>
      </w:r>
      <w:r>
        <w:rPr>
          <w:rFonts w:ascii="Times New Roman;serif" w:hAnsi="Times New Roman;serif"/>
          <w:b/>
          <w:color w:val="000000"/>
          <w:sz w:val="20"/>
        </w:rPr>
        <w:t>Effect of Board’s Decision</w:t>
      </w:r>
      <w:r>
        <w:rPr>
          <w:rFonts w:ascii="Times New Roman;serif" w:hAnsi="Times New Roman;serif"/>
          <w:b w:val="false"/>
          <w:color w:val="000000"/>
          <w:sz w:val="20"/>
        </w:rPr>
        <w:t>. All determinations, interpretations and constructions made by the Board or any Committee in good faith will not be subject to review by any person and will be final, binding and conclusive on all persons.</w:t>
      </w:r>
    </w:p>
    <w:p>
      <w:pPr>
        <w:pStyle w:val="TextBody"/>
        <w:bidi w:val="0"/>
        <w:spacing w:lineRule="auto" w:line="240" w:before="0" w:after="240"/>
        <w:ind w:left="0" w:right="0" w:firstLine="720"/>
        <w:jc w:val="both"/>
        <w:rPr/>
      </w:pPr>
      <w:r>
        <w:rPr>
          <w:rFonts w:ascii="Times New Roman;serif" w:hAnsi="Times New Roman;serif"/>
          <w:b/>
          <w:color w:val="000000"/>
          <w:sz w:val="20"/>
        </w:rPr>
        <w:t>(e)</w:t>
      </w:r>
      <w:r>
        <w:rPr>
          <w:rFonts w:ascii="Times New Roman;serif" w:hAnsi="Times New Roman;serif"/>
          <w:b/>
          <w:color w:val="000000"/>
          <w:sz w:val="20"/>
        </w:rPr>
        <w:t>Delegation to an Officer</w:t>
      </w:r>
      <w:r>
        <w:rPr>
          <w:rFonts w:ascii="Times New Roman;serif" w:hAnsi="Times New Roman;serif"/>
          <w:b w:val="false"/>
          <w:color w:val="000000"/>
          <w:sz w:val="20"/>
        </w:rPr>
        <w:t>. The Board or any Committee may delegate to one or more Officers the authority to do one or both of the following (i) designate Employees who are not Officers to be recipients of Options and SARs (and, to the extent permitted by Applicable Law, other types of Awards) and, to the extent permitted by Applicable Law, the terms thereof, and (ii) determine the number of shares of Class A Common Stock to be subject to such Awards granted to such Employees; provided, however, that the resolutions or charter adopted by the Board or any Committee evidencing such delegation will specify the total number of shares of Class A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pStyle w:val="TextBody"/>
        <w:bidi w:val="0"/>
        <w:spacing w:lineRule="auto" w:line="240" w:before="0" w:after="240"/>
        <w:ind w:left="0" w:right="0" w:hanging="720"/>
        <w:jc w:val="left"/>
        <w:rPr>
          <w:rFonts w:ascii="Times New Roman;serif" w:hAnsi="Times New Roman;serif"/>
          <w:b/>
          <w:color w:val="000000"/>
          <w:sz w:val="20"/>
        </w:rPr>
      </w:pPr>
      <w:r>
        <w:rPr>
          <w:rFonts w:ascii="Times New Roman;serif" w:hAnsi="Times New Roman;serif"/>
          <w:b/>
          <w:color w:val="000000"/>
          <w:sz w:val="20"/>
        </w:rPr>
        <w:t>8.Tax Withholding</w:t>
      </w:r>
    </w:p>
    <w:p>
      <w:pPr>
        <w:pStyle w:val="TextBody"/>
        <w:bidi w:val="0"/>
        <w:spacing w:lineRule="auto" w:line="240" w:before="0" w:after="240"/>
        <w:ind w:left="0" w:right="0" w:firstLine="720"/>
        <w:jc w:val="both"/>
        <w:rPr/>
      </w:pPr>
      <w:r>
        <w:rPr>
          <w:rFonts w:ascii="Times New Roman;serif" w:hAnsi="Times New Roman;serif"/>
          <w:b/>
          <w:color w:val="000000"/>
          <w:sz w:val="20"/>
        </w:rPr>
        <w:t>(a)</w:t>
      </w:r>
      <w:r>
        <w:rPr>
          <w:rFonts w:ascii="Times New Roman;serif" w:hAnsi="Times New Roman;serif"/>
          <w:b/>
          <w:color w:val="000000"/>
          <w:sz w:val="20"/>
        </w:rPr>
        <w:t>Withholding Authorization</w:t>
      </w:r>
      <w:r>
        <w:rPr>
          <w:rFonts w:ascii="Times New Roman;serif" w:hAnsi="Times New Roman;serif"/>
          <w:b w:val="false"/>
          <w:color w:val="000000"/>
          <w:sz w:val="20"/>
        </w:rPr>
        <w:t>. As a condition to acceptance of any Award under the Plan, a Participant authorizes withholding from payroll and any other amounts payable to such Participant, and otherwise agree to make adequate provision for (including), any sums required to satisfy any U.S. federal, state, local and/or foreign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Class A Common Stock subject to an Award, unless and until such obligations are satisfied.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3"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color w:val="000000"/>
          <w:sz w:val="20"/>
        </w:rPr>
        <w:t>(b)</w:t>
      </w:r>
      <w:r>
        <w:rPr>
          <w:rFonts w:ascii="Times New Roman;serif" w:hAnsi="Times New Roman;serif"/>
          <w:b/>
          <w:color w:val="000000"/>
          <w:sz w:val="20"/>
        </w:rPr>
        <w:t>Satisfaction of Withholding Obligation</w:t>
      </w:r>
      <w:r>
        <w:rPr>
          <w:rFonts w:ascii="Times New Roman;serif" w:hAnsi="Times New Roman;serif"/>
          <w:b w:val="false"/>
          <w:color w:val="000000"/>
          <w:sz w:val="20"/>
        </w:rPr>
        <w:t>. To the extent permitted by the terms of an Award Agreement, the Company may, in its sole discretion, satisfy any U.S. federal, state, local and/or foreign tax or social insurance withholding obligation relating to an Award by any of the following means or by a combination of such means: (i) causing the Participant to tender a cash payment; (ii) withholding shares of Class A Common Stock from the shares of Class A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pStyle w:val="TextBody"/>
        <w:bidi w:val="0"/>
        <w:spacing w:lineRule="auto" w:line="240" w:before="0" w:after="240"/>
        <w:ind w:left="0" w:right="0" w:firstLine="720"/>
        <w:jc w:val="both"/>
        <w:rPr/>
      </w:pPr>
      <w:r>
        <w:rPr>
          <w:rFonts w:ascii="Times New Roman;serif" w:hAnsi="Times New Roman;serif"/>
          <w:b/>
          <w:color w:val="000000"/>
          <w:sz w:val="20"/>
        </w:rPr>
        <w:t>(c)</w:t>
      </w:r>
      <w:r>
        <w:rPr>
          <w:rFonts w:ascii="Times New Roman;serif" w:hAnsi="Times New Roman;serif"/>
          <w:b/>
          <w:color w:val="000000"/>
          <w:sz w:val="20"/>
        </w:rPr>
        <w:t>No Obligation to Notify or Minimize Taxes; No Liability to Claims</w:t>
      </w:r>
      <w:r>
        <w:rPr>
          <w:rFonts w:ascii="Times New Roman;serif" w:hAnsi="Times New Roman;serif"/>
          <w:b w:val="false"/>
          <w:color w:val="000000"/>
          <w:sz w:val="20"/>
        </w:rPr>
        <w:t>. Except as required by Applicable Law the Company 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Class A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Class A Common Stock on the date of grant as subsequently determined by the Internal Revenue Service.</w:t>
      </w:r>
    </w:p>
    <w:p>
      <w:pPr>
        <w:pStyle w:val="TextBody"/>
        <w:bidi w:val="0"/>
        <w:spacing w:lineRule="auto" w:line="240" w:before="0" w:after="240"/>
        <w:ind w:left="0" w:right="0" w:firstLine="720"/>
        <w:jc w:val="both"/>
        <w:rPr/>
      </w:pPr>
      <w:r>
        <w:rPr>
          <w:rFonts w:ascii="Times New Roman;serif" w:hAnsi="Times New Roman;serif"/>
          <w:b/>
          <w:color w:val="000000"/>
          <w:sz w:val="20"/>
        </w:rPr>
        <w:t>(d)</w:t>
      </w:r>
      <w:r>
        <w:rPr>
          <w:rFonts w:ascii="Times New Roman;serif" w:hAnsi="Times New Roman;serif"/>
          <w:b/>
          <w:color w:val="000000"/>
          <w:sz w:val="20"/>
        </w:rPr>
        <w:t>Withholding Indemnification</w:t>
      </w:r>
      <w:r>
        <w:rPr>
          <w:rFonts w:ascii="Times New Roman;serif" w:hAnsi="Times New Roman;serif"/>
          <w:b w:val="false"/>
          <w:color w:val="000000"/>
          <w:sz w:val="20"/>
        </w:rPr>
        <w:t>. 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pStyle w:val="TextBody"/>
        <w:bidi w:val="0"/>
        <w:spacing w:lineRule="auto" w:line="240" w:before="0" w:after="240"/>
        <w:ind w:left="0" w:right="0" w:hanging="720"/>
        <w:jc w:val="left"/>
        <w:rPr>
          <w:rFonts w:ascii="Times New Roman;serif" w:hAnsi="Times New Roman;serif"/>
          <w:b/>
          <w:color w:val="000000"/>
          <w:sz w:val="20"/>
        </w:rPr>
      </w:pPr>
      <w:r>
        <w:rPr>
          <w:rFonts w:ascii="Times New Roman;serif" w:hAnsi="Times New Roman;serif"/>
          <w:b/>
          <w:color w:val="000000"/>
          <w:sz w:val="20"/>
        </w:rPr>
        <w:t>9.Miscellaneous.</w:t>
      </w:r>
    </w:p>
    <w:p>
      <w:pPr>
        <w:pStyle w:val="TextBody"/>
        <w:bidi w:val="0"/>
        <w:spacing w:lineRule="auto" w:line="240" w:before="0" w:after="240"/>
        <w:ind w:left="0" w:right="0" w:firstLine="720"/>
        <w:jc w:val="both"/>
        <w:rPr/>
      </w:pPr>
      <w:r>
        <w:rPr>
          <w:rFonts w:ascii="Times New Roman;serif" w:hAnsi="Times New Roman;serif"/>
          <w:b/>
          <w:color w:val="000000"/>
          <w:sz w:val="20"/>
        </w:rPr>
        <w:t>(a)</w:t>
      </w:r>
      <w:r>
        <w:rPr>
          <w:rFonts w:ascii="Times New Roman;serif" w:hAnsi="Times New Roman;serif"/>
          <w:b/>
          <w:color w:val="000000"/>
          <w:sz w:val="20"/>
        </w:rPr>
        <w:t>Source of Shares</w:t>
      </w:r>
      <w:r>
        <w:rPr>
          <w:rFonts w:ascii="Times New Roman;serif" w:hAnsi="Times New Roman;serif"/>
          <w:b w:val="false"/>
          <w:color w:val="000000"/>
          <w:sz w:val="20"/>
        </w:rPr>
        <w:t>. The stock issuable under the Plan will be shares of authorized but unissued or reacquired Class A Common Stock, including shares repurchased by the Company on the open market or otherwise.</w:t>
      </w:r>
    </w:p>
    <w:p>
      <w:pPr>
        <w:pStyle w:val="TextBody"/>
        <w:bidi w:val="0"/>
        <w:spacing w:lineRule="auto" w:line="240" w:before="0" w:after="240"/>
        <w:ind w:left="0" w:right="0" w:firstLine="720"/>
        <w:jc w:val="both"/>
        <w:rPr/>
      </w:pPr>
      <w:r>
        <w:rPr>
          <w:rFonts w:ascii="Times New Roman;serif" w:hAnsi="Times New Roman;serif"/>
          <w:b/>
          <w:color w:val="000000"/>
          <w:sz w:val="20"/>
        </w:rPr>
        <w:t>(b)</w:t>
      </w:r>
      <w:r>
        <w:rPr>
          <w:rFonts w:ascii="Times New Roman;serif" w:hAnsi="Times New Roman;serif"/>
          <w:b/>
          <w:color w:val="000000"/>
          <w:sz w:val="20"/>
        </w:rPr>
        <w:t>Use of Proceeds from Sales of Class A Common Stock</w:t>
      </w:r>
      <w:r>
        <w:rPr>
          <w:rFonts w:ascii="Times New Roman;serif" w:hAnsi="Times New Roman;serif"/>
          <w:b w:val="false"/>
          <w:color w:val="000000"/>
          <w:sz w:val="20"/>
        </w:rPr>
        <w:t>. Proceeds from the sale of shares of Class A Common Stock pursuant to Awards will constitute general funds of the Company.</w:t>
      </w:r>
    </w:p>
    <w:p>
      <w:pPr>
        <w:pStyle w:val="TextBody"/>
        <w:bidi w:val="0"/>
        <w:spacing w:lineRule="auto" w:line="240" w:before="0" w:after="240"/>
        <w:ind w:left="0" w:right="0" w:firstLine="720"/>
        <w:jc w:val="both"/>
        <w:rPr/>
      </w:pPr>
      <w:r>
        <w:rPr>
          <w:rFonts w:ascii="Times New Roman;serif" w:hAnsi="Times New Roman;serif"/>
          <w:b/>
          <w:color w:val="000000"/>
          <w:sz w:val="20"/>
        </w:rPr>
        <w:t>(c)</w:t>
      </w:r>
      <w:r>
        <w:rPr>
          <w:rFonts w:ascii="Times New Roman;serif" w:hAnsi="Times New Roman;serif"/>
          <w:b/>
          <w:color w:val="000000"/>
          <w:sz w:val="20"/>
        </w:rPr>
        <w:t>Corporate Action Constituting Grant of Awards</w:t>
      </w:r>
      <w:r>
        <w:rPr>
          <w:rFonts w:ascii="Times New Roman;serif" w:hAnsi="Times New Roman;serif"/>
          <w:b w:val="false"/>
          <w:color w:val="000000"/>
          <w:sz w:val="20"/>
        </w:rPr>
        <w:t>. 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pStyle w:val="TextBody"/>
        <w:bidi w:val="0"/>
        <w:spacing w:lineRule="auto" w:line="240" w:before="0" w:after="240"/>
        <w:ind w:left="0" w:right="0" w:firstLine="720"/>
        <w:jc w:val="both"/>
        <w:rPr/>
      </w:pPr>
      <w:r>
        <w:rPr>
          <w:rFonts w:ascii="Times New Roman;serif" w:hAnsi="Times New Roman;serif"/>
          <w:b/>
          <w:color w:val="000000"/>
          <w:sz w:val="20"/>
        </w:rPr>
        <w:t>(d)</w:t>
      </w:r>
      <w:r>
        <w:rPr>
          <w:rFonts w:ascii="Times New Roman;serif" w:hAnsi="Times New Roman;serif"/>
          <w:b/>
          <w:color w:val="000000"/>
          <w:sz w:val="20"/>
        </w:rPr>
        <w:t>Stockholder Rights</w:t>
      </w:r>
      <w:r>
        <w:rPr>
          <w:rFonts w:ascii="Times New Roman;serif" w:hAnsi="Times New Roman;serif"/>
          <w:b w:val="false"/>
          <w:color w:val="000000"/>
          <w:sz w:val="20"/>
        </w:rPr>
        <w:t>. No Participant will be deemed to be the holder of, or to have any of the rights of a holder with respect to, any shares of Class A Common Stock subject to such Award unless and until (i) such Participant has satisfied all requirements for exercise of the Award pursuant to its terms, if applicable, and (ii) the issuance of the Class A Common Stock subject to such Award is reflected in the records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4"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color w:val="000000"/>
          <w:sz w:val="20"/>
        </w:rPr>
        <w:t>(e)</w:t>
      </w:r>
      <w:r>
        <w:rPr>
          <w:rFonts w:ascii="Times New Roman;serif" w:hAnsi="Times New Roman;serif"/>
          <w:b/>
          <w:color w:val="000000"/>
          <w:sz w:val="20"/>
        </w:rPr>
        <w:t>No Employment or Other Service Rights</w:t>
      </w:r>
      <w:r>
        <w:rPr>
          <w:rFonts w:ascii="Times New Roman;serif" w:hAnsi="Times New Roman;serif"/>
          <w:b w:val="false"/>
          <w:color w:val="000000"/>
          <w:sz w:val="20"/>
        </w:rPr>
        <w:t>. 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pStyle w:val="TextBody"/>
        <w:bidi w:val="0"/>
        <w:spacing w:lineRule="auto" w:line="240" w:before="0" w:after="240"/>
        <w:ind w:left="0" w:right="0" w:firstLine="720"/>
        <w:jc w:val="both"/>
        <w:rPr/>
      </w:pPr>
      <w:r>
        <w:rPr>
          <w:rFonts w:ascii="Times New Roman;serif" w:hAnsi="Times New Roman;serif"/>
          <w:b/>
          <w:color w:val="000000"/>
          <w:sz w:val="20"/>
        </w:rPr>
        <w:t>(f)</w:t>
      </w:r>
      <w:r>
        <w:rPr>
          <w:rFonts w:ascii="Times New Roman;serif" w:hAnsi="Times New Roman;serif"/>
          <w:b/>
          <w:color w:val="000000"/>
          <w:sz w:val="20"/>
        </w:rPr>
        <w:t>Change in Time Commitment</w:t>
      </w:r>
      <w:r>
        <w:rPr>
          <w:rFonts w:ascii="Times New Roman;serif" w:hAnsi="Times New Roman;serif"/>
          <w:b w:val="false"/>
          <w:color w:val="000000"/>
          <w:sz w:val="20"/>
        </w:rPr>
        <w:t>.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pStyle w:val="TextBody"/>
        <w:bidi w:val="0"/>
        <w:spacing w:lineRule="auto" w:line="240" w:before="0" w:after="240"/>
        <w:ind w:left="0" w:right="0" w:firstLine="720"/>
        <w:jc w:val="both"/>
        <w:rPr/>
      </w:pPr>
      <w:r>
        <w:rPr>
          <w:rFonts w:ascii="Times New Roman;serif" w:hAnsi="Times New Roman;serif"/>
          <w:b/>
          <w:color w:val="000000"/>
          <w:sz w:val="20"/>
        </w:rPr>
        <w:t>(g)</w:t>
      </w:r>
      <w:r>
        <w:rPr>
          <w:rFonts w:ascii="Times New Roman;serif" w:hAnsi="Times New Roman;serif"/>
          <w:b/>
          <w:color w:val="000000"/>
          <w:sz w:val="20"/>
        </w:rPr>
        <w:t>Execution of Additional Documents</w:t>
      </w:r>
      <w:r>
        <w:rPr>
          <w:rFonts w:ascii="Times New Roman;serif" w:hAnsi="Times New Roman;serif"/>
          <w:b w:val="false"/>
          <w:color w:val="000000"/>
          <w:sz w:val="20"/>
        </w:rPr>
        <w:t>. As a condition to accepting an Award under the Plan, the Participant 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pStyle w:val="TextBody"/>
        <w:bidi w:val="0"/>
        <w:spacing w:lineRule="auto" w:line="240" w:before="0" w:after="240"/>
        <w:ind w:left="0" w:right="0" w:firstLine="720"/>
        <w:jc w:val="both"/>
        <w:rPr/>
      </w:pPr>
      <w:r>
        <w:rPr>
          <w:rFonts w:ascii="Times New Roman;serif" w:hAnsi="Times New Roman;serif"/>
          <w:b/>
          <w:color w:val="000000"/>
          <w:sz w:val="20"/>
        </w:rPr>
        <w:t>(h)</w:t>
      </w:r>
      <w:r>
        <w:rPr>
          <w:rFonts w:ascii="Times New Roman;serif" w:hAnsi="Times New Roman;serif"/>
          <w:b/>
          <w:color w:val="000000"/>
          <w:sz w:val="20"/>
        </w:rPr>
        <w:t>Electronic Delivery and Participation</w:t>
      </w:r>
      <w:r>
        <w:rPr>
          <w:rFonts w:ascii="Times New Roman;serif" w:hAnsi="Times New Roman;serif"/>
          <w:b w:val="false"/>
          <w:color w:val="000000"/>
          <w:sz w:val="20"/>
        </w:rPr>
        <w:t xml:space="preserve">. Any reference herein or in an Award Agreement to a “written” agreement or document will include any agreement or document delivered electronically, filed publicly at </w:t>
      </w:r>
      <w:r>
        <w:rPr>
          <w:rFonts w:ascii="sans-serif" w:hAnsi="sans-serif"/>
          <w:b w:val="false"/>
          <w:color w:val="000000"/>
          <w:sz w:val="20"/>
        </w:rPr>
        <w:t>www.sec.gov</w:t>
      </w:r>
      <w:r>
        <w:rPr>
          <w:color w:val="000000"/>
        </w:rPr>
        <w:t xml:space="preserve"> </w:t>
      </w:r>
      <w:r>
        <w:rPr>
          <w:rFonts w:ascii="Times New Roman;serif" w:hAnsi="Times New Roman;serif"/>
          <w:b w:val="false"/>
          <w:color w:val="000000"/>
          <w:sz w:val="20"/>
        </w:rPr>
        <w:t>(or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Class A Common Stock (e.g., a stock certificate or electronic entry evidencing such shares) shall be determined by the Company.</w:t>
      </w:r>
    </w:p>
    <w:p>
      <w:pPr>
        <w:pStyle w:val="TextBody"/>
        <w:bidi w:val="0"/>
        <w:spacing w:lineRule="auto" w:line="240" w:before="0" w:after="240"/>
        <w:ind w:left="0" w:right="0" w:firstLine="720"/>
        <w:jc w:val="both"/>
        <w:rPr/>
      </w:pPr>
      <w:r>
        <w:rPr>
          <w:rFonts w:ascii="Times New Roman;serif" w:hAnsi="Times New Roman;serif"/>
          <w:b/>
          <w:color w:val="000000"/>
          <w:sz w:val="20"/>
        </w:rPr>
        <w:t>(i)</w:t>
      </w:r>
      <w:r>
        <w:rPr>
          <w:rFonts w:ascii="Times New Roman;serif" w:hAnsi="Times New Roman;serif"/>
          <w:b/>
          <w:color w:val="000000"/>
          <w:sz w:val="20"/>
        </w:rPr>
        <w:t>Clawback/Recovery</w:t>
      </w:r>
      <w:r>
        <w:rPr>
          <w:rFonts w:ascii="Times New Roman;serif" w:hAnsi="Times New Roman;serif"/>
          <w:b w:val="false"/>
          <w:color w:val="000000"/>
          <w:sz w:val="20"/>
        </w:rPr>
        <w:t>. 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Class A Common Stock or other cash or property upon the occurrence of Cause. No recovery of compensation under such a clawback policy will be an event giving rise to a Participant’s right to voluntary terminate employment upon a “resignation for good reason,” or for a “constructive termination” or any similar term under any plan of or agreement with the Company.</w:t>
      </w:r>
    </w:p>
    <w:p>
      <w:pPr>
        <w:pStyle w:val="TextBody"/>
        <w:bidi w:val="0"/>
        <w:spacing w:lineRule="auto" w:line="240" w:before="0" w:after="240"/>
        <w:ind w:left="0" w:right="0" w:firstLine="720"/>
        <w:jc w:val="both"/>
        <w:rPr/>
      </w:pPr>
      <w:r>
        <w:rPr>
          <w:rFonts w:ascii="Times New Roman;serif" w:hAnsi="Times New Roman;serif"/>
          <w:b/>
          <w:color w:val="000000"/>
          <w:sz w:val="20"/>
        </w:rPr>
        <w:t>(j)</w:t>
      </w:r>
      <w:r>
        <w:rPr>
          <w:rFonts w:ascii="Times New Roman;serif" w:hAnsi="Times New Roman;serif"/>
          <w:b/>
          <w:color w:val="000000"/>
          <w:sz w:val="20"/>
        </w:rPr>
        <w:t>Securities Law Compliance</w:t>
      </w:r>
      <w:r>
        <w:rPr>
          <w:rFonts w:ascii="Times New Roman;serif" w:hAnsi="Times New Roman;serif"/>
          <w:b w:val="false"/>
          <w:color w:val="000000"/>
          <w:sz w:val="20"/>
        </w:rPr>
        <w:t>. A Participant will not be issued any shares in respect of an Award unless 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pStyle w:val="TextBody"/>
        <w:bidi w:val="0"/>
        <w:spacing w:lineRule="auto" w:line="240" w:before="0" w:after="240"/>
        <w:ind w:left="0" w:right="0" w:firstLine="720"/>
        <w:jc w:val="both"/>
        <w:rPr/>
      </w:pPr>
      <w:r>
        <w:rPr>
          <w:rFonts w:ascii="Times New Roman;serif" w:hAnsi="Times New Roman;serif"/>
          <w:b/>
          <w:color w:val="000000"/>
          <w:sz w:val="20"/>
        </w:rPr>
        <w:t>(k)</w:t>
      </w:r>
      <w:r>
        <w:rPr>
          <w:rFonts w:ascii="Times New Roman;serif" w:hAnsi="Times New Roman;serif"/>
          <w:b/>
          <w:color w:val="000000"/>
          <w:sz w:val="20"/>
        </w:rPr>
        <w:t>Transfer or Assignment of Awards; Issued Shares</w:t>
      </w:r>
      <w:r>
        <w:rPr>
          <w:rFonts w:ascii="Times New Roman;serif" w:hAnsi="Times New Roman;serif"/>
          <w:b w:val="false"/>
          <w:color w:val="000000"/>
          <w:sz w:val="20"/>
        </w:rPr>
        <w:t>. Except as expressly provided in the Plan or the form of Award Agreement, Awards 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5"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color w:val="000000"/>
          <w:sz w:val="20"/>
        </w:rPr>
        <w:t>(l)</w:t>
      </w:r>
      <w:r>
        <w:rPr>
          <w:rFonts w:ascii="Times New Roman;serif" w:hAnsi="Times New Roman;serif"/>
          <w:b/>
          <w:color w:val="000000"/>
          <w:sz w:val="20"/>
        </w:rPr>
        <w:t>Effect on Other Employee Benefit Plans</w:t>
      </w:r>
      <w:r>
        <w:rPr>
          <w:rFonts w:ascii="Times New Roman;serif" w:hAnsi="Times New Roman;serif"/>
          <w:b w:val="false"/>
          <w:color w:val="000000"/>
          <w:sz w:val="20"/>
        </w:rPr>
        <w:t>. The value of any Award granted under the Plan, as determined upon 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pStyle w:val="TextBody"/>
        <w:bidi w:val="0"/>
        <w:spacing w:lineRule="auto" w:line="240" w:before="0" w:after="240"/>
        <w:ind w:left="0" w:right="0" w:firstLine="720"/>
        <w:jc w:val="both"/>
        <w:rPr/>
      </w:pPr>
      <w:r>
        <w:rPr>
          <w:rFonts w:ascii="Times New Roman;serif" w:hAnsi="Times New Roman;serif"/>
          <w:b/>
          <w:color w:val="000000"/>
          <w:sz w:val="20"/>
        </w:rPr>
        <w:t>(m)</w:t>
      </w:r>
      <w:r>
        <w:rPr>
          <w:rFonts w:ascii="Times New Roman;serif" w:hAnsi="Times New Roman;serif"/>
          <w:b/>
          <w:color w:val="000000"/>
          <w:sz w:val="20"/>
        </w:rPr>
        <w:t>Deferrals</w:t>
      </w:r>
      <w:r>
        <w:rPr>
          <w:rFonts w:ascii="Times New Roman;serif" w:hAnsi="Times New Roman;serif"/>
          <w:b w:val="false"/>
          <w:color w:val="000000"/>
          <w:sz w:val="20"/>
        </w:rPr>
        <w:t>. To the extent permitted by Applicable Law, the Board, in its sole discretion, may determine that the delivery of Class A Common Stock or the payment of cash, upon the exercise, vesting or settlement of all or a portion of any Award may be deferred and may also establish programs and procedures for deferral elections to be made by Participants. Deferrals by will be made in accordance with the requirements of Section 409A.</w:t>
      </w:r>
    </w:p>
    <w:p>
      <w:pPr>
        <w:pStyle w:val="TextBody"/>
        <w:bidi w:val="0"/>
        <w:spacing w:lineRule="auto" w:line="240" w:before="0" w:after="240"/>
        <w:ind w:left="0" w:right="0" w:firstLine="720"/>
        <w:jc w:val="both"/>
        <w:rPr/>
      </w:pPr>
      <w:r>
        <w:rPr>
          <w:rFonts w:ascii="Times New Roman;serif" w:hAnsi="Times New Roman;serif"/>
          <w:b/>
          <w:color w:val="000000"/>
          <w:sz w:val="20"/>
        </w:rPr>
        <w:t>(n)</w:t>
      </w:r>
      <w:r>
        <w:rPr>
          <w:rFonts w:ascii="Times New Roman;serif" w:hAnsi="Times New Roman;serif"/>
          <w:b/>
          <w:color w:val="000000"/>
          <w:sz w:val="20"/>
        </w:rPr>
        <w:t>Section 409A</w:t>
      </w:r>
      <w:r>
        <w:rPr>
          <w:rFonts w:ascii="Times New Roman;serif" w:hAnsi="Times New Roman;serif"/>
          <w:b w:val="false"/>
          <w:color w:val="000000"/>
          <w:sz w:val="20"/>
        </w:rPr>
        <w:t>. Unless otherwise expressly provided for in an Award Agreement, the Plan and Award 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Class A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pStyle w:val="TextBody"/>
        <w:bidi w:val="0"/>
        <w:spacing w:lineRule="auto" w:line="240" w:before="0" w:after="240"/>
        <w:ind w:left="0" w:right="0" w:firstLine="720"/>
        <w:jc w:val="both"/>
        <w:rPr/>
      </w:pPr>
      <w:r>
        <w:rPr>
          <w:rFonts w:ascii="Times New Roman;serif" w:hAnsi="Times New Roman;serif"/>
          <w:b/>
          <w:color w:val="000000"/>
          <w:sz w:val="20"/>
        </w:rPr>
        <w:t>(o)</w:t>
      </w:r>
      <w:r>
        <w:rPr>
          <w:rFonts w:ascii="Times New Roman;serif" w:hAnsi="Times New Roman;serif"/>
          <w:b/>
          <w:color w:val="000000"/>
          <w:sz w:val="20"/>
        </w:rPr>
        <w:t>Choice of Law</w:t>
      </w:r>
      <w:r>
        <w:rPr>
          <w:rFonts w:ascii="Times New Roman;serif" w:hAnsi="Times New Roman;serif"/>
          <w:b w:val="false"/>
          <w:color w:val="000000"/>
          <w:sz w:val="20"/>
        </w:rPr>
        <w:t>. This Plan and any controversy arising out of or relating to this Plan shall be governed by, and construed in accordance with, the internal laws of the State of Delaware, without regard to conflict of law principles that would result in any application of any law other than the law of the State of Delaware.</w:t>
      </w:r>
    </w:p>
    <w:p>
      <w:pPr>
        <w:pStyle w:val="TextBody"/>
        <w:bidi w:val="0"/>
        <w:spacing w:lineRule="auto" w:line="240" w:before="0" w:after="240"/>
        <w:ind w:left="0" w:right="0" w:hanging="720"/>
        <w:jc w:val="left"/>
        <w:rPr>
          <w:rFonts w:ascii="Times New Roman;serif" w:hAnsi="Times New Roman;serif"/>
          <w:b/>
          <w:color w:val="000000"/>
          <w:sz w:val="20"/>
        </w:rPr>
      </w:pPr>
      <w:r>
        <w:rPr>
          <w:rFonts w:ascii="Times New Roman;serif" w:hAnsi="Times New Roman;serif"/>
          <w:b/>
          <w:color w:val="000000"/>
          <w:sz w:val="20"/>
        </w:rPr>
        <w:t>10.Covenants of the Company.</w:t>
      </w:r>
    </w:p>
    <w:p>
      <w:pPr>
        <w:pStyle w:val="TextBody"/>
        <w:bidi w:val="0"/>
        <w:spacing w:lineRule="auto" w:line="240" w:before="0" w:after="240"/>
        <w:ind w:left="0" w:right="0" w:firstLine="720"/>
        <w:jc w:val="both"/>
        <w:rPr/>
      </w:pPr>
      <w:r>
        <w:rPr>
          <w:rFonts w:ascii="Times New Roman;serif" w:hAnsi="Times New Roman;serif"/>
          <w:b/>
          <w:color w:val="000000"/>
          <w:sz w:val="20"/>
        </w:rPr>
        <w:t>(a)</w:t>
      </w:r>
      <w:r>
        <w:rPr>
          <w:rFonts w:ascii="Times New Roman;serif" w:hAnsi="Times New Roman;serif"/>
          <w:b/>
          <w:color w:val="000000"/>
          <w:sz w:val="20"/>
        </w:rPr>
        <w:t>Compliance with Law</w:t>
      </w:r>
      <w:r>
        <w:rPr>
          <w:rFonts w:ascii="Times New Roman;serif" w:hAnsi="Times New Roman;serif"/>
          <w:b w:val="false"/>
          <w:color w:val="000000"/>
          <w:sz w:val="20"/>
        </w:rPr>
        <w:t>. The Company will seek to obtain from each regulatory commission or agency, as may be deemed to be necessary, having jurisdiction over the Plan such authority as may be required to grant Awards and to issue and sell shares of Class A Common Stock upon exercise or vesting of the Awards; provided, however, that this undertaking will not require the Company to register under the Securities Act the Plan, any Award or any Class A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Class A Common Stock under the Plan, the Company will be relieved from any liability for failure to issue and sell Class A Common Stock upon exercise or vesting of such Awards unless and until such authority is obtained. A Participant is not eligible for the grant of an Award or the subsequent issuance of Class A Common Stock pursuant to the Award if such grant or issuance would be in violation of any Applicable Law.</w:t>
      </w:r>
    </w:p>
    <w:p>
      <w:pPr>
        <w:pStyle w:val="TextBody"/>
        <w:bidi w:val="0"/>
        <w:spacing w:lineRule="auto" w:line="240" w:before="0" w:after="240"/>
        <w:ind w:left="0" w:right="0" w:hanging="720"/>
        <w:jc w:val="left"/>
        <w:rPr>
          <w:rFonts w:ascii="Times New Roman;serif" w:hAnsi="Times New Roman;serif"/>
          <w:b/>
          <w:color w:val="000000"/>
          <w:sz w:val="20"/>
        </w:rPr>
      </w:pPr>
      <w:r>
        <w:rPr>
          <w:rFonts w:ascii="Times New Roman;serif" w:hAnsi="Times New Roman;serif"/>
          <w:b/>
          <w:color w:val="000000"/>
          <w:sz w:val="20"/>
        </w:rPr>
        <w:t>11.Additional Rules for Awards Subject to Section 409A.</w:t>
      </w:r>
    </w:p>
    <w:p>
      <w:pPr>
        <w:pStyle w:val="TextBody"/>
        <w:bidi w:val="0"/>
        <w:spacing w:lineRule="auto" w:line="240" w:before="0" w:after="240"/>
        <w:ind w:left="0" w:right="0" w:firstLine="720"/>
        <w:jc w:val="both"/>
        <w:rPr/>
      </w:pPr>
      <w:r>
        <w:rPr>
          <w:rFonts w:ascii="Times New Roman;serif" w:hAnsi="Times New Roman;serif"/>
          <w:b/>
          <w:color w:val="000000"/>
          <w:sz w:val="20"/>
        </w:rPr>
        <w:t>(a)</w:t>
      </w:r>
      <w:r>
        <w:rPr>
          <w:rFonts w:ascii="Times New Roman;serif" w:hAnsi="Times New Roman;serif"/>
          <w:b/>
          <w:color w:val="000000"/>
          <w:sz w:val="20"/>
        </w:rPr>
        <w:t>Application</w:t>
      </w:r>
      <w:r>
        <w:rPr>
          <w:rFonts w:ascii="Times New Roman;serif" w:hAnsi="Times New Roman;serif"/>
          <w:b w:val="false"/>
          <w:color w:val="000000"/>
          <w:sz w:val="20"/>
        </w:rPr>
        <w:t>. Unless the provisions of this Section of the Plan are expressly superseded by the provisions in the form of Award Agreement, the provisions of this Section shall apply and shall supersede anything to the contrary set forth in the Award Agreement for a Non-Exempt Award.</w:t>
      </w:r>
    </w:p>
    <w:p>
      <w:pPr>
        <w:pStyle w:val="TextBody"/>
        <w:bidi w:val="0"/>
        <w:spacing w:lineRule="auto" w:line="240" w:before="0" w:after="240"/>
        <w:ind w:left="0" w:right="0" w:firstLine="720"/>
        <w:jc w:val="both"/>
        <w:rPr/>
      </w:pPr>
      <w:r>
        <w:rPr>
          <w:rFonts w:ascii="Times New Roman;serif" w:hAnsi="Times New Roman;serif"/>
          <w:b/>
          <w:color w:val="000000"/>
          <w:sz w:val="20"/>
        </w:rPr>
        <w:t>(b)</w:t>
      </w:r>
      <w:r>
        <w:rPr>
          <w:rFonts w:ascii="Times New Roman;serif" w:hAnsi="Times New Roman;serif"/>
          <w:b/>
          <w:color w:val="000000"/>
          <w:sz w:val="20"/>
        </w:rPr>
        <w:t>Non-Exempt Awards Subject to Non-Exempt Severance Arrangements</w:t>
      </w:r>
      <w:r>
        <w:rPr>
          <w:rFonts w:ascii="Times New Roman;serif" w:hAnsi="Times New Roman;serif"/>
          <w:b w:val="false"/>
          <w:color w:val="000000"/>
          <w:sz w:val="20"/>
        </w:rPr>
        <w:t>. To the extent a Non-Exempt Award is subject to Section 409A due to application of a Non-Exempt Severance Arrangement, the following provisions of this subsection (b) apply.</w:t>
      </w:r>
    </w:p>
    <w:p>
      <w:pPr>
        <w:pStyle w:val="TextBody"/>
        <w:bidi w:val="0"/>
        <w:spacing w:lineRule="auto" w:line="240" w:before="0" w:after="240"/>
        <w:ind w:left="0" w:right="0" w:firstLine="1440"/>
        <w:jc w:val="both"/>
        <w:rPr/>
      </w:pPr>
      <w:r>
        <w:rPr>
          <w:rFonts w:ascii="Times New Roman;serif" w:hAnsi="Times New Roman;serif"/>
          <w:b/>
          <w:color w:val="000000"/>
          <w:sz w:val="20"/>
        </w:rPr>
        <w:t>(i)</w:t>
      </w:r>
      <w:r>
        <w:rPr>
          <w:rFonts w:ascii="Times New Roman;serif" w:hAnsi="Times New Roman;serif"/>
          <w:b w:val="false"/>
          <w:color w:val="000000"/>
          <w:sz w:val="20"/>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Times New Roman;serif" w:hAnsi="Times New Roman;serif"/>
          <w:b w:val="false"/>
          <w:color w:val="000000"/>
          <w:sz w:val="13"/>
        </w:rPr>
        <w:t>st</w:t>
      </w:r>
      <w:r>
        <w:rPr>
          <w:color w:val="000000"/>
        </w:rPr>
        <w:t xml:space="preserve"> </w:t>
      </w:r>
      <w:r>
        <w:rPr>
          <w:rFonts w:ascii="Times New Roman;serif" w:hAnsi="Times New Roman;serif"/>
          <w:b w:val="false"/>
          <w:color w:val="000000"/>
          <w:sz w:val="20"/>
        </w:rPr>
        <w:t>of the calendar year that includes the applicable vesting date, or (ii) the 60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day that follows the applicable vesting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6"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erif" w:hAnsi="Times New Roman;serif"/>
          <w:b/>
          <w:color w:val="000000"/>
          <w:sz w:val="20"/>
        </w:rPr>
        <w:t>(ii)</w:t>
      </w:r>
      <w:r>
        <w:rPr>
          <w:rFonts w:ascii="Times New Roman;serif" w:hAnsi="Times New Roman;serif"/>
          <w:b w:val="false"/>
          <w:color w:val="000000"/>
          <w:sz w:val="20"/>
        </w:rPr>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 month period.</w:t>
      </w:r>
    </w:p>
    <w:p>
      <w:pPr>
        <w:pStyle w:val="TextBody"/>
        <w:bidi w:val="0"/>
        <w:spacing w:lineRule="auto" w:line="240" w:before="0" w:after="240"/>
        <w:ind w:left="0" w:right="0" w:firstLine="1440"/>
        <w:jc w:val="both"/>
        <w:rPr/>
      </w:pPr>
      <w:r>
        <w:rPr>
          <w:rFonts w:ascii="Times New Roman;serif" w:hAnsi="Times New Roman;serif"/>
          <w:b/>
          <w:color w:val="000000"/>
          <w:sz w:val="20"/>
        </w:rPr>
        <w:t>(iii)</w:t>
      </w:r>
      <w:r>
        <w:rPr>
          <w:rFonts w:ascii="Times New Roman;serif" w:hAnsi="Times New Roman;serif"/>
          <w:b w:val="false"/>
          <w:color w:val="000000"/>
          <w:sz w:val="20"/>
        </w:rPr>
        <w:t>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pStyle w:val="TextBody"/>
        <w:bidi w:val="0"/>
        <w:spacing w:lineRule="auto" w:line="240" w:before="0" w:after="240"/>
        <w:ind w:left="0" w:right="0" w:firstLine="720"/>
        <w:jc w:val="both"/>
        <w:rPr/>
      </w:pPr>
      <w:r>
        <w:rPr>
          <w:rFonts w:ascii="Times New Roman;serif" w:hAnsi="Times New Roman;serif"/>
          <w:b/>
          <w:color w:val="000000"/>
          <w:sz w:val="20"/>
        </w:rPr>
        <w:t>(c)</w:t>
      </w:r>
      <w:r>
        <w:rPr>
          <w:rFonts w:ascii="Times New Roman;serif" w:hAnsi="Times New Roman;serif"/>
          <w:b/>
          <w:color w:val="000000"/>
          <w:sz w:val="20"/>
        </w:rPr>
        <w:t>Treatment of Non-Exempt Awards Upon a Corporate Transaction for Employees and Consultants</w:t>
      </w:r>
      <w:r>
        <w:rPr>
          <w:rFonts w:ascii="Times New Roman;serif" w:hAnsi="Times New Roman;serif"/>
          <w:b w:val="false"/>
          <w:color w:val="000000"/>
          <w:sz w:val="20"/>
        </w:rPr>
        <w:t>. The provisions of this subsection (c) 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w:t>
      </w:r>
    </w:p>
    <w:p>
      <w:pPr>
        <w:pStyle w:val="TextBody"/>
        <w:bidi w:val="0"/>
        <w:spacing w:lineRule="auto" w:line="240" w:before="0" w:after="240"/>
        <w:ind w:left="0" w:right="0" w:firstLine="1440"/>
        <w:jc w:val="both"/>
        <w:rPr/>
      </w:pPr>
      <w:r>
        <w:rPr>
          <w:rFonts w:ascii="Times New Roman;serif" w:hAnsi="Times New Roman;serif"/>
          <w:b/>
          <w:color w:val="000000"/>
          <w:sz w:val="20"/>
        </w:rPr>
        <w:t>(i)</w:t>
      </w:r>
      <w:r>
        <w:rPr>
          <w:rFonts w:ascii="Times New Roman;serif" w:hAnsi="Times New Roman;serif"/>
          <w:b/>
          <w:color w:val="000000"/>
          <w:sz w:val="20"/>
        </w:rPr>
        <w:t>Vested Non-Exempt Awards</w:t>
      </w:r>
      <w:r>
        <w:rPr>
          <w:rFonts w:ascii="Times New Roman;serif" w:hAnsi="Times New Roman;serif"/>
          <w:b w:val="false"/>
          <w:color w:val="000000"/>
          <w:sz w:val="20"/>
        </w:rPr>
        <w:t>. The following provisions shall apply to any Vested Non-Exempt Award in connection with a Corporate Transaction:</w:t>
      </w:r>
    </w:p>
    <w:p>
      <w:pPr>
        <w:pStyle w:val="TextBody"/>
        <w:bidi w:val="0"/>
        <w:spacing w:lineRule="auto" w:line="240" w:before="0" w:after="240"/>
        <w:ind w:left="0" w:right="0" w:firstLine="2160"/>
        <w:jc w:val="both"/>
        <w:rPr/>
      </w:pPr>
      <w:r>
        <w:rPr>
          <w:rFonts w:ascii="Times New Roman;serif" w:hAnsi="Times New Roman;serif"/>
          <w:b/>
          <w:color w:val="000000"/>
          <w:sz w:val="20"/>
        </w:rPr>
        <w:t>(1)</w:t>
      </w:r>
      <w:r>
        <w:rPr>
          <w:rFonts w:ascii="Times New Roman;serif" w:hAnsi="Times New Roman;serif"/>
          <w:b w:val="false"/>
          <w:color w:val="000000"/>
          <w:sz w:val="20"/>
        </w:rPr>
        <w:t>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pStyle w:val="TextBody"/>
        <w:bidi w:val="0"/>
        <w:spacing w:lineRule="auto" w:line="240" w:before="0" w:after="240"/>
        <w:ind w:left="0" w:right="0" w:firstLine="2160"/>
        <w:jc w:val="both"/>
        <w:rPr/>
      </w:pPr>
      <w:r>
        <w:rPr>
          <w:rFonts w:ascii="Times New Roman;serif" w:hAnsi="Times New Roman;serif"/>
          <w:b/>
          <w:color w:val="000000"/>
          <w:sz w:val="20"/>
        </w:rPr>
        <w:t>(2)</w:t>
      </w:r>
      <w:r>
        <w:rPr>
          <w:rFonts w:ascii="Times New Roman;serif" w:hAnsi="Times New Roman;serif"/>
          <w:b w:val="false"/>
          <w:color w:val="000000"/>
          <w:sz w:val="20"/>
        </w:rPr>
        <w:t>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pStyle w:val="TextBody"/>
        <w:bidi w:val="0"/>
        <w:spacing w:lineRule="auto" w:line="240" w:before="0" w:after="240"/>
        <w:ind w:left="0" w:right="0" w:firstLine="1440"/>
        <w:jc w:val="both"/>
        <w:rPr/>
      </w:pPr>
      <w:r>
        <w:rPr>
          <w:rFonts w:ascii="Times New Roman;serif" w:hAnsi="Times New Roman;serif"/>
          <w:b/>
          <w:color w:val="000000"/>
          <w:sz w:val="20"/>
        </w:rPr>
        <w:t>(ii)</w:t>
      </w:r>
      <w:r>
        <w:rPr>
          <w:rFonts w:ascii="Times New Roman;serif" w:hAnsi="Times New Roman;serif"/>
          <w:b/>
          <w:color w:val="000000"/>
          <w:sz w:val="20"/>
        </w:rPr>
        <w:t>Unvested Non-Exempt Awards</w:t>
      </w:r>
      <w:r>
        <w:rPr>
          <w:rFonts w:ascii="Times New Roman;serif" w:hAnsi="Times New Roman;serif"/>
          <w:b w:val="false"/>
          <w:color w:val="000000"/>
          <w:sz w:val="20"/>
        </w:rPr>
        <w:t>. The following provisions shall apply to any Unvested Non-Exempt Award unless otherwise determined by the Board pursuant to subsection (e) of this Section.</w:t>
      </w:r>
    </w:p>
    <w:p>
      <w:pPr>
        <w:pStyle w:val="TextBody"/>
        <w:bidi w:val="0"/>
        <w:spacing w:lineRule="auto" w:line="240" w:before="0" w:after="240"/>
        <w:ind w:left="0" w:right="0" w:firstLine="2160"/>
        <w:jc w:val="both"/>
        <w:rPr/>
      </w:pPr>
      <w:r>
        <w:rPr>
          <w:rFonts w:ascii="Times New Roman;serif" w:hAnsi="Times New Roman;serif"/>
          <w:b/>
          <w:color w:val="000000"/>
          <w:sz w:val="20"/>
        </w:rPr>
        <w:t>(1)</w:t>
      </w:r>
      <w:r>
        <w:rPr>
          <w:rFonts w:ascii="Times New Roman;serif" w:hAnsi="Times New Roman;serif"/>
          <w:b w:val="false"/>
          <w:color w:val="000000"/>
          <w:sz w:val="20"/>
        </w:rPr>
        <w:t>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7"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2160"/>
        <w:jc w:val="both"/>
        <w:rPr/>
      </w:pPr>
      <w:r>
        <w:rPr>
          <w:rFonts w:ascii="Times New Roman;serif" w:hAnsi="Times New Roman;serif"/>
          <w:b/>
          <w:color w:val="000000"/>
          <w:sz w:val="20"/>
        </w:rPr>
        <w:t>(2)</w:t>
      </w:r>
      <w:r>
        <w:rPr>
          <w:rFonts w:ascii="Times New Roman;serif" w:hAnsi="Times New Roman;serif"/>
          <w:b w:val="false"/>
          <w:color w:val="000000"/>
          <w:sz w:val="20"/>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pStyle w:val="TextBody"/>
        <w:bidi w:val="0"/>
        <w:spacing w:lineRule="auto" w:line="240" w:before="0" w:after="240"/>
        <w:ind w:left="0" w:right="0" w:firstLine="2160"/>
        <w:jc w:val="both"/>
        <w:rPr/>
      </w:pPr>
      <w:r>
        <w:rPr>
          <w:rFonts w:ascii="Times New Roman;serif" w:hAnsi="Times New Roman;serif"/>
          <w:b/>
          <w:color w:val="000000"/>
          <w:sz w:val="20"/>
        </w:rPr>
        <w:t>(3)</w:t>
      </w:r>
      <w:r>
        <w:rPr>
          <w:rFonts w:ascii="Times New Roman;serif" w:hAnsi="Times New Roman;serif"/>
          <w:b w:val="false"/>
          <w:color w:val="000000"/>
          <w:sz w:val="20"/>
        </w:rPr>
        <w:t>The foregoing treatment shall apply with respect to all Unvested Non-Exempt Awards upon any Corporate Transaction, and regardless of whether or not such Corporate Transaction is also a Section 409A Change in Control.</w:t>
      </w:r>
    </w:p>
    <w:p>
      <w:pPr>
        <w:pStyle w:val="TextBody"/>
        <w:bidi w:val="0"/>
        <w:spacing w:lineRule="auto" w:line="240" w:before="0" w:after="240"/>
        <w:ind w:left="0" w:right="0" w:firstLine="720"/>
        <w:jc w:val="both"/>
        <w:rPr/>
      </w:pPr>
      <w:r>
        <w:rPr>
          <w:rFonts w:ascii="Times New Roman;serif" w:hAnsi="Times New Roman;serif"/>
          <w:b/>
          <w:color w:val="000000"/>
          <w:sz w:val="20"/>
        </w:rPr>
        <w:t>(d)</w:t>
      </w:r>
      <w:r>
        <w:rPr>
          <w:rFonts w:ascii="Times New Roman;serif" w:hAnsi="Times New Roman;serif"/>
          <w:b/>
          <w:color w:val="000000"/>
          <w:sz w:val="20"/>
        </w:rPr>
        <w:t>Treatment of Non-Exempt Awards Upon a Corporate Transaction for Non-Employee Directors</w:t>
      </w:r>
      <w:r>
        <w:rPr>
          <w:rFonts w:ascii="Times New Roman;serif" w:hAnsi="Times New Roman;serif"/>
          <w:b w:val="false"/>
          <w:color w:val="000000"/>
          <w:sz w:val="20"/>
        </w:rPr>
        <w:t>. The following provisions of this subsection (d) shall apply and shall supersede anything to the contrary that may be set forth in the Plan with respect to the permitted treatment of a Non-Exempt Director Award in connection with a Corporate Transaction.</w:t>
      </w:r>
    </w:p>
    <w:p>
      <w:pPr>
        <w:pStyle w:val="TextBody"/>
        <w:bidi w:val="0"/>
        <w:spacing w:lineRule="auto" w:line="240" w:before="0" w:after="240"/>
        <w:ind w:left="0" w:right="0" w:firstLine="1440"/>
        <w:jc w:val="both"/>
        <w:rPr/>
      </w:pPr>
      <w:r>
        <w:rPr>
          <w:rFonts w:ascii="Times New Roman;serif" w:hAnsi="Times New Roman;serif"/>
          <w:b/>
          <w:color w:val="000000"/>
          <w:sz w:val="20"/>
        </w:rPr>
        <w:t>(i)</w:t>
      </w:r>
      <w:r>
        <w:rPr>
          <w:rFonts w:ascii="Times New Roman;serif" w:hAnsi="Times New Roman;serif"/>
          <w:b w:val="false"/>
          <w:color w:val="000000"/>
          <w:sz w:val="20"/>
        </w:rPr>
        <w:t>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w:t>
      </w:r>
    </w:p>
    <w:p>
      <w:pPr>
        <w:pStyle w:val="TextBody"/>
        <w:bidi w:val="0"/>
        <w:spacing w:lineRule="auto" w:line="240" w:before="0" w:after="240"/>
        <w:ind w:left="0" w:right="0" w:firstLine="1440"/>
        <w:jc w:val="both"/>
        <w:rPr/>
      </w:pPr>
      <w:r>
        <w:rPr>
          <w:rFonts w:ascii="Times New Roman;serif" w:hAnsi="Times New Roman;serif"/>
          <w:b/>
          <w:color w:val="000000"/>
          <w:sz w:val="20"/>
        </w:rPr>
        <w:t>(ii)</w:t>
      </w:r>
      <w:r>
        <w:rPr>
          <w:rFonts w:ascii="Times New Roman;serif" w:hAnsi="Times New Roman;serif"/>
          <w:b w:val="false"/>
          <w:color w:val="000000"/>
          <w:sz w:val="20"/>
        </w:rPr>
        <w:t>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pStyle w:val="TextBody"/>
        <w:bidi w:val="0"/>
        <w:spacing w:lineRule="auto" w:line="240" w:before="0" w:after="240"/>
        <w:ind w:left="0" w:right="0" w:firstLine="720"/>
        <w:jc w:val="both"/>
        <w:rPr/>
      </w:pPr>
      <w:r>
        <w:rPr>
          <w:rFonts w:ascii="Times New Roman;serif" w:hAnsi="Times New Roman;serif"/>
          <w:b/>
          <w:color w:val="000000"/>
          <w:sz w:val="20"/>
        </w:rPr>
        <w:t>(e)</w:t>
      </w:r>
      <w:r>
        <w:rPr>
          <w:rFonts w:ascii="Times New Roman;serif" w:hAnsi="Times New Roman;serif"/>
          <w:b w:val="false"/>
          <w:color w:val="000000"/>
          <w:sz w:val="20"/>
        </w:rPr>
        <w:t>If the RSU Award is a Non-Exempt Award, then the provisions in this Section 11(e) shall apply and supersede anything to the contrary that may be set forth in the Plan or the Award Agreement with respect to the permitted treatment of such Non-Exempt Award:</w:t>
      </w:r>
    </w:p>
    <w:p>
      <w:pPr>
        <w:pStyle w:val="TextBody"/>
        <w:bidi w:val="0"/>
        <w:spacing w:lineRule="auto" w:line="240" w:before="0" w:after="240"/>
        <w:ind w:left="0" w:right="0" w:firstLine="1440"/>
        <w:jc w:val="both"/>
        <w:rPr/>
      </w:pPr>
      <w:r>
        <w:rPr>
          <w:rFonts w:ascii="Times New Roman;serif" w:hAnsi="Times New Roman;serif"/>
          <w:b/>
          <w:color w:val="000000"/>
          <w:sz w:val="20"/>
        </w:rPr>
        <w:t>(i)</w:t>
      </w:r>
      <w:r>
        <w:rPr>
          <w:rFonts w:ascii="Times New Roman;serif" w:hAnsi="Times New Roman;serif"/>
          <w:b w:val="false"/>
          <w:color w:val="000000"/>
          <w:sz w:val="20"/>
        </w:rPr>
        <w:t>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pStyle w:val="TextBody"/>
        <w:bidi w:val="0"/>
        <w:spacing w:lineRule="auto" w:line="240" w:before="0" w:after="240"/>
        <w:ind w:left="0" w:right="0" w:firstLine="1440"/>
        <w:jc w:val="both"/>
        <w:rPr/>
      </w:pPr>
      <w:r>
        <w:rPr>
          <w:rFonts w:ascii="Times New Roman;serif" w:hAnsi="Times New Roman;serif"/>
          <w:b/>
          <w:color w:val="000000"/>
          <w:sz w:val="20"/>
        </w:rPr>
        <w:t>(ii)</w:t>
      </w:r>
      <w:r>
        <w:rPr>
          <w:rFonts w:ascii="Times New Roman;serif" w:hAnsi="Times New Roman;serif"/>
          <w:b w:val="false"/>
          <w:color w:val="000000"/>
          <w:sz w:val="20"/>
        </w:rPr>
        <w:t>The Company explicitly reserves the right to earlier settle any Non-Exempt Award to the extent permitted and in compliance with the requirements of Section 409A, including pursuant to any of the exemptions available in Treasury Regulations Section 1.409A-3(j)(4)(ix).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88"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erif" w:hAnsi="Times New Roman;serif"/>
          <w:b/>
          <w:color w:val="000000"/>
          <w:sz w:val="20"/>
        </w:rPr>
        <w:t>(iii)</w:t>
      </w:r>
      <w:r>
        <w:rPr>
          <w:rFonts w:ascii="Times New Roman;serif" w:hAnsi="Times New Roman;serif"/>
          <w:b w:val="false"/>
          <w:color w:val="000000"/>
          <w:sz w:val="20"/>
        </w:rPr>
        <w:t>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pStyle w:val="TextBody"/>
        <w:bidi w:val="0"/>
        <w:spacing w:lineRule="auto" w:line="240" w:before="0" w:after="240"/>
        <w:ind w:left="0" w:right="0" w:firstLine="1440"/>
        <w:jc w:val="both"/>
        <w:rPr/>
      </w:pPr>
      <w:r>
        <w:rPr>
          <w:rFonts w:ascii="Times New Roman;serif" w:hAnsi="Times New Roman;serif"/>
          <w:b/>
          <w:color w:val="000000"/>
          <w:sz w:val="20"/>
        </w:rPr>
        <w:t>(iv)</w:t>
      </w:r>
      <w:r>
        <w:rPr>
          <w:rFonts w:ascii="Times New Roman;serif" w:hAnsi="Times New Roman;serif"/>
          <w:b w:val="false"/>
          <w:color w:val="000000"/>
          <w:sz w:val="20"/>
        </w:rPr>
        <w:t>The provisions in this subsection (e) for delivery of the shares in respect of the settlement of a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pStyle w:val="TextBody"/>
        <w:bidi w:val="0"/>
        <w:spacing w:lineRule="auto" w:line="240" w:before="0" w:after="240"/>
        <w:ind w:left="0" w:right="0" w:hanging="720"/>
        <w:jc w:val="left"/>
        <w:rPr>
          <w:rFonts w:ascii="Times New Roman;serif" w:hAnsi="Times New Roman;serif"/>
          <w:b/>
          <w:color w:val="000000"/>
          <w:sz w:val="20"/>
        </w:rPr>
      </w:pPr>
      <w:r>
        <w:rPr>
          <w:rFonts w:ascii="Times New Roman;serif" w:hAnsi="Times New Roman;serif"/>
          <w:b/>
          <w:color w:val="000000"/>
          <w:sz w:val="20"/>
        </w:rPr>
        <w:t>12.Severability.</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pStyle w:val="TextBody"/>
        <w:bidi w:val="0"/>
        <w:spacing w:lineRule="auto" w:line="240" w:before="0" w:after="240"/>
        <w:ind w:left="0" w:right="0" w:hanging="720"/>
        <w:jc w:val="left"/>
        <w:rPr>
          <w:rFonts w:ascii="Times New Roman;serif" w:hAnsi="Times New Roman;serif"/>
          <w:b/>
          <w:color w:val="000000"/>
          <w:sz w:val="20"/>
        </w:rPr>
      </w:pPr>
      <w:r>
        <w:rPr>
          <w:rFonts w:ascii="Times New Roman;serif" w:hAnsi="Times New Roman;serif"/>
          <w:b/>
          <w:color w:val="000000"/>
          <w:sz w:val="20"/>
        </w:rPr>
        <w:t>13.Termination of the Plan.</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The Board may suspend or terminate the Plan at any time. No Incentive Stock Options may be granted after the tenth anniversary of the earlier of: (i) August 25, 2026, which is the date of the Board’s approval of the Plan, as amended and restated, or (ii) the Approval Date. No Awards may be granted under the Plan while the Plan is suspended or after it is terminated.</w:t>
      </w:r>
    </w:p>
    <w:p>
      <w:pPr>
        <w:pStyle w:val="TextBody"/>
        <w:bidi w:val="0"/>
        <w:spacing w:lineRule="auto" w:line="240" w:before="0" w:after="240"/>
        <w:ind w:left="0" w:right="0" w:hanging="720"/>
        <w:jc w:val="left"/>
        <w:rPr>
          <w:rFonts w:ascii="Times New Roman;serif" w:hAnsi="Times New Roman;serif"/>
          <w:b/>
          <w:color w:val="000000"/>
          <w:sz w:val="20"/>
        </w:rPr>
      </w:pPr>
      <w:r>
        <w:rPr>
          <w:rFonts w:ascii="Times New Roman;serif" w:hAnsi="Times New Roman;serif"/>
          <w:b/>
          <w:color w:val="000000"/>
          <w:sz w:val="20"/>
        </w:rPr>
        <w:t>14.Definitions.</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used in the Plan, the following definitions apply to the capitalized terms indicated below:</w:t>
      </w:r>
    </w:p>
    <w:p>
      <w:pPr>
        <w:pStyle w:val="TextBody"/>
        <w:bidi w:val="0"/>
        <w:spacing w:lineRule="auto" w:line="240" w:before="0" w:after="240"/>
        <w:ind w:left="0" w:right="0" w:firstLine="720"/>
        <w:jc w:val="both"/>
        <w:rPr/>
      </w:pPr>
      <w:r>
        <w:rPr>
          <w:rFonts w:ascii="Times New Roman;serif" w:hAnsi="Times New Roman;serif"/>
          <w:b/>
          <w:color w:val="000000"/>
          <w:sz w:val="20"/>
        </w:rPr>
        <w:t>(a)</w:t>
      </w:r>
      <w:r>
        <w:rPr>
          <w:color w:val="000000"/>
        </w:rPr>
        <w:t>“</w:t>
      </w:r>
      <w:r>
        <w:rPr>
          <w:rFonts w:ascii="Times New Roman;serif" w:hAnsi="Times New Roman;serif"/>
          <w:b/>
          <w:i/>
          <w:color w:val="000000"/>
          <w:sz w:val="20"/>
        </w:rPr>
        <w:t>Acquiring Entity</w:t>
      </w:r>
      <w:r>
        <w:rPr>
          <w:color w:val="000000"/>
        </w:rPr>
        <w:t xml:space="preserve">” </w:t>
      </w:r>
      <w:r>
        <w:rPr>
          <w:rFonts w:ascii="Times New Roman;serif" w:hAnsi="Times New Roman;serif"/>
          <w:b w:val="false"/>
          <w:color w:val="000000"/>
          <w:sz w:val="20"/>
        </w:rPr>
        <w:t>means the surviving or acquiring corporation (or its parent company) in connection with a Corporate Transaction.</w:t>
      </w:r>
    </w:p>
    <w:p>
      <w:pPr>
        <w:pStyle w:val="TextBody"/>
        <w:bidi w:val="0"/>
        <w:spacing w:lineRule="auto" w:line="240" w:before="0" w:after="240"/>
        <w:ind w:left="0" w:right="0" w:firstLine="720"/>
        <w:jc w:val="both"/>
        <w:rPr/>
      </w:pPr>
      <w:r>
        <w:rPr>
          <w:rFonts w:ascii="Times New Roman;serif" w:hAnsi="Times New Roman;serif"/>
          <w:b/>
          <w:color w:val="000000"/>
          <w:sz w:val="20"/>
        </w:rPr>
        <w:t>(b)</w:t>
      </w:r>
      <w:r>
        <w:rPr>
          <w:color w:val="000000"/>
        </w:rPr>
        <w:t>“</w:t>
      </w:r>
      <w:r>
        <w:rPr>
          <w:rFonts w:ascii="Times New Roman;serif" w:hAnsi="Times New Roman;serif"/>
          <w:b/>
          <w:i/>
          <w:color w:val="000000"/>
          <w:sz w:val="20"/>
        </w:rPr>
        <w:t>Adoption Date</w:t>
      </w:r>
      <w:r>
        <w:rPr>
          <w:color w:val="000000"/>
        </w:rPr>
        <w:t xml:space="preserve">” </w:t>
      </w:r>
      <w:r>
        <w:rPr>
          <w:rFonts w:ascii="Times New Roman;serif" w:hAnsi="Times New Roman;serif"/>
          <w:b w:val="false"/>
          <w:color w:val="000000"/>
          <w:sz w:val="20"/>
        </w:rPr>
        <w:t>means the date the Plan is first approved by the Board or Compensation Committee.</w:t>
      </w:r>
    </w:p>
    <w:p>
      <w:pPr>
        <w:pStyle w:val="TextBody"/>
        <w:bidi w:val="0"/>
        <w:spacing w:lineRule="auto" w:line="240" w:before="0" w:after="240"/>
        <w:ind w:left="0" w:right="0" w:firstLine="720"/>
        <w:jc w:val="both"/>
        <w:rPr/>
      </w:pPr>
      <w:r>
        <w:rPr>
          <w:rFonts w:ascii="Times New Roman;serif" w:hAnsi="Times New Roman;serif"/>
          <w:b/>
          <w:color w:val="000000"/>
          <w:sz w:val="20"/>
        </w:rPr>
        <w:t>(c)</w:t>
      </w:r>
      <w:r>
        <w:rPr>
          <w:color w:val="000000"/>
        </w:rPr>
        <w:t>“</w:t>
      </w:r>
      <w:r>
        <w:rPr>
          <w:rFonts w:ascii="Times New Roman;serif" w:hAnsi="Times New Roman;serif"/>
          <w:b/>
          <w:i/>
          <w:color w:val="000000"/>
          <w:sz w:val="20"/>
        </w:rPr>
        <w:t>Affiliate</w:t>
      </w:r>
      <w:r>
        <w:rPr>
          <w:color w:val="000000"/>
        </w:rPr>
        <w:t xml:space="preserve">” </w:t>
      </w:r>
      <w:r>
        <w:rPr>
          <w:rFonts w:ascii="Times New Roman;serif" w:hAnsi="Times New Roman;serif"/>
          <w:b w:val="false"/>
          <w:color w:val="000000"/>
          <w:sz w:val="20"/>
        </w:rPr>
        <w:t>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pStyle w:val="TextBody"/>
        <w:bidi w:val="0"/>
        <w:spacing w:lineRule="auto" w:line="240" w:before="0" w:after="240"/>
        <w:ind w:left="0" w:right="0" w:firstLine="720"/>
        <w:jc w:val="both"/>
        <w:rPr/>
      </w:pPr>
      <w:r>
        <w:rPr>
          <w:rFonts w:ascii="Times New Roman;serif" w:hAnsi="Times New Roman;serif"/>
          <w:b/>
          <w:color w:val="000000"/>
          <w:sz w:val="20"/>
        </w:rPr>
        <w:t>(d)</w:t>
      </w:r>
      <w:r>
        <w:rPr>
          <w:color w:val="000000"/>
        </w:rPr>
        <w:t>“</w:t>
      </w:r>
      <w:r>
        <w:rPr>
          <w:rFonts w:ascii="Times New Roman;serif" w:hAnsi="Times New Roman;serif"/>
          <w:b/>
          <w:i/>
          <w:color w:val="000000"/>
          <w:sz w:val="20"/>
        </w:rPr>
        <w:t>Applicable Law</w:t>
      </w:r>
      <w:r>
        <w:rPr>
          <w:color w:val="000000"/>
        </w:rPr>
        <w:t xml:space="preserve">” </w:t>
      </w:r>
      <w:r>
        <w:rPr>
          <w:rFonts w:ascii="Times New Roman;serif" w:hAnsi="Times New Roman;serif"/>
          <w:b w:val="false"/>
          <w:color w:val="000000"/>
          <w:sz w:val="20"/>
        </w:rPr>
        <w:t>means shall mean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pStyle w:val="TextBody"/>
        <w:bidi w:val="0"/>
        <w:spacing w:lineRule="auto" w:line="240" w:before="0" w:after="240"/>
        <w:ind w:left="0" w:right="0" w:firstLine="720"/>
        <w:jc w:val="both"/>
        <w:rPr/>
      </w:pPr>
      <w:r>
        <w:rPr>
          <w:rFonts w:ascii="Times New Roman;serif" w:hAnsi="Times New Roman;serif"/>
          <w:b/>
          <w:color w:val="000000"/>
          <w:sz w:val="20"/>
        </w:rPr>
        <w:t>(e)</w:t>
      </w:r>
      <w:r>
        <w:rPr>
          <w:color w:val="000000"/>
        </w:rPr>
        <w:t>“</w:t>
      </w:r>
      <w:r>
        <w:rPr>
          <w:rFonts w:ascii="Times New Roman;serif" w:hAnsi="Times New Roman;serif"/>
          <w:b/>
          <w:i/>
          <w:color w:val="000000"/>
          <w:sz w:val="20"/>
        </w:rPr>
        <w:t>Award</w:t>
      </w:r>
      <w:r>
        <w:rPr>
          <w:color w:val="000000"/>
        </w:rPr>
        <w:t xml:space="preserve">” </w:t>
      </w:r>
      <w:r>
        <w:rPr>
          <w:rFonts w:ascii="Times New Roman;serif" w:hAnsi="Times New Roman;serif"/>
          <w:b w:val="false"/>
          <w:color w:val="000000"/>
          <w:sz w:val="20"/>
        </w:rPr>
        <w:t>means any right to receive Class A Common Stock, cash or other property granted under the Plan (including an Incentive Stock Option, a Nonstatutory Stock Option, a Restricted Stock Award, a RSU Award, a SAR, a Performance Award or any Other Award).</w:t>
      </w:r>
    </w:p>
    <w:p>
      <w:pPr>
        <w:pStyle w:val="TextBody"/>
        <w:bidi w:val="0"/>
        <w:spacing w:lineRule="auto" w:line="240" w:before="0" w:after="240"/>
        <w:ind w:left="0" w:right="0" w:firstLine="720"/>
        <w:jc w:val="both"/>
        <w:rPr/>
      </w:pPr>
      <w:r>
        <w:rPr>
          <w:rFonts w:ascii="Times New Roman;serif" w:hAnsi="Times New Roman;serif"/>
          <w:b/>
          <w:color w:val="000000"/>
          <w:sz w:val="20"/>
        </w:rPr>
        <w:t>(f)</w:t>
      </w:r>
      <w:r>
        <w:rPr>
          <w:color w:val="000000"/>
        </w:rPr>
        <w:t>“</w:t>
      </w:r>
      <w:r>
        <w:rPr>
          <w:rFonts w:ascii="Times New Roman;serif" w:hAnsi="Times New Roman;serif"/>
          <w:b/>
          <w:i/>
          <w:color w:val="000000"/>
          <w:sz w:val="20"/>
        </w:rPr>
        <w:t>Award Agreement</w:t>
      </w:r>
      <w:r>
        <w:rPr>
          <w:color w:val="000000"/>
        </w:rPr>
        <w:t xml:space="preserve">” </w:t>
      </w:r>
      <w:r>
        <w:rPr>
          <w:rFonts w:ascii="Times New Roman;serif" w:hAnsi="Times New Roman;serif"/>
          <w:b w:val="false"/>
          <w:color w:val="000000"/>
          <w:sz w:val="20"/>
        </w:rPr>
        <w:t>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89"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color w:val="000000"/>
          <w:sz w:val="20"/>
        </w:rPr>
        <w:t>(g)</w:t>
      </w:r>
      <w:r>
        <w:rPr>
          <w:color w:val="000000"/>
        </w:rPr>
        <w:t>“</w:t>
      </w:r>
      <w:r>
        <w:rPr>
          <w:rFonts w:ascii="Times New Roman;serif" w:hAnsi="Times New Roman;serif"/>
          <w:b/>
          <w:i/>
          <w:color w:val="000000"/>
          <w:sz w:val="20"/>
        </w:rPr>
        <w:t>Board</w:t>
      </w:r>
      <w:r>
        <w:rPr>
          <w:color w:val="000000"/>
        </w:rPr>
        <w:t xml:space="preserve">” </w:t>
      </w:r>
      <w:r>
        <w:rPr>
          <w:rFonts w:ascii="Times New Roman;serif" w:hAnsi="Times New Roman;serif"/>
          <w:b w:val="false"/>
          <w:color w:val="000000"/>
          <w:sz w:val="20"/>
        </w:rPr>
        <w:t>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pStyle w:val="TextBody"/>
        <w:bidi w:val="0"/>
        <w:spacing w:lineRule="auto" w:line="240" w:before="0" w:after="240"/>
        <w:ind w:left="0" w:right="0" w:firstLine="720"/>
        <w:jc w:val="both"/>
        <w:rPr/>
      </w:pPr>
      <w:r>
        <w:rPr>
          <w:rFonts w:ascii="Times New Roman;serif" w:hAnsi="Times New Roman;serif"/>
          <w:b/>
          <w:color w:val="000000"/>
          <w:sz w:val="20"/>
        </w:rPr>
        <w:t>(h)</w:t>
      </w:r>
      <w:r>
        <w:rPr>
          <w:color w:val="000000"/>
        </w:rPr>
        <w:t>“</w:t>
      </w:r>
      <w:r>
        <w:rPr>
          <w:rFonts w:ascii="Times New Roman;serif" w:hAnsi="Times New Roman;serif"/>
          <w:b/>
          <w:i/>
          <w:color w:val="000000"/>
          <w:sz w:val="20"/>
        </w:rPr>
        <w:t>Capitalization Adjustment</w:t>
      </w:r>
      <w:r>
        <w:rPr>
          <w:color w:val="000000"/>
        </w:rPr>
        <w:t xml:space="preserve">” </w:t>
      </w:r>
      <w:r>
        <w:rPr>
          <w:rFonts w:ascii="Times New Roman;serif" w:hAnsi="Times New Roman;serif"/>
          <w:b w:val="false"/>
          <w:color w:val="000000"/>
          <w:sz w:val="20"/>
        </w:rPr>
        <w:t>means any change that is made in, or other events that occur with respect to, the Class A Common Stock subject to 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pStyle w:val="TextBody"/>
        <w:bidi w:val="0"/>
        <w:spacing w:lineRule="auto" w:line="240" w:before="0" w:after="240"/>
        <w:ind w:left="0" w:right="0" w:firstLine="720"/>
        <w:jc w:val="both"/>
        <w:rPr/>
      </w:pPr>
      <w:r>
        <w:rPr>
          <w:rFonts w:ascii="Times New Roman;serif" w:hAnsi="Times New Roman;serif"/>
          <w:b/>
          <w:color w:val="000000"/>
          <w:sz w:val="20"/>
        </w:rPr>
        <w:t>(i)</w:t>
      </w:r>
      <w:r>
        <w:rPr>
          <w:color w:val="000000"/>
        </w:rPr>
        <w:t>“</w:t>
      </w:r>
      <w:r>
        <w:rPr>
          <w:rFonts w:ascii="Times New Roman;serif" w:hAnsi="Times New Roman;serif"/>
          <w:b/>
          <w:i/>
          <w:color w:val="000000"/>
          <w:sz w:val="20"/>
        </w:rPr>
        <w:t>Capital Stock</w:t>
      </w:r>
      <w:r>
        <w:rPr>
          <w:color w:val="000000"/>
        </w:rPr>
        <w:t xml:space="preserve">” </w:t>
      </w:r>
      <w:r>
        <w:rPr>
          <w:rFonts w:ascii="Times New Roman;serif" w:hAnsi="Times New Roman;serif"/>
          <w:b w:val="false"/>
          <w:color w:val="000000"/>
          <w:sz w:val="20"/>
        </w:rPr>
        <w:t>means the Class A Common Stock and the Class B Common Stock.</w:t>
      </w:r>
    </w:p>
    <w:p>
      <w:pPr>
        <w:pStyle w:val="TextBody"/>
        <w:bidi w:val="0"/>
        <w:spacing w:lineRule="auto" w:line="240" w:before="0" w:after="240"/>
        <w:ind w:left="0" w:right="0" w:firstLine="720"/>
        <w:jc w:val="both"/>
        <w:rPr/>
      </w:pPr>
      <w:r>
        <w:rPr>
          <w:rFonts w:ascii="Times New Roman;serif" w:hAnsi="Times New Roman;serif"/>
          <w:b/>
          <w:color w:val="000000"/>
          <w:sz w:val="20"/>
        </w:rPr>
        <w:t>(j)</w:t>
      </w:r>
      <w:r>
        <w:rPr>
          <w:color w:val="000000"/>
        </w:rPr>
        <w:t>“</w:t>
      </w:r>
      <w:r>
        <w:rPr>
          <w:rFonts w:ascii="Times New Roman;serif" w:hAnsi="Times New Roman;serif"/>
          <w:b/>
          <w:i/>
          <w:color w:val="000000"/>
          <w:sz w:val="20"/>
        </w:rPr>
        <w:t>Cause</w:t>
      </w:r>
      <w:r>
        <w:rPr>
          <w:color w:val="000000"/>
        </w:rPr>
        <w:t xml:space="preserve">” </w:t>
      </w:r>
      <w:r>
        <w:rPr>
          <w:rFonts w:ascii="Times New Roman;serif" w:hAnsi="Times New Roman;serif"/>
          <w:b w:val="false"/>
          <w:color w:val="000000"/>
          <w:sz w:val="20"/>
        </w:rPr>
        <w:t>has the meaning ascribed to such term in any written agreement between the Participant and the Company defining such term and, in the absence of such agreement, such term means, with respect to a Participant, the occurrence of any of the following events: (i) such Participant’s attempted commission of, or participation in, a fraud or act of dishonesty against the Company; (ii) such Participant’s intentional, material violation of any contract or agreement between the Participant and the Company or of any statutory duty owed to the Company; (iii) such Participant’s unauthorized use or disclosure of the Company’s confidential information or trade secrets; or (iv) such Participant’s gross misconduct.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pStyle w:val="TextBody"/>
        <w:bidi w:val="0"/>
        <w:spacing w:lineRule="auto" w:line="240" w:before="0" w:after="240"/>
        <w:ind w:left="0" w:right="0" w:firstLine="720"/>
        <w:jc w:val="both"/>
        <w:rPr/>
      </w:pPr>
      <w:r>
        <w:rPr>
          <w:rFonts w:ascii="Times New Roman;serif" w:hAnsi="Times New Roman;serif"/>
          <w:b/>
          <w:color w:val="000000"/>
          <w:sz w:val="20"/>
        </w:rPr>
        <w:t>(k)</w:t>
      </w:r>
      <w:r>
        <w:rPr>
          <w:color w:val="000000"/>
        </w:rPr>
        <w:t>“</w:t>
      </w:r>
      <w:r>
        <w:rPr>
          <w:rFonts w:ascii="Times New Roman;serif" w:hAnsi="Times New Roman;serif"/>
          <w:b/>
          <w:i/>
          <w:color w:val="000000"/>
          <w:sz w:val="20"/>
        </w:rPr>
        <w:t>Change in Control</w:t>
      </w:r>
      <w:r>
        <w:rPr>
          <w:color w:val="000000"/>
        </w:rPr>
        <w:t xml:space="preserve">” </w:t>
      </w:r>
      <w:r>
        <w:rPr>
          <w:rFonts w:ascii="Times New Roman;serif" w:hAnsi="Times New Roman;serif"/>
          <w:b w:val="false"/>
          <w:color w:val="000000"/>
          <w:sz w:val="20"/>
        </w:rPr>
        <w:t>means the occurrence, in a single transaction or in a series of related transactions, of any one or more of the following events; provided, however, to the extent necessary to avoid adverse personal income tax consequences to the Participant in connection with an Award, also constitutes a Section 409A Change in Control:</w:t>
      </w:r>
    </w:p>
    <w:p>
      <w:pPr>
        <w:pStyle w:val="TextBody"/>
        <w:bidi w:val="0"/>
        <w:spacing w:lineRule="auto" w:line="240" w:before="0" w:after="240"/>
        <w:ind w:left="0" w:right="0" w:firstLine="1440"/>
        <w:jc w:val="both"/>
        <w:rPr/>
      </w:pPr>
      <w:r>
        <w:rPr>
          <w:rFonts w:ascii="Times New Roman;serif" w:hAnsi="Times New Roman;serif"/>
          <w:b/>
          <w:color w:val="000000"/>
          <w:sz w:val="20"/>
        </w:rPr>
        <w:t>(i)</w:t>
      </w:r>
      <w:r>
        <w:rPr>
          <w:rFonts w:ascii="Times New Roman;serif" w:hAnsi="Times New Roman;serif"/>
          <w:b w:val="false"/>
          <w:color w:val="000000"/>
          <w:sz w:val="20"/>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serif" w:hAnsi="Times New Roman;serif"/>
          <w:b/>
          <w:i/>
          <w:color w:val="000000"/>
          <w:sz w:val="20"/>
        </w:rPr>
        <w:t>Subject Person</w:t>
      </w:r>
      <w:r>
        <w:rPr>
          <w:color w:val="000000"/>
        </w:rPr>
        <w:t>”</w:t>
      </w:r>
      <w:r>
        <w:rPr>
          <w:rFonts w:ascii="Times New Roman;serif" w:hAnsi="Times New Roman;serif"/>
          <w:b w:val="false"/>
          <w:color w:val="000000"/>
          <w:sz w:val="20"/>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pStyle w:val="TextBody"/>
        <w:bidi w:val="0"/>
        <w:spacing w:lineRule="auto" w:line="240" w:before="0" w:after="240"/>
        <w:ind w:left="0" w:right="0" w:firstLine="1440"/>
        <w:jc w:val="both"/>
        <w:rPr/>
      </w:pPr>
      <w:r>
        <w:rPr>
          <w:rFonts w:ascii="Times New Roman;serif" w:hAnsi="Times New Roman;serif"/>
          <w:b/>
          <w:color w:val="000000"/>
          <w:sz w:val="20"/>
        </w:rPr>
        <w:t>(ii)</w:t>
      </w:r>
      <w:r>
        <w:rPr>
          <w:rFonts w:ascii="Times New Roman;serif" w:hAnsi="Times New Roman;serif"/>
          <w:b w:val="false"/>
          <w:color w:val="000000"/>
          <w:sz w:val="20"/>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pStyle w:val="TextBody"/>
        <w:bidi w:val="0"/>
        <w:spacing w:lineRule="auto" w:line="240" w:before="0" w:after="240"/>
        <w:ind w:left="0" w:right="0" w:firstLine="1440"/>
        <w:jc w:val="both"/>
        <w:rPr/>
      </w:pPr>
      <w:r>
        <w:rPr>
          <w:rFonts w:ascii="Times New Roman;serif" w:hAnsi="Times New Roman;serif"/>
          <w:b/>
          <w:color w:val="000000"/>
          <w:sz w:val="20"/>
        </w:rPr>
        <w:t>(iii)</w:t>
      </w:r>
      <w:r>
        <w:rPr>
          <w:rFonts w:ascii="Times New Roman;serif" w:hAnsi="Times New Roman;serif"/>
          <w:b w:val="false"/>
          <w:color w:val="000000"/>
          <w:sz w:val="20"/>
        </w:rPr>
        <w:t>the stockholders of the Company approve or the Board approves a plan of complete dissolution or liquidation of the Company, or a complete dissolution or liquidation of the Company shall otherwise occur, except for a liquidation into a parent corporation;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0"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erif" w:hAnsi="Times New Roman;serif"/>
          <w:b/>
          <w:color w:val="000000"/>
          <w:sz w:val="20"/>
        </w:rPr>
        <w:t>(iv)</w:t>
      </w:r>
      <w:r>
        <w:rPr>
          <w:rFonts w:ascii="Times New Roman;serif" w:hAnsi="Times New Roman;serif"/>
          <w:b w:val="false"/>
          <w:color w:val="000000"/>
          <w:sz w:val="20"/>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pStyle w:val="TextBody"/>
        <w:bidi w:val="0"/>
        <w:spacing w:lineRule="auto" w:line="240" w:before="0" w:after="240"/>
        <w:ind w:left="0" w:right="0" w:firstLine="1440"/>
        <w:jc w:val="both"/>
        <w:rPr/>
      </w:pPr>
      <w:r>
        <w:rPr>
          <w:rFonts w:ascii="Times New Roman;serif" w:hAnsi="Times New Roman;serif"/>
          <w:b/>
          <w:color w:val="000000"/>
          <w:sz w:val="20"/>
        </w:rPr>
        <w:t>(v)</w:t>
      </w:r>
      <w:r>
        <w:rPr>
          <w:rFonts w:ascii="Times New Roman;serif" w:hAnsi="Times New Roman;serif"/>
          <w:b w:val="false"/>
          <w:color w:val="000000"/>
          <w:sz w:val="20"/>
        </w:rPr>
        <w:t>individuals who, on the date the Plan is adopted by the Board, are members of the Board (the “</w:t>
      </w:r>
      <w:r>
        <w:rPr>
          <w:rFonts w:ascii="Times New Roman;serif" w:hAnsi="Times New Roman;serif"/>
          <w:b/>
          <w:i/>
          <w:color w:val="000000"/>
          <w:sz w:val="20"/>
        </w:rPr>
        <w:t>Incumbent Board</w:t>
      </w:r>
      <w:r>
        <w:rPr>
          <w:color w:val="000000"/>
        </w:rPr>
        <w:t>”</w:t>
      </w:r>
      <w:r>
        <w:rPr>
          <w:rFonts w:ascii="Times New Roman;serif" w:hAnsi="Times New Roman;serif"/>
          <w:b w:val="false"/>
          <w:color w:val="000000"/>
          <w:sz w:val="20"/>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w:t>
      </w:r>
    </w:p>
    <w:p>
      <w:pPr>
        <w:pStyle w:val="TextBody"/>
        <w:bidi w:val="0"/>
        <w:spacing w:lineRule="auto" w:line="240" w:before="0" w:after="240"/>
        <w:ind w:left="0" w:right="0" w:firstLine="720"/>
        <w:jc w:val="both"/>
        <w:rPr/>
      </w:pPr>
      <w:r>
        <w:rPr>
          <w:rFonts w:ascii="Times New Roman;serif" w:hAnsi="Times New Roman;serif"/>
          <w:b/>
          <w:color w:val="000000"/>
          <w:sz w:val="20"/>
        </w:rPr>
        <w:t>(l)</w:t>
      </w:r>
      <w:r>
        <w:rPr>
          <w:color w:val="000000"/>
        </w:rPr>
        <w:t>“</w:t>
      </w:r>
      <w:r>
        <w:rPr>
          <w:rFonts w:ascii="Times New Roman;serif" w:hAnsi="Times New Roman;serif"/>
          <w:b/>
          <w:i/>
          <w:color w:val="000000"/>
          <w:sz w:val="20"/>
        </w:rPr>
        <w:t>Class A Common Stock</w:t>
      </w:r>
      <w:r>
        <w:rPr>
          <w:color w:val="000000"/>
        </w:rPr>
        <w:t xml:space="preserve">” </w:t>
      </w:r>
      <w:r>
        <w:rPr>
          <w:rFonts w:ascii="Times New Roman;serif" w:hAnsi="Times New Roman;serif"/>
          <w:b w:val="false"/>
          <w:color w:val="000000"/>
          <w:sz w:val="20"/>
        </w:rPr>
        <w:t>means Class A common stock of the Company.</w:t>
      </w:r>
    </w:p>
    <w:p>
      <w:pPr>
        <w:pStyle w:val="TextBody"/>
        <w:bidi w:val="0"/>
        <w:spacing w:lineRule="auto" w:line="240" w:before="0" w:after="240"/>
        <w:ind w:left="0" w:right="0" w:firstLine="720"/>
        <w:jc w:val="both"/>
        <w:rPr/>
      </w:pPr>
      <w:r>
        <w:rPr>
          <w:rFonts w:ascii="Times New Roman;serif" w:hAnsi="Times New Roman;serif"/>
          <w:b/>
          <w:color w:val="000000"/>
          <w:sz w:val="20"/>
        </w:rPr>
        <w:t>(m)</w:t>
      </w:r>
      <w:r>
        <w:rPr>
          <w:color w:val="000000"/>
        </w:rPr>
        <w:t>“</w:t>
      </w:r>
      <w:r>
        <w:rPr>
          <w:rFonts w:ascii="Times New Roman;serif" w:hAnsi="Times New Roman;serif"/>
          <w:b/>
          <w:i/>
          <w:color w:val="000000"/>
          <w:sz w:val="20"/>
        </w:rPr>
        <w:t>Class B Common Stock</w:t>
      </w:r>
      <w:r>
        <w:rPr>
          <w:color w:val="000000"/>
        </w:rPr>
        <w:t xml:space="preserve">” </w:t>
      </w:r>
      <w:r>
        <w:rPr>
          <w:rFonts w:ascii="Times New Roman;serif" w:hAnsi="Times New Roman;serif"/>
          <w:b w:val="false"/>
          <w:color w:val="000000"/>
          <w:sz w:val="20"/>
        </w:rPr>
        <w:t>means Class B common stock of the Company.</w:t>
      </w:r>
    </w:p>
    <w:p>
      <w:pPr>
        <w:pStyle w:val="TextBody"/>
        <w:bidi w:val="0"/>
        <w:spacing w:lineRule="auto" w:line="240" w:before="0" w:after="240"/>
        <w:ind w:left="0" w:right="0" w:firstLine="720"/>
        <w:jc w:val="both"/>
        <w:rPr/>
      </w:pPr>
      <w:r>
        <w:rPr>
          <w:rFonts w:ascii="Times New Roman;serif" w:hAnsi="Times New Roman;serif"/>
          <w:b/>
          <w:color w:val="000000"/>
          <w:sz w:val="20"/>
        </w:rPr>
        <w:t>(n)</w:t>
      </w:r>
      <w:r>
        <w:rPr>
          <w:color w:val="000000"/>
        </w:rPr>
        <w:t>“</w:t>
      </w:r>
      <w:r>
        <w:rPr>
          <w:rFonts w:ascii="Times New Roman;serif" w:hAnsi="Times New Roman;serif"/>
          <w:b/>
          <w:i/>
          <w:color w:val="000000"/>
          <w:sz w:val="20"/>
        </w:rPr>
        <w:t>Code</w:t>
      </w:r>
      <w:r>
        <w:rPr>
          <w:color w:val="000000"/>
        </w:rPr>
        <w:t xml:space="preserve">” </w:t>
      </w:r>
      <w:r>
        <w:rPr>
          <w:rFonts w:ascii="Times New Roman;serif" w:hAnsi="Times New Roman;serif"/>
          <w:b w:val="false"/>
          <w:color w:val="000000"/>
          <w:sz w:val="20"/>
        </w:rPr>
        <w:t>means the Internal Revenue Code of 1986, as amended, including any applicable regulations and guidance thereunder.</w:t>
      </w:r>
    </w:p>
    <w:p>
      <w:pPr>
        <w:pStyle w:val="TextBody"/>
        <w:bidi w:val="0"/>
        <w:spacing w:lineRule="auto" w:line="240" w:before="0" w:after="240"/>
        <w:ind w:left="0" w:right="0" w:firstLine="720"/>
        <w:jc w:val="both"/>
        <w:rPr/>
      </w:pPr>
      <w:r>
        <w:rPr>
          <w:rFonts w:ascii="Times New Roman;serif" w:hAnsi="Times New Roman;serif"/>
          <w:b/>
          <w:color w:val="000000"/>
          <w:sz w:val="20"/>
        </w:rPr>
        <w:t>(o)</w:t>
      </w:r>
      <w:r>
        <w:rPr>
          <w:color w:val="000000"/>
        </w:rPr>
        <w:t>“</w:t>
      </w:r>
      <w:r>
        <w:rPr>
          <w:rFonts w:ascii="Times New Roman;serif" w:hAnsi="Times New Roman;serif"/>
          <w:b/>
          <w:i/>
          <w:color w:val="000000"/>
          <w:sz w:val="20"/>
        </w:rPr>
        <w:t>Committee</w:t>
      </w:r>
      <w:r>
        <w:rPr>
          <w:color w:val="000000"/>
        </w:rPr>
        <w:t xml:space="preserve">” </w:t>
      </w:r>
      <w:r>
        <w:rPr>
          <w:rFonts w:ascii="Times New Roman;serif" w:hAnsi="Times New Roman;serif"/>
          <w:b w:val="false"/>
          <w:color w:val="000000"/>
          <w:sz w:val="20"/>
        </w:rPr>
        <w:t>means the Compensation Committee and any other committee of one or more Directors to whom authority has been delegated by the Board or Compensation Committee in accordance with the Plan.</w:t>
      </w:r>
    </w:p>
    <w:p>
      <w:pPr>
        <w:pStyle w:val="TextBody"/>
        <w:bidi w:val="0"/>
        <w:spacing w:lineRule="auto" w:line="240" w:before="0" w:after="240"/>
        <w:ind w:left="0" w:right="0" w:firstLine="720"/>
        <w:jc w:val="both"/>
        <w:rPr/>
      </w:pPr>
      <w:r>
        <w:rPr>
          <w:rFonts w:ascii="Times New Roman;serif" w:hAnsi="Times New Roman;serif"/>
          <w:b/>
          <w:color w:val="000000"/>
          <w:sz w:val="20"/>
        </w:rPr>
        <w:t>(p)</w:t>
      </w:r>
      <w:r>
        <w:rPr>
          <w:color w:val="000000"/>
        </w:rPr>
        <w:t>“</w:t>
      </w:r>
      <w:r>
        <w:rPr>
          <w:rFonts w:ascii="Times New Roman;serif" w:hAnsi="Times New Roman;serif"/>
          <w:b/>
          <w:i/>
          <w:color w:val="000000"/>
          <w:sz w:val="20"/>
        </w:rPr>
        <w:t>Company</w:t>
      </w:r>
      <w:r>
        <w:rPr>
          <w:color w:val="000000"/>
        </w:rPr>
        <w:t xml:space="preserve">” </w:t>
      </w:r>
      <w:r>
        <w:rPr>
          <w:rFonts w:ascii="Times New Roman;serif" w:hAnsi="Times New Roman;serif"/>
          <w:b w:val="false"/>
          <w:color w:val="000000"/>
          <w:sz w:val="20"/>
        </w:rPr>
        <w:t>means C3.ai, Inc., a Delaware corporation.</w:t>
      </w:r>
    </w:p>
    <w:p>
      <w:pPr>
        <w:pStyle w:val="TextBody"/>
        <w:bidi w:val="0"/>
        <w:spacing w:lineRule="auto" w:line="240" w:before="0" w:after="240"/>
        <w:ind w:left="0" w:right="0" w:firstLine="720"/>
        <w:jc w:val="both"/>
        <w:rPr/>
      </w:pPr>
      <w:r>
        <w:rPr>
          <w:rFonts w:ascii="Times New Roman;serif" w:hAnsi="Times New Roman;serif"/>
          <w:b/>
          <w:color w:val="000000"/>
          <w:sz w:val="20"/>
        </w:rPr>
        <w:t>(q)</w:t>
      </w:r>
      <w:r>
        <w:rPr>
          <w:color w:val="000000"/>
        </w:rPr>
        <w:t>“</w:t>
      </w:r>
      <w:r>
        <w:rPr>
          <w:rFonts w:ascii="Times New Roman;serif" w:hAnsi="Times New Roman;serif"/>
          <w:b/>
          <w:i/>
          <w:color w:val="000000"/>
          <w:sz w:val="20"/>
        </w:rPr>
        <w:t>Compensation Committee</w:t>
      </w:r>
      <w:r>
        <w:rPr>
          <w:color w:val="000000"/>
        </w:rPr>
        <w:t xml:space="preserve">” </w:t>
      </w:r>
      <w:r>
        <w:rPr>
          <w:rFonts w:ascii="Times New Roman;serif" w:hAnsi="Times New Roman;serif"/>
          <w:b w:val="false"/>
          <w:color w:val="000000"/>
          <w:sz w:val="20"/>
        </w:rPr>
        <w:t>means the Compensation Committee of the Board.</w:t>
      </w:r>
    </w:p>
    <w:p>
      <w:pPr>
        <w:pStyle w:val="TextBody"/>
        <w:bidi w:val="0"/>
        <w:spacing w:lineRule="auto" w:line="240" w:before="0" w:after="240"/>
        <w:ind w:left="0" w:right="0" w:firstLine="720"/>
        <w:jc w:val="both"/>
        <w:rPr/>
      </w:pPr>
      <w:r>
        <w:rPr>
          <w:rFonts w:ascii="Times New Roman;serif" w:hAnsi="Times New Roman;serif"/>
          <w:b/>
          <w:color w:val="000000"/>
          <w:sz w:val="20"/>
        </w:rPr>
        <w:t>(r)</w:t>
      </w:r>
      <w:r>
        <w:rPr>
          <w:color w:val="000000"/>
        </w:rPr>
        <w:t>“</w:t>
      </w:r>
      <w:r>
        <w:rPr>
          <w:rFonts w:ascii="Times New Roman;serif" w:hAnsi="Times New Roman;serif"/>
          <w:b/>
          <w:i/>
          <w:color w:val="000000"/>
          <w:sz w:val="20"/>
        </w:rPr>
        <w:t>Consultant</w:t>
      </w:r>
      <w:r>
        <w:rPr>
          <w:color w:val="000000"/>
        </w:rPr>
        <w:t xml:space="preserve">” </w:t>
      </w:r>
      <w:r>
        <w:rPr>
          <w:rFonts w:ascii="Times New Roman;serif" w:hAnsi="Times New Roman;serif"/>
          <w:b w:val="false"/>
          <w:color w:val="000000"/>
          <w:sz w:val="20"/>
        </w:rPr>
        <w:t>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1"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color w:val="000000"/>
          <w:sz w:val="20"/>
        </w:rPr>
        <w:t>(s)</w:t>
      </w:r>
      <w:r>
        <w:rPr>
          <w:color w:val="000000"/>
        </w:rPr>
        <w:t>“</w:t>
      </w:r>
      <w:r>
        <w:rPr>
          <w:rFonts w:ascii="Times New Roman;serif" w:hAnsi="Times New Roman;serif"/>
          <w:b/>
          <w:i/>
          <w:color w:val="000000"/>
          <w:sz w:val="20"/>
        </w:rPr>
        <w:t>Continuous Service</w:t>
      </w:r>
      <w:r>
        <w:rPr>
          <w:color w:val="000000"/>
        </w:rPr>
        <w:t xml:space="preserve">” </w:t>
      </w:r>
      <w:r>
        <w:rPr>
          <w:rFonts w:ascii="Times New Roman;serif" w:hAnsi="Times New Roman;serif"/>
          <w:b w:val="false"/>
          <w:color w:val="000000"/>
          <w:sz w:val="20"/>
        </w:rPr>
        <w:t>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pStyle w:val="TextBody"/>
        <w:bidi w:val="0"/>
        <w:spacing w:lineRule="auto" w:line="240" w:before="0" w:after="240"/>
        <w:ind w:left="0" w:right="0" w:firstLine="720"/>
        <w:jc w:val="both"/>
        <w:rPr/>
      </w:pPr>
      <w:r>
        <w:rPr>
          <w:rFonts w:ascii="Times New Roman;serif" w:hAnsi="Times New Roman;serif"/>
          <w:b/>
          <w:color w:val="000000"/>
          <w:sz w:val="20"/>
        </w:rPr>
        <w:t>(t)</w:t>
      </w:r>
      <w:r>
        <w:rPr>
          <w:color w:val="000000"/>
        </w:rPr>
        <w:t>“</w:t>
      </w:r>
      <w:r>
        <w:rPr>
          <w:rFonts w:ascii="Times New Roman;serif" w:hAnsi="Times New Roman;serif"/>
          <w:b/>
          <w:i/>
          <w:color w:val="000000"/>
          <w:sz w:val="20"/>
        </w:rPr>
        <w:t>Corporate Transaction</w:t>
      </w:r>
      <w:r>
        <w:rPr>
          <w:color w:val="000000"/>
        </w:rPr>
        <w:t xml:space="preserve">” </w:t>
      </w:r>
      <w:r>
        <w:rPr>
          <w:rFonts w:ascii="Times New Roman;serif" w:hAnsi="Times New Roman;serif"/>
          <w:b w:val="false"/>
          <w:color w:val="000000"/>
          <w:sz w:val="20"/>
        </w:rPr>
        <w:t>means the consummation, in a single transaction or in a series of related transactions, of any one or more of the following events:</w:t>
      </w:r>
    </w:p>
    <w:p>
      <w:pPr>
        <w:pStyle w:val="TextBody"/>
        <w:bidi w:val="0"/>
        <w:spacing w:lineRule="auto" w:line="240" w:before="0" w:after="240"/>
        <w:ind w:left="0" w:right="0" w:firstLine="1440"/>
        <w:jc w:val="both"/>
        <w:rPr/>
      </w:pPr>
      <w:r>
        <w:rPr>
          <w:rFonts w:ascii="Times New Roman;serif" w:hAnsi="Times New Roman;serif"/>
          <w:b/>
          <w:color w:val="000000"/>
          <w:sz w:val="20"/>
        </w:rPr>
        <w:t>(i)</w:t>
      </w:r>
      <w:r>
        <w:rPr>
          <w:rFonts w:ascii="Times New Roman;serif" w:hAnsi="Times New Roman;serif"/>
          <w:b w:val="false"/>
          <w:color w:val="000000"/>
          <w:sz w:val="20"/>
        </w:rPr>
        <w:t>a sale or other disposition of all or substantially all, as determined by the Board, of the consolidated assets of the Company and its Subsidiaries;</w:t>
      </w:r>
    </w:p>
    <w:p>
      <w:pPr>
        <w:pStyle w:val="TextBody"/>
        <w:bidi w:val="0"/>
        <w:spacing w:lineRule="auto" w:line="240" w:before="0" w:after="240"/>
        <w:ind w:left="0" w:right="0" w:firstLine="1440"/>
        <w:jc w:val="both"/>
        <w:rPr/>
      </w:pPr>
      <w:r>
        <w:rPr>
          <w:rFonts w:ascii="Times New Roman;serif" w:hAnsi="Times New Roman;serif"/>
          <w:b/>
          <w:color w:val="000000"/>
          <w:sz w:val="20"/>
        </w:rPr>
        <w:t>(ii)</w:t>
      </w:r>
      <w:r>
        <w:rPr>
          <w:rFonts w:ascii="Times New Roman;serif" w:hAnsi="Times New Roman;serif"/>
          <w:b w:val="false"/>
          <w:color w:val="000000"/>
          <w:sz w:val="20"/>
        </w:rPr>
        <w:t>a sale or other disposition of at least 50% of the outstanding securities of the Company;</w:t>
      </w:r>
    </w:p>
    <w:p>
      <w:pPr>
        <w:pStyle w:val="TextBody"/>
        <w:bidi w:val="0"/>
        <w:spacing w:lineRule="auto" w:line="240" w:before="0" w:after="240"/>
        <w:ind w:left="0" w:right="0" w:firstLine="1440"/>
        <w:jc w:val="both"/>
        <w:rPr/>
      </w:pPr>
      <w:r>
        <w:rPr>
          <w:rFonts w:ascii="Times New Roman;serif" w:hAnsi="Times New Roman;serif"/>
          <w:b/>
          <w:color w:val="000000"/>
          <w:sz w:val="20"/>
        </w:rPr>
        <w:t>(iii)</w:t>
      </w:r>
      <w:r>
        <w:rPr>
          <w:rFonts w:ascii="Times New Roman;serif" w:hAnsi="Times New Roman;serif"/>
          <w:b w:val="false"/>
          <w:color w:val="000000"/>
          <w:sz w:val="20"/>
        </w:rPr>
        <w:t>a merger, consolidation or similar transaction following which the Company is not the surviving corporation; or</w:t>
      </w:r>
    </w:p>
    <w:p>
      <w:pPr>
        <w:pStyle w:val="TextBody"/>
        <w:bidi w:val="0"/>
        <w:spacing w:lineRule="auto" w:line="240" w:before="0" w:after="240"/>
        <w:ind w:left="0" w:right="0" w:firstLine="1440"/>
        <w:jc w:val="both"/>
        <w:rPr/>
      </w:pPr>
      <w:r>
        <w:rPr>
          <w:rFonts w:ascii="Times New Roman;serif" w:hAnsi="Times New Roman;serif"/>
          <w:b/>
          <w:color w:val="000000"/>
          <w:sz w:val="20"/>
        </w:rPr>
        <w:t>(iv)</w:t>
      </w:r>
      <w:r>
        <w:rPr>
          <w:rFonts w:ascii="Times New Roman;serif" w:hAnsi="Times New Roman;serif"/>
          <w:b w:val="false"/>
          <w:color w:val="000000"/>
          <w:sz w:val="20"/>
        </w:rPr>
        <w:t>a merger, consolidation or similar transaction following which the Company is the surviving corporation but the shares of Capital Stock outstanding immediately preceding the merger, consolidation or similar transaction are converted or exchanged by virtue of the merger, consolidation or similar transaction into other property, whether in the form of securities, cash or otherwise.</w:t>
      </w:r>
    </w:p>
    <w:p>
      <w:pPr>
        <w:pStyle w:val="TextBody"/>
        <w:bidi w:val="0"/>
        <w:spacing w:lineRule="auto" w:line="240" w:before="0" w:after="240"/>
        <w:ind w:left="0" w:right="0" w:firstLine="720"/>
        <w:jc w:val="both"/>
        <w:rPr/>
      </w:pPr>
      <w:r>
        <w:rPr>
          <w:rFonts w:ascii="Times New Roman;serif" w:hAnsi="Times New Roman;serif"/>
          <w:b/>
          <w:color w:val="000000"/>
          <w:sz w:val="20"/>
        </w:rPr>
        <w:t>(u)</w:t>
      </w:r>
      <w:r>
        <w:rPr>
          <w:color w:val="000000"/>
        </w:rPr>
        <w:t>“</w:t>
      </w:r>
      <w:r>
        <w:rPr>
          <w:rFonts w:ascii="Times New Roman;serif" w:hAnsi="Times New Roman;serif"/>
          <w:b/>
          <w:i/>
          <w:color w:val="000000"/>
          <w:sz w:val="20"/>
        </w:rPr>
        <w:t>Director</w:t>
      </w:r>
      <w:r>
        <w:rPr>
          <w:color w:val="000000"/>
        </w:rPr>
        <w:t xml:space="preserve">” </w:t>
      </w:r>
      <w:r>
        <w:rPr>
          <w:rFonts w:ascii="Times New Roman;serif" w:hAnsi="Times New Roman;serif"/>
          <w:b w:val="false"/>
          <w:color w:val="000000"/>
          <w:sz w:val="20"/>
        </w:rPr>
        <w:t>means a member of the Board.</w:t>
      </w:r>
    </w:p>
    <w:p>
      <w:pPr>
        <w:pStyle w:val="TextBody"/>
        <w:bidi w:val="0"/>
        <w:spacing w:lineRule="auto" w:line="240" w:before="0" w:after="240"/>
        <w:ind w:left="0" w:right="0" w:firstLine="720"/>
        <w:jc w:val="both"/>
        <w:rPr/>
      </w:pPr>
      <w:r>
        <w:rPr>
          <w:rFonts w:ascii="Times New Roman;serif" w:hAnsi="Times New Roman;serif"/>
          <w:b/>
          <w:color w:val="000000"/>
          <w:sz w:val="20"/>
        </w:rPr>
        <w:t>(v)</w:t>
      </w:r>
      <w:r>
        <w:rPr>
          <w:color w:val="000000"/>
        </w:rPr>
        <w:t>“</w:t>
      </w:r>
      <w:r>
        <w:rPr>
          <w:rFonts w:ascii="Times New Roman;serif" w:hAnsi="Times New Roman;serif"/>
          <w:b/>
          <w:i/>
          <w:color w:val="000000"/>
          <w:sz w:val="20"/>
        </w:rPr>
        <w:t>determine</w:t>
      </w:r>
      <w:r>
        <w:rPr>
          <w:color w:val="000000"/>
        </w:rPr>
        <w:t xml:space="preserve">” </w:t>
      </w:r>
      <w:r>
        <w:rPr>
          <w:rFonts w:ascii="Times New Roman;serif" w:hAnsi="Times New Roman;serif"/>
          <w:b/>
          <w:i/>
          <w:color w:val="000000"/>
          <w:sz w:val="20"/>
        </w:rPr>
        <w:t>or</w:t>
      </w:r>
      <w:r>
        <w:rPr>
          <w:color w:val="000000"/>
        </w:rPr>
        <w:t xml:space="preserve"> “</w:t>
      </w:r>
      <w:r>
        <w:rPr>
          <w:rFonts w:ascii="Times New Roman;serif" w:hAnsi="Times New Roman;serif"/>
          <w:b/>
          <w:i/>
          <w:color w:val="000000"/>
          <w:sz w:val="20"/>
        </w:rPr>
        <w:t>determined</w:t>
      </w:r>
      <w:r>
        <w:rPr>
          <w:color w:val="000000"/>
        </w:rPr>
        <w:t xml:space="preserve">” </w:t>
      </w:r>
      <w:r>
        <w:rPr>
          <w:rFonts w:ascii="Times New Roman;serif" w:hAnsi="Times New Roman;serif"/>
          <w:b w:val="false"/>
          <w:color w:val="000000"/>
          <w:sz w:val="20"/>
        </w:rPr>
        <w:t>means as determined by the Board or the Committee (or its designee) in its sole discretion.</w:t>
      </w:r>
    </w:p>
    <w:p>
      <w:pPr>
        <w:pStyle w:val="TextBody"/>
        <w:bidi w:val="0"/>
        <w:spacing w:lineRule="auto" w:line="240" w:before="0" w:after="240"/>
        <w:ind w:left="0" w:right="0" w:firstLine="720"/>
        <w:jc w:val="both"/>
        <w:rPr/>
      </w:pPr>
      <w:r>
        <w:rPr>
          <w:rFonts w:ascii="Times New Roman;serif" w:hAnsi="Times New Roman;serif"/>
          <w:b/>
          <w:color w:val="000000"/>
          <w:sz w:val="20"/>
        </w:rPr>
        <w:t>(w)</w:t>
      </w:r>
      <w:r>
        <w:rPr>
          <w:color w:val="000000"/>
        </w:rPr>
        <w:t>“</w:t>
      </w:r>
      <w:r>
        <w:rPr>
          <w:rFonts w:ascii="Times New Roman;serif" w:hAnsi="Times New Roman;serif"/>
          <w:b/>
          <w:i/>
          <w:color w:val="000000"/>
          <w:sz w:val="20"/>
        </w:rPr>
        <w:t>Disability</w:t>
      </w:r>
      <w:r>
        <w:rPr>
          <w:color w:val="000000"/>
        </w:rPr>
        <w:t xml:space="preserve">” </w:t>
      </w:r>
      <w:r>
        <w:rPr>
          <w:rFonts w:ascii="Times New Roman;serif" w:hAnsi="Times New Roman;serif"/>
          <w:b w:val="false"/>
          <w:color w:val="000000"/>
          <w:sz w:val="20"/>
        </w:rPr>
        <w:t>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pStyle w:val="TextBody"/>
        <w:bidi w:val="0"/>
        <w:spacing w:lineRule="auto" w:line="240" w:before="0" w:after="240"/>
        <w:ind w:left="0" w:right="0" w:firstLine="720"/>
        <w:jc w:val="both"/>
        <w:rPr/>
      </w:pPr>
      <w:r>
        <w:rPr>
          <w:rFonts w:ascii="Times New Roman;serif" w:hAnsi="Times New Roman;serif"/>
          <w:b/>
          <w:color w:val="000000"/>
          <w:sz w:val="20"/>
        </w:rPr>
        <w:t>(x)</w:t>
      </w:r>
      <w:r>
        <w:rPr>
          <w:color w:val="000000"/>
        </w:rPr>
        <w:t>“</w:t>
      </w:r>
      <w:r>
        <w:rPr>
          <w:rFonts w:ascii="Times New Roman;serif" w:hAnsi="Times New Roman;serif"/>
          <w:b/>
          <w:i/>
          <w:color w:val="000000"/>
          <w:sz w:val="20"/>
        </w:rPr>
        <w:t>Effective Date</w:t>
      </w:r>
      <w:r>
        <w:rPr>
          <w:color w:val="000000"/>
        </w:rPr>
        <w:t xml:space="preserve">” </w:t>
      </w:r>
      <w:r>
        <w:rPr>
          <w:rFonts w:ascii="Times New Roman;serif" w:hAnsi="Times New Roman;serif"/>
          <w:b w:val="false"/>
          <w:color w:val="000000"/>
          <w:sz w:val="20"/>
        </w:rPr>
        <w:t>means the IPO Date, provided this Plan is approved by the Company’s stockholders prior to the IPO Date.</w:t>
      </w:r>
    </w:p>
    <w:p>
      <w:pPr>
        <w:pStyle w:val="TextBody"/>
        <w:bidi w:val="0"/>
        <w:spacing w:lineRule="auto" w:line="240" w:before="0" w:after="240"/>
        <w:ind w:left="0" w:right="0" w:firstLine="720"/>
        <w:jc w:val="both"/>
        <w:rPr/>
      </w:pPr>
      <w:r>
        <w:rPr>
          <w:rFonts w:ascii="Times New Roman;serif" w:hAnsi="Times New Roman;serif"/>
          <w:b/>
          <w:color w:val="000000"/>
          <w:sz w:val="20"/>
        </w:rPr>
        <w:t>(y)</w:t>
      </w:r>
      <w:r>
        <w:rPr>
          <w:color w:val="000000"/>
        </w:rPr>
        <w:t>“</w:t>
      </w:r>
      <w:r>
        <w:rPr>
          <w:rFonts w:ascii="Times New Roman;serif" w:hAnsi="Times New Roman;serif"/>
          <w:b/>
          <w:i/>
          <w:color w:val="000000"/>
          <w:sz w:val="20"/>
        </w:rPr>
        <w:t>Employee</w:t>
      </w:r>
      <w:r>
        <w:rPr>
          <w:color w:val="000000"/>
        </w:rPr>
        <w:t xml:space="preserve">” </w:t>
      </w:r>
      <w:r>
        <w:rPr>
          <w:rFonts w:ascii="Times New Roman;serif" w:hAnsi="Times New Roman;serif"/>
          <w:b w:val="false"/>
          <w:color w:val="000000"/>
          <w:sz w:val="20"/>
        </w:rPr>
        <w:t>means any person employed by the Company or an Affiliate. However, service solely as a Director, or payment of a fee for such services, will not cause a Director to be considered an “Employee” for purposes of the Plan.</w:t>
      </w:r>
    </w:p>
    <w:p>
      <w:pPr>
        <w:pStyle w:val="TextBody"/>
        <w:bidi w:val="0"/>
        <w:spacing w:lineRule="auto" w:line="240" w:before="0" w:after="240"/>
        <w:ind w:left="0" w:right="0" w:firstLine="720"/>
        <w:jc w:val="both"/>
        <w:rPr/>
      </w:pPr>
      <w:r>
        <w:rPr>
          <w:rFonts w:ascii="Times New Roman;serif" w:hAnsi="Times New Roman;serif"/>
          <w:b/>
          <w:color w:val="000000"/>
          <w:sz w:val="20"/>
        </w:rPr>
        <w:t>(z)</w:t>
      </w:r>
      <w:r>
        <w:rPr>
          <w:color w:val="000000"/>
        </w:rPr>
        <w:t>“</w:t>
      </w:r>
      <w:r>
        <w:rPr>
          <w:rFonts w:ascii="Times New Roman;serif" w:hAnsi="Times New Roman;serif"/>
          <w:b/>
          <w:i/>
          <w:color w:val="000000"/>
          <w:sz w:val="20"/>
        </w:rPr>
        <w:t>Employer</w:t>
      </w:r>
      <w:r>
        <w:rPr>
          <w:color w:val="000000"/>
        </w:rPr>
        <w:t xml:space="preserve">” </w:t>
      </w:r>
      <w:r>
        <w:rPr>
          <w:rFonts w:ascii="Times New Roman;serif" w:hAnsi="Times New Roman;serif"/>
          <w:b w:val="false"/>
          <w:color w:val="000000"/>
          <w:sz w:val="20"/>
        </w:rPr>
        <w:t>means the Company or the Affiliate of the Company that employs the Participant.</w:t>
      </w:r>
    </w:p>
    <w:p>
      <w:pPr>
        <w:pStyle w:val="TextBody"/>
        <w:bidi w:val="0"/>
        <w:spacing w:lineRule="auto" w:line="240" w:before="0" w:after="240"/>
        <w:ind w:left="0" w:right="0" w:firstLine="720"/>
        <w:jc w:val="both"/>
        <w:rPr/>
      </w:pPr>
      <w:r>
        <w:rPr>
          <w:rFonts w:ascii="Times New Roman;serif" w:hAnsi="Times New Roman;serif"/>
          <w:b/>
          <w:color w:val="000000"/>
          <w:sz w:val="20"/>
        </w:rPr>
        <w:t>(aa)</w:t>
      </w:r>
      <w:r>
        <w:rPr>
          <w:color w:val="000000"/>
        </w:rPr>
        <w:t>“</w:t>
      </w:r>
      <w:r>
        <w:rPr>
          <w:rFonts w:ascii="Times New Roman;serif" w:hAnsi="Times New Roman;serif"/>
          <w:b/>
          <w:i/>
          <w:color w:val="000000"/>
          <w:sz w:val="20"/>
        </w:rPr>
        <w:t>Entity</w:t>
      </w:r>
      <w:r>
        <w:rPr>
          <w:color w:val="000000"/>
        </w:rPr>
        <w:t xml:space="preserve">” </w:t>
      </w:r>
      <w:r>
        <w:rPr>
          <w:rFonts w:ascii="Times New Roman;serif" w:hAnsi="Times New Roman;serif"/>
          <w:b w:val="false"/>
          <w:color w:val="000000"/>
          <w:sz w:val="20"/>
        </w:rPr>
        <w:t>means a corporation, partnership, limited liability company or other entity.</w:t>
      </w:r>
    </w:p>
    <w:p>
      <w:pPr>
        <w:pStyle w:val="TextBody"/>
        <w:bidi w:val="0"/>
        <w:spacing w:lineRule="auto" w:line="240" w:before="0" w:after="240"/>
        <w:ind w:left="0" w:right="0" w:firstLine="720"/>
        <w:jc w:val="both"/>
        <w:rPr/>
      </w:pPr>
      <w:r>
        <w:rPr>
          <w:rFonts w:ascii="Times New Roman;serif" w:hAnsi="Times New Roman;serif"/>
          <w:b/>
          <w:color w:val="000000"/>
          <w:sz w:val="20"/>
        </w:rPr>
        <w:t>(ab)</w:t>
      </w:r>
      <w:r>
        <w:rPr>
          <w:color w:val="000000"/>
        </w:rPr>
        <w:t>“</w:t>
      </w:r>
      <w:r>
        <w:rPr>
          <w:rFonts w:ascii="Times New Roman;serif" w:hAnsi="Times New Roman;serif"/>
          <w:b/>
          <w:i/>
          <w:color w:val="000000"/>
          <w:sz w:val="20"/>
        </w:rPr>
        <w:t>Exchange Act</w:t>
      </w:r>
      <w:r>
        <w:rPr>
          <w:color w:val="000000"/>
        </w:rPr>
        <w:t xml:space="preserve">” </w:t>
      </w:r>
      <w:r>
        <w:rPr>
          <w:rFonts w:ascii="Times New Roman;serif" w:hAnsi="Times New Roman;serif"/>
          <w:b w:val="false"/>
          <w:color w:val="000000"/>
          <w:sz w:val="20"/>
        </w:rPr>
        <w:t>means the Securities Exchange Act of 1934, as amended, and the rules and regulations promulgated thereunder.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2"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color w:val="000000"/>
          <w:sz w:val="20"/>
        </w:rPr>
        <w:t>(ac)</w:t>
      </w:r>
      <w:r>
        <w:rPr>
          <w:color w:val="000000"/>
        </w:rPr>
        <w:t>“</w:t>
      </w:r>
      <w:r>
        <w:rPr>
          <w:rFonts w:ascii="Times New Roman;serif" w:hAnsi="Times New Roman;serif"/>
          <w:b/>
          <w:i/>
          <w:color w:val="000000"/>
          <w:sz w:val="20"/>
        </w:rPr>
        <w:t>Exchange Act Person</w:t>
      </w:r>
      <w:r>
        <w:rPr>
          <w:color w:val="000000"/>
        </w:rPr>
        <w:t xml:space="preserve">” </w:t>
      </w:r>
      <w:r>
        <w:rPr>
          <w:rFonts w:ascii="Times New Roman;serif" w:hAnsi="Times New Roman;serif"/>
          <w:b w:val="false"/>
          <w:color w:val="000000"/>
          <w:sz w:val="20"/>
        </w:rPr>
        <w:t>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pStyle w:val="TextBody"/>
        <w:bidi w:val="0"/>
        <w:spacing w:lineRule="auto" w:line="240" w:before="0" w:after="240"/>
        <w:ind w:left="0" w:right="0" w:firstLine="720"/>
        <w:jc w:val="both"/>
        <w:rPr/>
      </w:pPr>
      <w:r>
        <w:rPr>
          <w:rFonts w:ascii="Times New Roman;serif" w:hAnsi="Times New Roman;serif"/>
          <w:b/>
          <w:color w:val="000000"/>
          <w:sz w:val="20"/>
        </w:rPr>
        <w:t>(ad)</w:t>
      </w:r>
      <w:r>
        <w:rPr>
          <w:color w:val="000000"/>
        </w:rPr>
        <w:t>“</w:t>
      </w:r>
      <w:r>
        <w:rPr>
          <w:rFonts w:ascii="Times New Roman;serif" w:hAnsi="Times New Roman;serif"/>
          <w:b/>
          <w:i/>
          <w:color w:val="000000"/>
          <w:sz w:val="20"/>
        </w:rPr>
        <w:t>Fair Market Value</w:t>
      </w:r>
      <w:r>
        <w:rPr>
          <w:color w:val="000000"/>
        </w:rPr>
        <w:t xml:space="preserve">” </w:t>
      </w:r>
      <w:r>
        <w:rPr>
          <w:rFonts w:ascii="Times New Roman;serif" w:hAnsi="Times New Roman;serif"/>
          <w:b w:val="false"/>
          <w:color w:val="000000"/>
          <w:sz w:val="20"/>
        </w:rPr>
        <w:t>means, as of any date, unless otherwise determined by the Board, the value of the Class A Common Stock (as determined on a per share or aggregate basis, as applicable) determined as follows:</w:t>
      </w:r>
    </w:p>
    <w:p>
      <w:pPr>
        <w:pStyle w:val="TextBody"/>
        <w:bidi w:val="0"/>
        <w:spacing w:lineRule="auto" w:line="240" w:before="0" w:after="240"/>
        <w:ind w:left="0" w:right="0" w:firstLine="1440"/>
        <w:jc w:val="both"/>
        <w:rPr/>
      </w:pPr>
      <w:r>
        <w:rPr>
          <w:rFonts w:ascii="Times New Roman;serif" w:hAnsi="Times New Roman;serif"/>
          <w:b/>
          <w:color w:val="000000"/>
          <w:sz w:val="20"/>
        </w:rPr>
        <w:t>(i)</w:t>
      </w:r>
      <w:r>
        <w:rPr>
          <w:rFonts w:ascii="Times New Roman;serif" w:hAnsi="Times New Roman;serif"/>
          <w:b w:val="false"/>
          <w:color w:val="000000"/>
          <w:sz w:val="20"/>
        </w:rPr>
        <w:t>If the Class A Common Stock is listed on any established stock exchange or traded on any established market, the Fair Market Value will be the closing sales price for such stock as quoted on such exchange or market (or the exchange or market with the greatest volume of trading in the Class A Common Stock) on the date of determination, as reported in a source the Board deems reliable.</w:t>
      </w:r>
    </w:p>
    <w:p>
      <w:pPr>
        <w:pStyle w:val="TextBody"/>
        <w:bidi w:val="0"/>
        <w:spacing w:lineRule="auto" w:line="240" w:before="0" w:after="240"/>
        <w:ind w:left="0" w:right="0" w:firstLine="1440"/>
        <w:jc w:val="both"/>
        <w:rPr/>
      </w:pPr>
      <w:r>
        <w:rPr>
          <w:rFonts w:ascii="Times New Roman;serif" w:hAnsi="Times New Roman;serif"/>
          <w:b/>
          <w:color w:val="000000"/>
          <w:sz w:val="20"/>
        </w:rPr>
        <w:t>(ii)</w:t>
      </w:r>
      <w:r>
        <w:rPr>
          <w:rFonts w:ascii="Times New Roman;serif" w:hAnsi="Times New Roman;serif"/>
          <w:b w:val="false"/>
          <w:color w:val="000000"/>
          <w:sz w:val="20"/>
        </w:rPr>
        <w:t>If there is no closing sales price for the Class A Common Stock on the date of determination, then the Fair Market Value will be the closing selling price on the last preceding date for which such quotation exists.</w:t>
      </w:r>
    </w:p>
    <w:p>
      <w:pPr>
        <w:pStyle w:val="TextBody"/>
        <w:bidi w:val="0"/>
        <w:spacing w:lineRule="auto" w:line="240" w:before="0" w:after="240"/>
        <w:ind w:left="0" w:right="0" w:firstLine="1440"/>
        <w:jc w:val="both"/>
        <w:rPr/>
      </w:pPr>
      <w:r>
        <w:rPr>
          <w:rFonts w:ascii="Times New Roman;serif" w:hAnsi="Times New Roman;serif"/>
          <w:b/>
          <w:color w:val="000000"/>
          <w:sz w:val="20"/>
        </w:rPr>
        <w:t>(iii)</w:t>
      </w:r>
      <w:r>
        <w:rPr>
          <w:rFonts w:ascii="Times New Roman;serif" w:hAnsi="Times New Roman;serif"/>
          <w:b w:val="false"/>
          <w:color w:val="000000"/>
          <w:sz w:val="20"/>
        </w:rPr>
        <w:t>In the absence of such markets for the Class A Common Stock, or if otherwise determined by the Board, the Fair Market Value will be determined by the Board in good faith and in a manner that complies with Sections 409A and 422 of the Code.</w:t>
      </w:r>
    </w:p>
    <w:p>
      <w:pPr>
        <w:pStyle w:val="TextBody"/>
        <w:bidi w:val="0"/>
        <w:spacing w:lineRule="auto" w:line="240" w:before="0" w:after="240"/>
        <w:ind w:left="0" w:right="0" w:firstLine="720"/>
        <w:jc w:val="both"/>
        <w:rPr/>
      </w:pPr>
      <w:r>
        <w:rPr>
          <w:rFonts w:ascii="Times New Roman;serif" w:hAnsi="Times New Roman;serif"/>
          <w:b/>
          <w:color w:val="000000"/>
          <w:sz w:val="20"/>
        </w:rPr>
        <w:t>(ae)</w:t>
      </w:r>
      <w:r>
        <w:rPr>
          <w:color w:val="000000"/>
        </w:rPr>
        <w:t>“</w:t>
      </w:r>
      <w:r>
        <w:rPr>
          <w:rFonts w:ascii="Times New Roman;serif" w:hAnsi="Times New Roman;serif"/>
          <w:b/>
          <w:i/>
          <w:color w:val="000000"/>
          <w:sz w:val="20"/>
        </w:rPr>
        <w:t>Governmental Body</w:t>
      </w:r>
      <w:r>
        <w:rPr>
          <w:color w:val="000000"/>
        </w:rPr>
        <w:t xml:space="preserve">” </w:t>
      </w:r>
      <w:r>
        <w:rPr>
          <w:rFonts w:ascii="Times New Roman;serif" w:hAnsi="Times New Roman;serif"/>
          <w:b w:val="false"/>
          <w:color w:val="000000"/>
          <w:sz w:val="20"/>
        </w:rPr>
        <w:t>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New York Stock Exchange, and the Financial Industry Regulatory Authority).</w:t>
      </w:r>
    </w:p>
    <w:p>
      <w:pPr>
        <w:pStyle w:val="TextBody"/>
        <w:bidi w:val="0"/>
        <w:spacing w:lineRule="auto" w:line="240" w:before="0" w:after="240"/>
        <w:ind w:left="0" w:right="0" w:firstLine="720"/>
        <w:jc w:val="both"/>
        <w:rPr/>
      </w:pPr>
      <w:r>
        <w:rPr>
          <w:rFonts w:ascii="Times New Roman;serif" w:hAnsi="Times New Roman;serif"/>
          <w:b/>
          <w:color w:val="000000"/>
          <w:sz w:val="20"/>
        </w:rPr>
        <w:t>(af)</w:t>
      </w:r>
      <w:r>
        <w:rPr>
          <w:color w:val="000000"/>
        </w:rPr>
        <w:t>“</w:t>
      </w:r>
      <w:r>
        <w:rPr>
          <w:rFonts w:ascii="Times New Roman;serif" w:hAnsi="Times New Roman;serif"/>
          <w:b/>
          <w:i/>
          <w:color w:val="000000"/>
          <w:sz w:val="20"/>
        </w:rPr>
        <w:t>Grant Notice</w:t>
      </w:r>
      <w:r>
        <w:rPr>
          <w:color w:val="000000"/>
        </w:rPr>
        <w:t xml:space="preserve">” </w:t>
      </w:r>
      <w:r>
        <w:rPr>
          <w:rFonts w:ascii="Times New Roman;serif" w:hAnsi="Times New Roman;serif"/>
          <w:b w:val="false"/>
          <w:color w:val="000000"/>
          <w:sz w:val="20"/>
        </w:rPr>
        <w:t>means the notice provided to a Participant that he or she has been granted an Award under the Plan and which includes the name of the Participant, the type of Award, the date of grant of the Award, number of shares of Class A Common Stock subject to the Award or potential cash payment right, (if any), the vesting schedule for the Award (if any) and other key terms applicable to the Award.</w:t>
      </w:r>
    </w:p>
    <w:p>
      <w:pPr>
        <w:pStyle w:val="TextBody"/>
        <w:bidi w:val="0"/>
        <w:spacing w:lineRule="auto" w:line="240" w:before="0" w:after="240"/>
        <w:ind w:left="0" w:right="0" w:firstLine="720"/>
        <w:jc w:val="both"/>
        <w:rPr/>
      </w:pPr>
      <w:r>
        <w:rPr>
          <w:rFonts w:ascii="Times New Roman;serif" w:hAnsi="Times New Roman;serif"/>
          <w:b/>
          <w:color w:val="000000"/>
          <w:sz w:val="20"/>
        </w:rPr>
        <w:t>(ag)</w:t>
      </w:r>
      <w:r>
        <w:rPr>
          <w:color w:val="000000"/>
        </w:rPr>
        <w:t>“</w:t>
      </w:r>
      <w:r>
        <w:rPr>
          <w:rFonts w:ascii="Times New Roman;serif" w:hAnsi="Times New Roman;serif"/>
          <w:b/>
          <w:i/>
          <w:color w:val="000000"/>
          <w:sz w:val="20"/>
        </w:rPr>
        <w:t>Incentive Stock Option</w:t>
      </w:r>
      <w:r>
        <w:rPr>
          <w:color w:val="000000"/>
        </w:rPr>
        <w:t xml:space="preserve">” </w:t>
      </w:r>
      <w:r>
        <w:rPr>
          <w:rFonts w:ascii="Times New Roman;serif" w:hAnsi="Times New Roman;serif"/>
          <w:b w:val="false"/>
          <w:color w:val="000000"/>
          <w:sz w:val="20"/>
        </w:rPr>
        <w:t>means an option granted pursuant to Section 4 of the Plan that is intended to be, and qualifies as, an “incentive stock option” within the meaning of Section 422 of the Code.</w:t>
      </w:r>
    </w:p>
    <w:p>
      <w:pPr>
        <w:pStyle w:val="TextBody"/>
        <w:bidi w:val="0"/>
        <w:spacing w:lineRule="auto" w:line="240" w:before="0" w:after="240"/>
        <w:ind w:left="0" w:right="0" w:firstLine="720"/>
        <w:jc w:val="both"/>
        <w:rPr/>
      </w:pPr>
      <w:r>
        <w:rPr>
          <w:rFonts w:ascii="Times New Roman;serif" w:hAnsi="Times New Roman;serif"/>
          <w:b/>
          <w:color w:val="000000"/>
          <w:sz w:val="20"/>
        </w:rPr>
        <w:t>(ah)</w:t>
      </w:r>
      <w:r>
        <w:rPr>
          <w:color w:val="000000"/>
        </w:rPr>
        <w:t>“</w:t>
      </w:r>
      <w:r>
        <w:rPr>
          <w:rFonts w:ascii="Times New Roman;serif" w:hAnsi="Times New Roman;serif"/>
          <w:b/>
          <w:i/>
          <w:color w:val="000000"/>
          <w:sz w:val="20"/>
        </w:rPr>
        <w:t>IPO Date</w:t>
      </w:r>
      <w:r>
        <w:rPr>
          <w:color w:val="000000"/>
        </w:rPr>
        <w:t xml:space="preserve">” </w:t>
      </w:r>
      <w:r>
        <w:rPr>
          <w:rFonts w:ascii="Times New Roman;serif" w:hAnsi="Times New Roman;serif"/>
          <w:b w:val="false"/>
          <w:color w:val="000000"/>
          <w:sz w:val="20"/>
        </w:rPr>
        <w:t>means the date of the underwriting agreement between the Company and the underwriter(s) managing the initial public offering of the Class A Common Stock, pursuant to which the Class A Common Stock is priced for the initial public offering.</w:t>
      </w:r>
    </w:p>
    <w:p>
      <w:pPr>
        <w:pStyle w:val="TextBody"/>
        <w:bidi w:val="0"/>
        <w:spacing w:lineRule="auto" w:line="240" w:before="0" w:after="240"/>
        <w:ind w:left="0" w:right="0" w:firstLine="720"/>
        <w:jc w:val="both"/>
        <w:rPr/>
      </w:pPr>
      <w:r>
        <w:rPr>
          <w:rFonts w:ascii="Times New Roman;serif" w:hAnsi="Times New Roman;serif"/>
          <w:b/>
          <w:color w:val="000000"/>
          <w:sz w:val="20"/>
        </w:rPr>
        <w:t>(ai)</w:t>
      </w:r>
      <w:r>
        <w:rPr>
          <w:color w:val="000000"/>
        </w:rPr>
        <w:t>“</w:t>
      </w:r>
      <w:r>
        <w:rPr>
          <w:rFonts w:ascii="Times New Roman;serif" w:hAnsi="Times New Roman;serif"/>
          <w:b/>
          <w:i/>
          <w:color w:val="000000"/>
          <w:sz w:val="20"/>
        </w:rPr>
        <w:t>Materially Impair</w:t>
      </w:r>
      <w:r>
        <w:rPr>
          <w:color w:val="000000"/>
        </w:rPr>
        <w:t xml:space="preserve">” </w:t>
      </w:r>
      <w:r>
        <w:rPr>
          <w:rFonts w:ascii="Times New Roman;serif" w:hAnsi="Times New Roman;serif"/>
          <w:b w:val="false"/>
          <w:color w:val="000000"/>
          <w:sz w:val="20"/>
        </w:rPr>
        <w:t>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3"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color w:val="000000"/>
          <w:sz w:val="20"/>
        </w:rPr>
        <w:t>(aj)</w:t>
      </w:r>
      <w:r>
        <w:rPr>
          <w:color w:val="000000"/>
        </w:rPr>
        <w:t>“</w:t>
      </w:r>
      <w:r>
        <w:rPr>
          <w:rFonts w:ascii="Times New Roman;serif" w:hAnsi="Times New Roman;serif"/>
          <w:b/>
          <w:i/>
          <w:color w:val="000000"/>
          <w:sz w:val="20"/>
        </w:rPr>
        <w:t>Non-Employee Director</w:t>
      </w:r>
      <w:r>
        <w:rPr>
          <w:color w:val="000000"/>
        </w:rPr>
        <w:t xml:space="preserve">” </w:t>
      </w:r>
      <w:r>
        <w:rPr>
          <w:rFonts w:ascii="Times New Roman;serif" w:hAnsi="Times New Roman;serif"/>
          <w:b w:val="false"/>
          <w:color w:val="000000"/>
          <w:sz w:val="20"/>
        </w:rPr>
        <w:t>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serif" w:hAnsi="Times New Roman;serif"/>
          <w:b/>
          <w:i/>
          <w:color w:val="000000"/>
          <w:sz w:val="20"/>
        </w:rPr>
        <w:t>Regulation S-K</w:t>
      </w:r>
      <w:r>
        <w:rPr>
          <w:color w:val="000000"/>
        </w:rPr>
        <w:t>”</w:t>
      </w:r>
      <w:r>
        <w:rPr>
          <w:rFonts w:ascii="Times New Roman;serif" w:hAnsi="Times New Roman;serif"/>
          <w:b w:val="false"/>
          <w:color w:val="000000"/>
          <w:sz w:val="20"/>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pStyle w:val="TextBody"/>
        <w:bidi w:val="0"/>
        <w:spacing w:lineRule="auto" w:line="240" w:before="0" w:after="240"/>
        <w:ind w:left="0" w:right="0" w:firstLine="720"/>
        <w:jc w:val="both"/>
        <w:rPr/>
      </w:pPr>
      <w:r>
        <w:rPr>
          <w:rFonts w:ascii="Times New Roman;serif" w:hAnsi="Times New Roman;serif"/>
          <w:b/>
          <w:color w:val="000000"/>
          <w:sz w:val="20"/>
        </w:rPr>
        <w:t>(ak)</w:t>
      </w:r>
      <w:r>
        <w:rPr>
          <w:color w:val="000000"/>
        </w:rPr>
        <w:t>“</w:t>
      </w:r>
      <w:r>
        <w:rPr>
          <w:rFonts w:ascii="Times New Roman;serif" w:hAnsi="Times New Roman;serif"/>
          <w:b/>
          <w:i/>
          <w:color w:val="000000"/>
          <w:sz w:val="20"/>
        </w:rPr>
        <w:t>Non-Exempt Award</w:t>
      </w:r>
      <w:r>
        <w:rPr>
          <w:color w:val="000000"/>
        </w:rPr>
        <w:t xml:space="preserve">” </w:t>
      </w:r>
      <w:r>
        <w:rPr>
          <w:rFonts w:ascii="Times New Roman;serif" w:hAnsi="Times New Roman;serif"/>
          <w:b w:val="false"/>
          <w:color w:val="000000"/>
          <w:sz w:val="20"/>
        </w:rPr>
        <w:t>means any Award that is subject to, and not exempt from, Section 409A, including as the result of (i) a deferral of the issuance of the shares subject to the Award which is elected by the Participant or imposed by the Company or (ii) the terms of any Non-Exempt Severance Agreement.</w:t>
      </w:r>
    </w:p>
    <w:p>
      <w:pPr>
        <w:pStyle w:val="TextBody"/>
        <w:bidi w:val="0"/>
        <w:spacing w:lineRule="auto" w:line="240" w:before="0" w:after="240"/>
        <w:ind w:left="0" w:right="0" w:firstLine="720"/>
        <w:jc w:val="both"/>
        <w:rPr/>
      </w:pPr>
      <w:r>
        <w:rPr>
          <w:rFonts w:ascii="Times New Roman;serif" w:hAnsi="Times New Roman;serif"/>
          <w:b/>
          <w:color w:val="000000"/>
          <w:sz w:val="20"/>
        </w:rPr>
        <w:t>(al)</w:t>
      </w:r>
      <w:r>
        <w:rPr>
          <w:color w:val="000000"/>
        </w:rPr>
        <w:t>“</w:t>
      </w:r>
      <w:r>
        <w:rPr>
          <w:rFonts w:ascii="Times New Roman;serif" w:hAnsi="Times New Roman;serif"/>
          <w:b/>
          <w:i/>
          <w:color w:val="000000"/>
          <w:sz w:val="20"/>
        </w:rPr>
        <w:t>Non-Exempt Director Award</w:t>
      </w:r>
      <w:r>
        <w:rPr>
          <w:color w:val="000000"/>
        </w:rPr>
        <w:t xml:space="preserve">” </w:t>
      </w:r>
      <w:r>
        <w:rPr>
          <w:rFonts w:ascii="Times New Roman;serif" w:hAnsi="Times New Roman;serif"/>
          <w:b w:val="false"/>
          <w:color w:val="000000"/>
          <w:sz w:val="20"/>
        </w:rPr>
        <w:t>means a Non-Exempt Award granted to a Participant who was a Director but not an Employee on the applicable grant date.</w:t>
      </w:r>
    </w:p>
    <w:p>
      <w:pPr>
        <w:pStyle w:val="TextBody"/>
        <w:bidi w:val="0"/>
        <w:spacing w:lineRule="auto" w:line="240" w:before="0" w:after="240"/>
        <w:ind w:left="0" w:right="0" w:firstLine="720"/>
        <w:jc w:val="both"/>
        <w:rPr/>
      </w:pPr>
      <w:r>
        <w:rPr>
          <w:rFonts w:ascii="Times New Roman;serif" w:hAnsi="Times New Roman;serif"/>
          <w:b/>
          <w:color w:val="000000"/>
          <w:sz w:val="20"/>
        </w:rPr>
        <w:t>(am)</w:t>
      </w:r>
      <w:r>
        <w:rPr>
          <w:rFonts w:ascii="Times New Roman;serif" w:hAnsi="Times New Roman;serif"/>
          <w:b/>
          <w:i/>
          <w:color w:val="000000"/>
          <w:sz w:val="20"/>
        </w:rPr>
        <w:t>Non-Exempt Severance Arrangement</w:t>
      </w:r>
      <w:r>
        <w:rPr>
          <w:color w:val="000000"/>
        </w:rPr>
        <w:t xml:space="preserve"> </w:t>
      </w:r>
      <w:r>
        <w:rPr>
          <w:rFonts w:ascii="Times New Roman;serif" w:hAnsi="Times New Roman;serif"/>
          <w:b w:val="false"/>
          <w:color w:val="000000"/>
          <w:sz w:val="20"/>
        </w:rPr>
        <w:t>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Times New Roman;serif" w:hAnsi="Times New Roman;serif"/>
          <w:b/>
          <w:i/>
          <w:color w:val="000000"/>
          <w:sz w:val="20"/>
        </w:rPr>
        <w:t>Separation from Service</w:t>
      </w:r>
      <w:r>
        <w:rPr>
          <w:color w:val="000000"/>
        </w:rPr>
        <w:t>”</w:t>
      </w:r>
      <w:r>
        <w:rPr>
          <w:rFonts w:ascii="Times New Roman;serif" w:hAnsi="Times New Roman;serif"/>
          <w:b w:val="false"/>
          <w:color w:val="000000"/>
          <w:sz w:val="20"/>
        </w:rPr>
        <w:t>) and such severance benefit does not satisfy the requirements for an exemption from application of Section 409A provided under Treasury Regulations Section 1.409A-1(b) (4), 1.409A-1(b)(9) or otherwise.</w:t>
      </w:r>
    </w:p>
    <w:p>
      <w:pPr>
        <w:pStyle w:val="TextBody"/>
        <w:bidi w:val="0"/>
        <w:spacing w:lineRule="auto" w:line="240" w:before="0" w:after="240"/>
        <w:ind w:left="0" w:right="0" w:firstLine="720"/>
        <w:jc w:val="both"/>
        <w:rPr/>
      </w:pPr>
      <w:r>
        <w:rPr>
          <w:rFonts w:ascii="Times New Roman;serif" w:hAnsi="Times New Roman;serif"/>
          <w:b/>
          <w:color w:val="000000"/>
          <w:sz w:val="20"/>
        </w:rPr>
        <w:t>(an)</w:t>
      </w:r>
      <w:r>
        <w:rPr>
          <w:color w:val="000000"/>
        </w:rPr>
        <w:t>“</w:t>
      </w:r>
      <w:r>
        <w:rPr>
          <w:rFonts w:ascii="Times New Roman;serif" w:hAnsi="Times New Roman;serif"/>
          <w:b/>
          <w:i/>
          <w:color w:val="000000"/>
          <w:sz w:val="20"/>
        </w:rPr>
        <w:t>Nonstatutory Stock Option</w:t>
      </w:r>
      <w:r>
        <w:rPr>
          <w:color w:val="000000"/>
        </w:rPr>
        <w:t xml:space="preserve">” </w:t>
      </w:r>
      <w:r>
        <w:rPr>
          <w:rFonts w:ascii="Times New Roman;serif" w:hAnsi="Times New Roman;serif"/>
          <w:b w:val="false"/>
          <w:color w:val="000000"/>
          <w:sz w:val="20"/>
        </w:rPr>
        <w:t>means any option granted pursuant to Section 4 of the Plan that does not qualify as an Incentive Stock Option.</w:t>
      </w:r>
    </w:p>
    <w:p>
      <w:pPr>
        <w:pStyle w:val="TextBody"/>
        <w:bidi w:val="0"/>
        <w:spacing w:lineRule="auto" w:line="240" w:before="0" w:after="240"/>
        <w:ind w:left="0" w:right="0" w:firstLine="720"/>
        <w:jc w:val="both"/>
        <w:rPr/>
      </w:pPr>
      <w:r>
        <w:rPr>
          <w:rFonts w:ascii="Times New Roman;serif" w:hAnsi="Times New Roman;serif"/>
          <w:b/>
          <w:color w:val="000000"/>
          <w:sz w:val="20"/>
        </w:rPr>
        <w:t>(ao)</w:t>
      </w:r>
      <w:r>
        <w:rPr>
          <w:color w:val="000000"/>
        </w:rPr>
        <w:t>“</w:t>
      </w:r>
      <w:r>
        <w:rPr>
          <w:rFonts w:ascii="Times New Roman;serif" w:hAnsi="Times New Roman;serif"/>
          <w:b/>
          <w:i/>
          <w:color w:val="000000"/>
          <w:sz w:val="20"/>
        </w:rPr>
        <w:t>Officer</w:t>
      </w:r>
      <w:r>
        <w:rPr>
          <w:color w:val="000000"/>
        </w:rPr>
        <w:t xml:space="preserve">” </w:t>
      </w:r>
      <w:r>
        <w:rPr>
          <w:rFonts w:ascii="Times New Roman;serif" w:hAnsi="Times New Roman;serif"/>
          <w:b w:val="false"/>
          <w:color w:val="000000"/>
          <w:sz w:val="20"/>
        </w:rPr>
        <w:t>means a person who is an officer of the Company within the meaning of Section 16 of the Exchange Act.</w:t>
      </w:r>
    </w:p>
    <w:p>
      <w:pPr>
        <w:pStyle w:val="TextBody"/>
        <w:bidi w:val="0"/>
        <w:spacing w:lineRule="auto" w:line="240" w:before="0" w:after="240"/>
        <w:ind w:left="0" w:right="0" w:firstLine="720"/>
        <w:jc w:val="both"/>
        <w:rPr/>
      </w:pPr>
      <w:r>
        <w:rPr>
          <w:rFonts w:ascii="Times New Roman;serif" w:hAnsi="Times New Roman;serif"/>
          <w:b/>
          <w:color w:val="000000"/>
          <w:sz w:val="20"/>
        </w:rPr>
        <w:t>(ap)</w:t>
      </w:r>
      <w:r>
        <w:rPr>
          <w:color w:val="000000"/>
        </w:rPr>
        <w:t>“</w:t>
      </w:r>
      <w:r>
        <w:rPr>
          <w:rFonts w:ascii="Times New Roman;serif" w:hAnsi="Times New Roman;serif"/>
          <w:b/>
          <w:i/>
          <w:color w:val="000000"/>
          <w:sz w:val="20"/>
        </w:rPr>
        <w:t>Option</w:t>
      </w:r>
      <w:r>
        <w:rPr>
          <w:color w:val="000000"/>
        </w:rPr>
        <w:t xml:space="preserve">” </w:t>
      </w:r>
      <w:r>
        <w:rPr>
          <w:rFonts w:ascii="Times New Roman;serif" w:hAnsi="Times New Roman;serif"/>
          <w:b w:val="false"/>
          <w:color w:val="000000"/>
          <w:sz w:val="20"/>
        </w:rPr>
        <w:t>means an Incentive Stock Option or a Nonstatutory Stock Option to purchase shares of Class A Common Stock granted pursuant to the Plan.</w:t>
      </w:r>
    </w:p>
    <w:p>
      <w:pPr>
        <w:pStyle w:val="TextBody"/>
        <w:bidi w:val="0"/>
        <w:spacing w:lineRule="auto" w:line="240" w:before="0" w:after="240"/>
        <w:ind w:left="0" w:right="0" w:firstLine="720"/>
        <w:jc w:val="both"/>
        <w:rPr/>
      </w:pPr>
      <w:r>
        <w:rPr>
          <w:rFonts w:ascii="Times New Roman;serif" w:hAnsi="Times New Roman;serif"/>
          <w:b/>
          <w:color w:val="000000"/>
          <w:sz w:val="20"/>
        </w:rPr>
        <w:t>(aq)</w:t>
      </w:r>
      <w:r>
        <w:rPr>
          <w:color w:val="000000"/>
        </w:rPr>
        <w:t>“</w:t>
      </w:r>
      <w:r>
        <w:rPr>
          <w:rFonts w:ascii="Times New Roman;serif" w:hAnsi="Times New Roman;serif"/>
          <w:b/>
          <w:i/>
          <w:color w:val="000000"/>
          <w:sz w:val="20"/>
        </w:rPr>
        <w:t>Option Agreement</w:t>
      </w:r>
      <w:r>
        <w:rPr>
          <w:color w:val="000000"/>
        </w:rPr>
        <w:t xml:space="preserve">” </w:t>
      </w:r>
      <w:r>
        <w:rPr>
          <w:rFonts w:ascii="Times New Roman;serif" w:hAnsi="Times New Roman;serif"/>
          <w:b w:val="false"/>
          <w:color w:val="000000"/>
          <w:sz w:val="20"/>
        </w:rPr>
        <w:t>means a written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w:t>
      </w:r>
    </w:p>
    <w:p>
      <w:pPr>
        <w:pStyle w:val="TextBody"/>
        <w:bidi w:val="0"/>
        <w:spacing w:lineRule="auto" w:line="240" w:before="0" w:after="240"/>
        <w:ind w:left="0" w:right="0" w:firstLine="720"/>
        <w:jc w:val="both"/>
        <w:rPr/>
      </w:pPr>
      <w:r>
        <w:rPr>
          <w:rFonts w:ascii="Times New Roman;serif" w:hAnsi="Times New Roman;serif"/>
          <w:b/>
          <w:color w:val="000000"/>
          <w:sz w:val="20"/>
        </w:rPr>
        <w:t>(ar)</w:t>
      </w:r>
      <w:r>
        <w:rPr>
          <w:color w:val="000000"/>
        </w:rPr>
        <w:t>“</w:t>
      </w:r>
      <w:r>
        <w:rPr>
          <w:rFonts w:ascii="Times New Roman;serif" w:hAnsi="Times New Roman;serif"/>
          <w:b/>
          <w:i/>
          <w:color w:val="000000"/>
          <w:sz w:val="20"/>
        </w:rPr>
        <w:t>Optionholder</w:t>
      </w:r>
      <w:r>
        <w:rPr>
          <w:color w:val="000000"/>
        </w:rPr>
        <w:t xml:space="preserve">” </w:t>
      </w:r>
      <w:r>
        <w:rPr>
          <w:rFonts w:ascii="Times New Roman;serif" w:hAnsi="Times New Roman;serif"/>
          <w:b w:val="false"/>
          <w:color w:val="000000"/>
          <w:sz w:val="20"/>
        </w:rPr>
        <w:t>means a person to whom an Option is granted pursuant to the Plan or, if applicable, such other person who holds an outstanding Option.</w:t>
      </w:r>
    </w:p>
    <w:p>
      <w:pPr>
        <w:pStyle w:val="TextBody"/>
        <w:bidi w:val="0"/>
        <w:spacing w:lineRule="auto" w:line="240" w:before="0" w:after="240"/>
        <w:ind w:left="0" w:right="0" w:firstLine="720"/>
        <w:jc w:val="both"/>
        <w:rPr/>
      </w:pPr>
      <w:r>
        <w:rPr>
          <w:rFonts w:ascii="Times New Roman;serif" w:hAnsi="Times New Roman;serif"/>
          <w:b/>
          <w:color w:val="000000"/>
          <w:sz w:val="20"/>
        </w:rPr>
        <w:t>(as)</w:t>
      </w:r>
      <w:r>
        <w:rPr>
          <w:color w:val="000000"/>
        </w:rPr>
        <w:t>“</w:t>
      </w:r>
      <w:r>
        <w:rPr>
          <w:rFonts w:ascii="Times New Roman;serif" w:hAnsi="Times New Roman;serif"/>
          <w:b/>
          <w:i/>
          <w:color w:val="000000"/>
          <w:sz w:val="20"/>
        </w:rPr>
        <w:t>Other Award</w:t>
      </w:r>
      <w:r>
        <w:rPr>
          <w:color w:val="000000"/>
        </w:rPr>
        <w:t xml:space="preserve">” </w:t>
      </w:r>
      <w:r>
        <w:rPr>
          <w:rFonts w:ascii="Times New Roman;serif" w:hAnsi="Times New Roman;serif"/>
          <w:b w:val="false"/>
          <w:color w:val="000000"/>
          <w:sz w:val="20"/>
        </w:rPr>
        <w:t>means an award valued in whole or in part by reference to, or otherwise based on, Class A Common Stock, including the appreciation in value thereof (e.g., options or stock rights with an exercise price or strike price less than 100% of the Fair Market Value at the time of grant) that is not an Incentive Stock Options, Nonstatutory Stock Option, SAR, Restricted Stock Award, RSU Award or Performance Award.</w:t>
      </w:r>
    </w:p>
    <w:p>
      <w:pPr>
        <w:pStyle w:val="TextBody"/>
        <w:bidi w:val="0"/>
        <w:spacing w:lineRule="auto" w:line="240" w:before="0" w:after="240"/>
        <w:ind w:left="0" w:right="0" w:firstLine="720"/>
        <w:jc w:val="both"/>
        <w:rPr/>
      </w:pPr>
      <w:r>
        <w:rPr>
          <w:rFonts w:ascii="Times New Roman;serif" w:hAnsi="Times New Roman;serif"/>
          <w:b/>
          <w:color w:val="000000"/>
          <w:sz w:val="20"/>
        </w:rPr>
        <w:t>(at)</w:t>
      </w:r>
      <w:r>
        <w:rPr>
          <w:color w:val="000000"/>
        </w:rPr>
        <w:t>“</w:t>
      </w:r>
      <w:r>
        <w:rPr>
          <w:rFonts w:ascii="Times New Roman;serif" w:hAnsi="Times New Roman;serif"/>
          <w:b/>
          <w:i/>
          <w:color w:val="000000"/>
          <w:sz w:val="20"/>
        </w:rPr>
        <w:t>Other Award Agreement</w:t>
      </w:r>
      <w:r>
        <w:rPr>
          <w:color w:val="000000"/>
        </w:rPr>
        <w:t xml:space="preserve">” </w:t>
      </w:r>
      <w:r>
        <w:rPr>
          <w:rFonts w:ascii="Times New Roman;serif" w:hAnsi="Times New Roman;serif"/>
          <w:b w:val="false"/>
          <w:color w:val="000000"/>
          <w:sz w:val="20"/>
        </w:rPr>
        <w:t>means a written agreement between the Company and a holder of an Other Award evidencing the terms and conditions of an Other Award grant. Each Other Award Agreement will be subject to the terms and conditions of the Plan.</w:t>
      </w:r>
    </w:p>
    <w:p>
      <w:pPr>
        <w:pStyle w:val="TextBody"/>
        <w:bidi w:val="0"/>
        <w:spacing w:lineRule="auto" w:line="240" w:before="0" w:after="240"/>
        <w:ind w:left="0" w:right="0" w:firstLine="720"/>
        <w:jc w:val="both"/>
        <w:rPr/>
      </w:pPr>
      <w:r>
        <w:rPr>
          <w:rFonts w:ascii="Times New Roman;serif" w:hAnsi="Times New Roman;serif"/>
          <w:b/>
          <w:color w:val="000000"/>
          <w:sz w:val="20"/>
        </w:rPr>
        <w:t>(au)</w:t>
      </w:r>
      <w:r>
        <w:rPr>
          <w:color w:val="000000"/>
        </w:rPr>
        <w:t>“</w:t>
      </w:r>
      <w:r>
        <w:rPr>
          <w:rFonts w:ascii="Times New Roman;serif" w:hAnsi="Times New Roman;serif"/>
          <w:b/>
          <w:i/>
          <w:color w:val="000000"/>
          <w:sz w:val="20"/>
        </w:rPr>
        <w:t>Own,</w:t>
      </w:r>
      <w:r>
        <w:rPr>
          <w:color w:val="000000"/>
        </w:rPr>
        <w:t>” “</w:t>
      </w:r>
      <w:r>
        <w:rPr>
          <w:rFonts w:ascii="Times New Roman;serif" w:hAnsi="Times New Roman;serif"/>
          <w:b/>
          <w:i/>
          <w:color w:val="000000"/>
          <w:sz w:val="20"/>
        </w:rPr>
        <w:t>Owned,</w:t>
      </w:r>
      <w:r>
        <w:rPr>
          <w:color w:val="000000"/>
        </w:rPr>
        <w:t>” “</w:t>
      </w:r>
      <w:r>
        <w:rPr>
          <w:rFonts w:ascii="Times New Roman;serif" w:hAnsi="Times New Roman;serif"/>
          <w:b/>
          <w:i/>
          <w:color w:val="000000"/>
          <w:sz w:val="20"/>
        </w:rPr>
        <w:t>Owner,</w:t>
      </w:r>
      <w:r>
        <w:rPr>
          <w:color w:val="000000"/>
        </w:rPr>
        <w:t>” “</w:t>
      </w:r>
      <w:r>
        <w:rPr>
          <w:rFonts w:ascii="Times New Roman;serif" w:hAnsi="Times New Roman;serif"/>
          <w:b/>
          <w:i/>
          <w:color w:val="000000"/>
          <w:sz w:val="20"/>
        </w:rPr>
        <w:t>Ownership</w:t>
      </w:r>
      <w:r>
        <w:rPr>
          <w:color w:val="000000"/>
        </w:rPr>
        <w:t xml:space="preserve">” </w:t>
      </w:r>
      <w:r>
        <w:rPr>
          <w:rFonts w:ascii="Times New Roman;serif" w:hAnsi="Times New Roman;serif"/>
          <w:b w:val="false"/>
          <w:color w:val="000000"/>
          <w:sz w:val="20"/>
        </w:rPr>
        <w:t>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pStyle w:val="TextBody"/>
        <w:bidi w:val="0"/>
        <w:spacing w:lineRule="auto" w:line="240" w:before="0" w:after="240"/>
        <w:ind w:left="0" w:right="0" w:firstLine="720"/>
        <w:jc w:val="both"/>
        <w:rPr/>
      </w:pPr>
      <w:r>
        <w:rPr>
          <w:rFonts w:ascii="Times New Roman;serif" w:hAnsi="Times New Roman;serif"/>
          <w:b/>
          <w:color w:val="000000"/>
          <w:sz w:val="20"/>
        </w:rPr>
        <w:t>(av)</w:t>
      </w:r>
      <w:r>
        <w:rPr>
          <w:color w:val="000000"/>
        </w:rPr>
        <w:t>“</w:t>
      </w:r>
      <w:r>
        <w:rPr>
          <w:rFonts w:ascii="Times New Roman;serif" w:hAnsi="Times New Roman;serif"/>
          <w:b/>
          <w:i/>
          <w:color w:val="000000"/>
          <w:sz w:val="20"/>
        </w:rPr>
        <w:t>Participant</w:t>
      </w:r>
      <w:r>
        <w:rPr>
          <w:color w:val="000000"/>
        </w:rPr>
        <w:t xml:space="preserve">” </w:t>
      </w:r>
      <w:r>
        <w:rPr>
          <w:rFonts w:ascii="Times New Roman;serif" w:hAnsi="Times New Roman;serif"/>
          <w:b w:val="false"/>
          <w:color w:val="000000"/>
          <w:sz w:val="20"/>
        </w:rPr>
        <w:t>means an Employee, Director or Consultant to whom an Award is granted pursuant to the Plan or, if applicable, such other person who holds an outstanding Award.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4"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color w:val="000000"/>
          <w:sz w:val="20"/>
        </w:rPr>
        <w:t>(aw)</w:t>
      </w:r>
      <w:r>
        <w:rPr>
          <w:color w:val="000000"/>
        </w:rPr>
        <w:t>“</w:t>
      </w:r>
      <w:r>
        <w:rPr>
          <w:rFonts w:ascii="Times New Roman;serif" w:hAnsi="Times New Roman;serif"/>
          <w:b/>
          <w:i/>
          <w:color w:val="000000"/>
          <w:sz w:val="20"/>
        </w:rPr>
        <w:t>Performance Award</w:t>
      </w:r>
      <w:r>
        <w:rPr>
          <w:color w:val="000000"/>
        </w:rPr>
        <w:t xml:space="preserve">” </w:t>
      </w:r>
      <w:r>
        <w:rPr>
          <w:rFonts w:ascii="Times New Roman;serif" w:hAnsi="Times New Roman;serif"/>
          <w:b w:val="false"/>
          <w:color w:val="000000"/>
          <w:sz w:val="20"/>
        </w:rPr>
        <w:t>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Class A Common Stock.</w:t>
      </w:r>
    </w:p>
    <w:p>
      <w:pPr>
        <w:pStyle w:val="TextBody"/>
        <w:bidi w:val="0"/>
        <w:spacing w:lineRule="auto" w:line="240" w:before="0" w:after="240"/>
        <w:ind w:left="0" w:right="0" w:firstLine="720"/>
        <w:jc w:val="both"/>
        <w:rPr/>
      </w:pPr>
      <w:r>
        <w:rPr>
          <w:rFonts w:ascii="Times New Roman;serif" w:hAnsi="Times New Roman;serif"/>
          <w:b/>
          <w:color w:val="000000"/>
          <w:sz w:val="20"/>
        </w:rPr>
        <w:t>(ax)</w:t>
      </w:r>
      <w:r>
        <w:rPr>
          <w:color w:val="000000"/>
        </w:rPr>
        <w:t>“</w:t>
      </w:r>
      <w:r>
        <w:rPr>
          <w:rFonts w:ascii="Times New Roman;serif" w:hAnsi="Times New Roman;serif"/>
          <w:b/>
          <w:i/>
          <w:color w:val="000000"/>
          <w:sz w:val="20"/>
        </w:rPr>
        <w:t>Performance Criteria</w:t>
      </w:r>
      <w:r>
        <w:rPr>
          <w:color w:val="000000"/>
        </w:rPr>
        <w:t xml:space="preserve">” </w:t>
      </w:r>
      <w:r>
        <w:rPr>
          <w:rFonts w:ascii="Times New Roman;serif" w:hAnsi="Times New Roman;serif"/>
          <w:b w:val="false"/>
          <w:color w:val="000000"/>
          <w:sz w:val="20"/>
        </w:rPr>
        <w:t>means the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w:t>
      </w:r>
    </w:p>
    <w:p>
      <w:pPr>
        <w:pStyle w:val="TextBody"/>
        <w:bidi w:val="0"/>
        <w:spacing w:lineRule="auto" w:line="240" w:before="0" w:after="240"/>
        <w:ind w:left="0" w:right="0" w:firstLine="720"/>
        <w:jc w:val="both"/>
        <w:rPr/>
      </w:pPr>
      <w:r>
        <w:rPr>
          <w:rFonts w:ascii="Times New Roman;serif" w:hAnsi="Times New Roman;serif"/>
          <w:b/>
          <w:color w:val="000000"/>
          <w:sz w:val="20"/>
        </w:rPr>
        <w:t>(ay)</w:t>
      </w:r>
      <w:r>
        <w:rPr>
          <w:color w:val="000000"/>
        </w:rPr>
        <w:t>“</w:t>
      </w:r>
      <w:r>
        <w:rPr>
          <w:rFonts w:ascii="Times New Roman;serif" w:hAnsi="Times New Roman;serif"/>
          <w:b/>
          <w:i/>
          <w:color w:val="000000"/>
          <w:sz w:val="20"/>
        </w:rPr>
        <w:t>Performance Goals</w:t>
      </w:r>
      <w:r>
        <w:rPr>
          <w:color w:val="000000"/>
        </w:rPr>
        <w:t xml:space="preserve">” </w:t>
      </w:r>
      <w:r>
        <w:rPr>
          <w:rFonts w:ascii="Times New Roman;serif" w:hAnsi="Times New Roman;serif"/>
          <w:b w:val="false"/>
          <w:color w:val="000000"/>
          <w:sz w:val="20"/>
        </w:rPr>
        <w:t>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Capital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expensed under generally accepted accounting principles; and (11) to exclude the goodwill and intangible asset impairment charges that are required to be recorded under generally accepted accounting principles.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pStyle w:val="TextBody"/>
        <w:bidi w:val="0"/>
        <w:spacing w:lineRule="auto" w:line="240" w:before="0" w:after="240"/>
        <w:ind w:left="0" w:right="0" w:firstLine="720"/>
        <w:jc w:val="both"/>
        <w:rPr/>
      </w:pPr>
      <w:r>
        <w:rPr>
          <w:rFonts w:ascii="Times New Roman;serif" w:hAnsi="Times New Roman;serif"/>
          <w:b/>
          <w:color w:val="000000"/>
          <w:sz w:val="20"/>
        </w:rPr>
        <w:t>(az)</w:t>
      </w:r>
      <w:r>
        <w:rPr>
          <w:color w:val="000000"/>
        </w:rPr>
        <w:t>“</w:t>
      </w:r>
      <w:r>
        <w:rPr>
          <w:rFonts w:ascii="Times New Roman;serif" w:hAnsi="Times New Roman;serif"/>
          <w:b/>
          <w:i/>
          <w:color w:val="000000"/>
          <w:sz w:val="20"/>
        </w:rPr>
        <w:t>Performance Period</w:t>
      </w:r>
      <w:r>
        <w:rPr>
          <w:color w:val="000000"/>
        </w:rPr>
        <w:t xml:space="preserve">” </w:t>
      </w:r>
      <w:r>
        <w:rPr>
          <w:rFonts w:ascii="Times New Roman;serif" w:hAnsi="Times New Roman;serif"/>
          <w:b w:val="false"/>
          <w:color w:val="000000"/>
          <w:sz w:val="20"/>
        </w:rPr>
        <w:t>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pStyle w:val="TextBody"/>
        <w:bidi w:val="0"/>
        <w:spacing w:lineRule="auto" w:line="240" w:before="0" w:after="240"/>
        <w:ind w:left="0" w:right="0" w:firstLine="720"/>
        <w:jc w:val="both"/>
        <w:rPr/>
      </w:pPr>
      <w:r>
        <w:rPr>
          <w:rFonts w:ascii="Times New Roman;serif" w:hAnsi="Times New Roman;serif"/>
          <w:b/>
          <w:color w:val="000000"/>
          <w:sz w:val="20"/>
        </w:rPr>
        <w:t>(ba)</w:t>
      </w:r>
      <w:r>
        <w:rPr>
          <w:color w:val="000000"/>
        </w:rPr>
        <w:t>“</w:t>
      </w:r>
      <w:r>
        <w:rPr>
          <w:rFonts w:ascii="Times New Roman;serif" w:hAnsi="Times New Roman;serif"/>
          <w:b/>
          <w:i/>
          <w:color w:val="000000"/>
          <w:sz w:val="20"/>
        </w:rPr>
        <w:t>Plan</w:t>
      </w:r>
      <w:r>
        <w:rPr>
          <w:color w:val="000000"/>
        </w:rPr>
        <w:t xml:space="preserve">” </w:t>
      </w:r>
      <w:r>
        <w:rPr>
          <w:rFonts w:ascii="Times New Roman;serif" w:hAnsi="Times New Roman;serif"/>
          <w:b w:val="false"/>
          <w:color w:val="000000"/>
          <w:sz w:val="20"/>
        </w:rPr>
        <w:t>means this C3.ai, Inc. 2020 Equity Incentive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5"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color w:val="000000"/>
          <w:sz w:val="20"/>
        </w:rPr>
        <w:t>(bb)</w:t>
      </w:r>
      <w:r>
        <w:rPr>
          <w:color w:val="000000"/>
        </w:rPr>
        <w:t>“</w:t>
      </w:r>
      <w:r>
        <w:rPr>
          <w:rFonts w:ascii="Times New Roman;serif" w:hAnsi="Times New Roman;serif"/>
          <w:b/>
          <w:i/>
          <w:color w:val="000000"/>
          <w:sz w:val="20"/>
        </w:rPr>
        <w:t>Plan Administrator</w:t>
      </w:r>
      <w:r>
        <w:rPr>
          <w:color w:val="000000"/>
        </w:rPr>
        <w:t xml:space="preserve">” </w:t>
      </w:r>
      <w:r>
        <w:rPr>
          <w:rFonts w:ascii="Times New Roman;serif" w:hAnsi="Times New Roman;serif"/>
          <w:b w:val="false"/>
          <w:color w:val="000000"/>
          <w:sz w:val="20"/>
        </w:rPr>
        <w:t>means the person, persons, and/or third-party administrator designated by the Company to administer the day to day operations of the Plan and the Company’s other equity incentive programs.</w:t>
      </w:r>
    </w:p>
    <w:p>
      <w:pPr>
        <w:pStyle w:val="TextBody"/>
        <w:bidi w:val="0"/>
        <w:spacing w:lineRule="auto" w:line="240" w:before="0" w:after="240"/>
        <w:ind w:left="0" w:right="0" w:firstLine="720"/>
        <w:jc w:val="both"/>
        <w:rPr/>
      </w:pPr>
      <w:r>
        <w:rPr>
          <w:rFonts w:ascii="Times New Roman;serif" w:hAnsi="Times New Roman;serif"/>
          <w:b/>
          <w:color w:val="000000"/>
          <w:sz w:val="20"/>
        </w:rPr>
        <w:t>(bc)</w:t>
      </w:r>
      <w:r>
        <w:rPr>
          <w:color w:val="000000"/>
        </w:rPr>
        <w:t>“</w:t>
      </w:r>
      <w:r>
        <w:rPr>
          <w:rFonts w:ascii="Times New Roman;serif" w:hAnsi="Times New Roman;serif"/>
          <w:b/>
          <w:i/>
          <w:color w:val="000000"/>
          <w:sz w:val="20"/>
        </w:rPr>
        <w:t>Post-Termination Exercise Period</w:t>
      </w:r>
      <w:r>
        <w:rPr>
          <w:color w:val="000000"/>
        </w:rPr>
        <w:t xml:space="preserve">” </w:t>
      </w:r>
      <w:r>
        <w:rPr>
          <w:rFonts w:ascii="Times New Roman;serif" w:hAnsi="Times New Roman;serif"/>
          <w:b w:val="false"/>
          <w:color w:val="000000"/>
          <w:sz w:val="20"/>
        </w:rPr>
        <w:t>means the period following termination of a Participant’s Continuous Service within which an Option or SAR is exercisable, as specified in Section 4(h).</w:t>
      </w:r>
    </w:p>
    <w:p>
      <w:pPr>
        <w:pStyle w:val="TextBody"/>
        <w:bidi w:val="0"/>
        <w:spacing w:lineRule="auto" w:line="240" w:before="0" w:after="240"/>
        <w:ind w:left="0" w:right="0" w:firstLine="720"/>
        <w:jc w:val="both"/>
        <w:rPr/>
      </w:pPr>
      <w:r>
        <w:rPr>
          <w:rFonts w:ascii="Times New Roman;serif" w:hAnsi="Times New Roman;serif"/>
          <w:b/>
          <w:color w:val="000000"/>
          <w:sz w:val="20"/>
        </w:rPr>
        <w:t>(bd)</w:t>
      </w:r>
      <w:r>
        <w:rPr>
          <w:color w:val="000000"/>
        </w:rPr>
        <w:t>“</w:t>
      </w:r>
      <w:r>
        <w:rPr>
          <w:rFonts w:ascii="Times New Roman;serif" w:hAnsi="Times New Roman;serif"/>
          <w:b/>
          <w:i/>
          <w:color w:val="000000"/>
          <w:sz w:val="20"/>
        </w:rPr>
        <w:t>Prior Plan’s Available Reserve</w:t>
      </w:r>
      <w:r>
        <w:rPr>
          <w:color w:val="000000"/>
        </w:rPr>
        <w:t xml:space="preserve">” </w:t>
      </w:r>
      <w:r>
        <w:rPr>
          <w:rFonts w:ascii="Times New Roman;serif" w:hAnsi="Times New Roman;serif"/>
          <w:b w:val="false"/>
          <w:color w:val="000000"/>
          <w:sz w:val="20"/>
        </w:rPr>
        <w:t>means the number of shares available for the grant of new awards under the Prior Plan as of immediately prior to the Effective Date.</w:t>
      </w:r>
    </w:p>
    <w:p>
      <w:pPr>
        <w:pStyle w:val="TextBody"/>
        <w:bidi w:val="0"/>
        <w:spacing w:lineRule="auto" w:line="240" w:before="0" w:after="240"/>
        <w:ind w:left="0" w:right="0" w:firstLine="720"/>
        <w:jc w:val="both"/>
        <w:rPr/>
      </w:pPr>
      <w:r>
        <w:rPr>
          <w:rFonts w:ascii="Times New Roman;serif" w:hAnsi="Times New Roman;serif"/>
          <w:b/>
          <w:color w:val="000000"/>
          <w:sz w:val="20"/>
        </w:rPr>
        <w:t>(be)</w:t>
      </w:r>
      <w:r>
        <w:rPr>
          <w:color w:val="000000"/>
        </w:rPr>
        <w:t>“</w:t>
      </w:r>
      <w:r>
        <w:rPr>
          <w:rFonts w:ascii="Times New Roman;serif" w:hAnsi="Times New Roman;serif"/>
          <w:b/>
          <w:i/>
          <w:color w:val="000000"/>
          <w:sz w:val="20"/>
        </w:rPr>
        <w:t>Prior Plan</w:t>
      </w:r>
      <w:r>
        <w:rPr>
          <w:color w:val="000000"/>
        </w:rPr>
        <w:t xml:space="preserve">” </w:t>
      </w:r>
      <w:r>
        <w:rPr>
          <w:rFonts w:ascii="Times New Roman;serif" w:hAnsi="Times New Roman;serif"/>
          <w:b w:val="false"/>
          <w:color w:val="000000"/>
          <w:sz w:val="20"/>
        </w:rPr>
        <w:t>means the Amended and Restated 2012 Equity Incentive Plan.</w:t>
      </w:r>
    </w:p>
    <w:p>
      <w:pPr>
        <w:pStyle w:val="TextBody"/>
        <w:bidi w:val="0"/>
        <w:spacing w:lineRule="auto" w:line="240" w:before="0" w:after="240"/>
        <w:ind w:left="0" w:right="0" w:firstLine="720"/>
        <w:jc w:val="both"/>
        <w:rPr/>
      </w:pPr>
      <w:r>
        <w:rPr>
          <w:rFonts w:ascii="Times New Roman;serif" w:hAnsi="Times New Roman;serif"/>
          <w:b/>
          <w:color w:val="000000"/>
          <w:sz w:val="20"/>
        </w:rPr>
        <w:t>(bf)</w:t>
      </w:r>
      <w:r>
        <w:rPr>
          <w:color w:val="000000"/>
        </w:rPr>
        <w:t>“</w:t>
      </w:r>
      <w:r>
        <w:rPr>
          <w:rFonts w:ascii="Times New Roman;serif" w:hAnsi="Times New Roman;serif"/>
          <w:b/>
          <w:i/>
          <w:color w:val="000000"/>
          <w:sz w:val="20"/>
        </w:rPr>
        <w:t>Prospectus</w:t>
      </w:r>
      <w:r>
        <w:rPr>
          <w:color w:val="000000"/>
        </w:rPr>
        <w:t xml:space="preserve">” </w:t>
      </w:r>
      <w:r>
        <w:rPr>
          <w:rFonts w:ascii="Times New Roman;serif" w:hAnsi="Times New Roman;serif"/>
          <w:b w:val="false"/>
          <w:color w:val="000000"/>
          <w:sz w:val="20"/>
        </w:rPr>
        <w:t>means the document containing the Plan information specified in Section 10(a) of the Securities Act.</w:t>
      </w:r>
    </w:p>
    <w:p>
      <w:pPr>
        <w:pStyle w:val="TextBody"/>
        <w:bidi w:val="0"/>
        <w:spacing w:lineRule="auto" w:line="240" w:before="0" w:after="240"/>
        <w:ind w:left="0" w:right="0" w:firstLine="720"/>
        <w:jc w:val="both"/>
        <w:rPr/>
      </w:pPr>
      <w:r>
        <w:rPr>
          <w:rFonts w:ascii="Times New Roman;serif" w:hAnsi="Times New Roman;serif"/>
          <w:b/>
          <w:color w:val="000000"/>
          <w:sz w:val="20"/>
        </w:rPr>
        <w:t>(bg)</w:t>
      </w:r>
      <w:r>
        <w:rPr>
          <w:color w:val="000000"/>
        </w:rPr>
        <w:t>“</w:t>
      </w:r>
      <w:r>
        <w:rPr>
          <w:rFonts w:ascii="Times New Roman;serif" w:hAnsi="Times New Roman;serif"/>
          <w:b/>
          <w:i/>
          <w:color w:val="000000"/>
          <w:sz w:val="20"/>
        </w:rPr>
        <w:t>Restricted Stock Award</w:t>
      </w:r>
      <w:r>
        <w:rPr>
          <w:color w:val="000000"/>
        </w:rPr>
        <w:t xml:space="preserve">” </w:t>
      </w:r>
      <w:r>
        <w:rPr>
          <w:rFonts w:ascii="Times New Roman;serif" w:hAnsi="Times New Roman;serif"/>
          <w:b w:val="false"/>
          <w:color w:val="000000"/>
          <w:sz w:val="20"/>
        </w:rPr>
        <w:t>or “</w:t>
      </w:r>
      <w:r>
        <w:rPr>
          <w:rFonts w:ascii="Times New Roman;serif" w:hAnsi="Times New Roman;serif"/>
          <w:b/>
          <w:i/>
          <w:color w:val="000000"/>
          <w:sz w:val="20"/>
        </w:rPr>
        <w:t>RSA</w:t>
      </w:r>
      <w:r>
        <w:rPr>
          <w:color w:val="000000"/>
        </w:rPr>
        <w:t xml:space="preserve">” </w:t>
      </w:r>
      <w:r>
        <w:rPr>
          <w:rFonts w:ascii="Times New Roman;serif" w:hAnsi="Times New Roman;serif"/>
          <w:b w:val="false"/>
          <w:color w:val="000000"/>
          <w:sz w:val="20"/>
        </w:rPr>
        <w:t>means an Award of shares of Class A Common Stock which is granted pursuant to the terms and conditions of Section 5(a).</w:t>
      </w:r>
    </w:p>
    <w:p>
      <w:pPr>
        <w:pStyle w:val="TextBody"/>
        <w:bidi w:val="0"/>
        <w:spacing w:lineRule="auto" w:line="240" w:before="0" w:after="240"/>
        <w:ind w:left="0" w:right="0" w:firstLine="720"/>
        <w:jc w:val="both"/>
        <w:rPr/>
      </w:pPr>
      <w:r>
        <w:rPr>
          <w:rFonts w:ascii="Times New Roman;serif" w:hAnsi="Times New Roman;serif"/>
          <w:b/>
          <w:color w:val="000000"/>
          <w:sz w:val="20"/>
        </w:rPr>
        <w:t>(bh)</w:t>
      </w:r>
      <w:r>
        <w:rPr>
          <w:color w:val="000000"/>
        </w:rPr>
        <w:t>“</w:t>
      </w:r>
      <w:r>
        <w:rPr>
          <w:rFonts w:ascii="Times New Roman;serif" w:hAnsi="Times New Roman;serif"/>
          <w:b/>
          <w:i/>
          <w:color w:val="000000"/>
          <w:sz w:val="20"/>
        </w:rPr>
        <w:t>Restricted Stock Award Agreement</w:t>
      </w:r>
      <w:r>
        <w:rPr>
          <w:color w:val="000000"/>
        </w:rPr>
        <w:t xml:space="preserve">” </w:t>
      </w:r>
      <w:r>
        <w:rPr>
          <w:rFonts w:ascii="Times New Roman;serif" w:hAnsi="Times New Roman;serif"/>
          <w:b w:val="false"/>
          <w:color w:val="000000"/>
          <w:sz w:val="20"/>
        </w:rPr>
        <w:t>means a written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w:t>
      </w:r>
    </w:p>
    <w:p>
      <w:pPr>
        <w:pStyle w:val="TextBody"/>
        <w:bidi w:val="0"/>
        <w:spacing w:lineRule="auto" w:line="240" w:before="0" w:after="240"/>
        <w:ind w:left="0" w:right="0" w:firstLine="720"/>
        <w:jc w:val="both"/>
        <w:rPr/>
      </w:pPr>
      <w:r>
        <w:rPr>
          <w:rFonts w:ascii="Times New Roman;serif" w:hAnsi="Times New Roman;serif"/>
          <w:b/>
          <w:color w:val="000000"/>
          <w:sz w:val="20"/>
        </w:rPr>
        <w:t>(bi)</w:t>
      </w:r>
      <w:r>
        <w:rPr>
          <w:color w:val="000000"/>
        </w:rPr>
        <w:t>“</w:t>
      </w:r>
      <w:r>
        <w:rPr>
          <w:rFonts w:ascii="Times New Roman;serif" w:hAnsi="Times New Roman;serif"/>
          <w:b/>
          <w:i/>
          <w:color w:val="000000"/>
          <w:sz w:val="20"/>
        </w:rPr>
        <w:t>Returning Shares</w:t>
      </w:r>
      <w:r>
        <w:rPr>
          <w:color w:val="000000"/>
        </w:rPr>
        <w:t xml:space="preserve">” </w:t>
      </w:r>
      <w:r>
        <w:rPr>
          <w:rFonts w:ascii="Times New Roman;serif" w:hAnsi="Times New Roman;serif"/>
          <w:b w:val="false"/>
          <w:color w:val="000000"/>
          <w:sz w:val="20"/>
        </w:rPr>
        <w:t>means shares subject to outstanding stock awards granted under the Prior Plan and that following the Effective 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 provided, however, that any such shares that are shares of Class B Common Stock shall instead be added to the Share Reserve as shares of Class A Common Stock as described in Section 2(a).</w:t>
      </w:r>
    </w:p>
    <w:p>
      <w:pPr>
        <w:pStyle w:val="TextBody"/>
        <w:bidi w:val="0"/>
        <w:spacing w:lineRule="auto" w:line="240" w:before="0" w:after="240"/>
        <w:ind w:left="0" w:right="0" w:firstLine="720"/>
        <w:jc w:val="both"/>
        <w:rPr/>
      </w:pPr>
      <w:r>
        <w:rPr>
          <w:rFonts w:ascii="Times New Roman;serif" w:hAnsi="Times New Roman;serif"/>
          <w:b/>
          <w:color w:val="000000"/>
          <w:sz w:val="20"/>
        </w:rPr>
        <w:t>(bj)</w:t>
      </w:r>
      <w:r>
        <w:rPr>
          <w:color w:val="000000"/>
        </w:rPr>
        <w:t>“</w:t>
      </w:r>
      <w:r>
        <w:rPr>
          <w:rFonts w:ascii="Times New Roman;serif" w:hAnsi="Times New Roman;serif"/>
          <w:b/>
          <w:i/>
          <w:color w:val="000000"/>
          <w:sz w:val="20"/>
        </w:rPr>
        <w:t>RSU Award</w:t>
      </w:r>
      <w:r>
        <w:rPr>
          <w:color w:val="000000"/>
        </w:rPr>
        <w:t xml:space="preserve">” </w:t>
      </w:r>
      <w:r>
        <w:rPr>
          <w:rFonts w:ascii="Times New Roman;serif" w:hAnsi="Times New Roman;serif"/>
          <w:b w:val="false"/>
          <w:color w:val="000000"/>
          <w:sz w:val="20"/>
        </w:rPr>
        <w:t>or “</w:t>
      </w:r>
      <w:r>
        <w:rPr>
          <w:rFonts w:ascii="Times New Roman;serif" w:hAnsi="Times New Roman;serif"/>
          <w:b/>
          <w:i/>
          <w:color w:val="000000"/>
          <w:sz w:val="20"/>
        </w:rPr>
        <w:t>RSU</w:t>
      </w:r>
      <w:r>
        <w:rPr>
          <w:color w:val="000000"/>
        </w:rPr>
        <w:t xml:space="preserve">” </w:t>
      </w:r>
      <w:r>
        <w:rPr>
          <w:rFonts w:ascii="Times New Roman;serif" w:hAnsi="Times New Roman;serif"/>
          <w:b w:val="false"/>
          <w:color w:val="000000"/>
          <w:sz w:val="20"/>
        </w:rPr>
        <w:t>means an Award of restricted stock units representing the right to receive an issuance of shares of Class A Common Stock which is granted pursuant to the terms and conditions of Section 5(a).</w:t>
      </w:r>
    </w:p>
    <w:p>
      <w:pPr>
        <w:pStyle w:val="TextBody"/>
        <w:bidi w:val="0"/>
        <w:spacing w:lineRule="auto" w:line="240" w:before="0" w:after="240"/>
        <w:ind w:left="0" w:right="0" w:firstLine="720"/>
        <w:jc w:val="both"/>
        <w:rPr/>
      </w:pPr>
      <w:r>
        <w:rPr>
          <w:rFonts w:ascii="Times New Roman;serif" w:hAnsi="Times New Roman;serif"/>
          <w:b/>
          <w:color w:val="000000"/>
          <w:sz w:val="20"/>
        </w:rPr>
        <w:t>(bk)</w:t>
      </w:r>
      <w:r>
        <w:rPr>
          <w:color w:val="000000"/>
        </w:rPr>
        <w:t>“</w:t>
      </w:r>
      <w:r>
        <w:rPr>
          <w:rFonts w:ascii="Times New Roman;serif" w:hAnsi="Times New Roman;serif"/>
          <w:b/>
          <w:i/>
          <w:color w:val="000000"/>
          <w:sz w:val="20"/>
        </w:rPr>
        <w:t>RSU Award Agreement</w:t>
      </w:r>
      <w:r>
        <w:rPr>
          <w:color w:val="000000"/>
        </w:rPr>
        <w:t xml:space="preserve">” </w:t>
      </w:r>
      <w:r>
        <w:rPr>
          <w:rFonts w:ascii="Times New Roman;serif" w:hAnsi="Times New Roman;serif"/>
          <w:b w:val="false"/>
          <w:color w:val="000000"/>
          <w:sz w:val="20"/>
        </w:rPr>
        <w:t>means a written agreement between the Company and a holder of a RSU Award evidencing the terms and conditions of a RSU Award.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w:t>
      </w:r>
    </w:p>
    <w:p>
      <w:pPr>
        <w:pStyle w:val="TextBody"/>
        <w:bidi w:val="0"/>
        <w:spacing w:lineRule="auto" w:line="240" w:before="0" w:after="240"/>
        <w:ind w:left="0" w:right="0" w:firstLine="720"/>
        <w:jc w:val="both"/>
        <w:rPr/>
      </w:pPr>
      <w:r>
        <w:rPr>
          <w:rFonts w:ascii="Times New Roman;serif" w:hAnsi="Times New Roman;serif"/>
          <w:b/>
          <w:color w:val="000000"/>
          <w:sz w:val="20"/>
        </w:rPr>
        <w:t>(bl)</w:t>
      </w:r>
      <w:r>
        <w:rPr>
          <w:color w:val="000000"/>
        </w:rPr>
        <w:t>“</w:t>
      </w:r>
      <w:r>
        <w:rPr>
          <w:rFonts w:ascii="Times New Roman;serif" w:hAnsi="Times New Roman;serif"/>
          <w:b/>
          <w:i/>
          <w:color w:val="000000"/>
          <w:sz w:val="20"/>
        </w:rPr>
        <w:t>Rule 16b-3</w:t>
      </w:r>
      <w:r>
        <w:rPr>
          <w:color w:val="000000"/>
        </w:rPr>
        <w:t xml:space="preserve">” </w:t>
      </w:r>
      <w:r>
        <w:rPr>
          <w:rFonts w:ascii="Times New Roman;serif" w:hAnsi="Times New Roman;serif"/>
          <w:b w:val="false"/>
          <w:color w:val="000000"/>
          <w:sz w:val="20"/>
        </w:rPr>
        <w:t>means Rule 16b-3 promulgated under the Exchange Act or any successor to Rule 16b-3, as in effect from time to time.</w:t>
      </w:r>
    </w:p>
    <w:p>
      <w:pPr>
        <w:pStyle w:val="TextBody"/>
        <w:bidi w:val="0"/>
        <w:spacing w:lineRule="auto" w:line="240" w:before="0" w:after="240"/>
        <w:ind w:left="0" w:right="0" w:firstLine="720"/>
        <w:jc w:val="both"/>
        <w:rPr/>
      </w:pPr>
      <w:r>
        <w:rPr>
          <w:rFonts w:ascii="Times New Roman;serif" w:hAnsi="Times New Roman;serif"/>
          <w:b/>
          <w:color w:val="000000"/>
          <w:sz w:val="20"/>
        </w:rPr>
        <w:t>(bm)</w:t>
      </w:r>
      <w:r>
        <w:rPr>
          <w:color w:val="000000"/>
        </w:rPr>
        <w:t>“</w:t>
      </w:r>
      <w:r>
        <w:rPr>
          <w:rFonts w:ascii="Times New Roman;serif" w:hAnsi="Times New Roman;serif"/>
          <w:b/>
          <w:i/>
          <w:color w:val="000000"/>
          <w:sz w:val="20"/>
        </w:rPr>
        <w:t>Rule 405</w:t>
      </w:r>
      <w:r>
        <w:rPr>
          <w:color w:val="000000"/>
        </w:rPr>
        <w:t xml:space="preserve">” </w:t>
      </w:r>
      <w:r>
        <w:rPr>
          <w:rFonts w:ascii="Times New Roman;serif" w:hAnsi="Times New Roman;serif"/>
          <w:b w:val="false"/>
          <w:color w:val="000000"/>
          <w:sz w:val="20"/>
        </w:rPr>
        <w:t>means Rule 405 promulgated under the Securities Act.</w:t>
      </w:r>
    </w:p>
    <w:p>
      <w:pPr>
        <w:pStyle w:val="TextBody"/>
        <w:bidi w:val="0"/>
        <w:spacing w:lineRule="auto" w:line="240" w:before="0" w:after="240"/>
        <w:ind w:left="0" w:right="0" w:firstLine="720"/>
        <w:jc w:val="both"/>
        <w:rPr/>
      </w:pPr>
      <w:r>
        <w:rPr>
          <w:rFonts w:ascii="Times New Roman;serif" w:hAnsi="Times New Roman;serif"/>
          <w:b/>
          <w:color w:val="000000"/>
          <w:sz w:val="20"/>
        </w:rPr>
        <w:t>(bn)</w:t>
      </w:r>
      <w:r>
        <w:rPr>
          <w:color w:val="000000"/>
        </w:rPr>
        <w:t>“</w:t>
      </w:r>
      <w:r>
        <w:rPr>
          <w:rFonts w:ascii="Times New Roman;serif" w:hAnsi="Times New Roman;serif"/>
          <w:b/>
          <w:i/>
          <w:color w:val="000000"/>
          <w:sz w:val="20"/>
        </w:rPr>
        <w:t>Section 409A</w:t>
      </w:r>
      <w:r>
        <w:rPr>
          <w:color w:val="000000"/>
        </w:rPr>
        <w:t xml:space="preserve">” </w:t>
      </w:r>
      <w:r>
        <w:rPr>
          <w:rFonts w:ascii="Times New Roman;serif" w:hAnsi="Times New Roman;serif"/>
          <w:b w:val="false"/>
          <w:color w:val="000000"/>
          <w:sz w:val="20"/>
        </w:rPr>
        <w:t>means Section 409A of the Code and the regulations and other guidance thereunder.</w:t>
      </w:r>
    </w:p>
    <w:p>
      <w:pPr>
        <w:pStyle w:val="TextBody"/>
        <w:bidi w:val="0"/>
        <w:spacing w:lineRule="auto" w:line="240" w:before="0" w:after="240"/>
        <w:ind w:left="0" w:right="0" w:firstLine="720"/>
        <w:jc w:val="both"/>
        <w:rPr/>
      </w:pPr>
      <w:r>
        <w:rPr>
          <w:rFonts w:ascii="Times New Roman;serif" w:hAnsi="Times New Roman;serif"/>
          <w:b/>
          <w:color w:val="000000"/>
          <w:sz w:val="20"/>
        </w:rPr>
        <w:t>(bo)</w:t>
      </w:r>
      <w:r>
        <w:rPr>
          <w:color w:val="000000"/>
        </w:rPr>
        <w:t>“</w:t>
      </w:r>
      <w:r>
        <w:rPr>
          <w:rFonts w:ascii="Times New Roman;serif" w:hAnsi="Times New Roman;serif"/>
          <w:b/>
          <w:i/>
          <w:color w:val="000000"/>
          <w:sz w:val="20"/>
        </w:rPr>
        <w:t>Section 409A Change in Control</w:t>
      </w:r>
      <w:r>
        <w:rPr>
          <w:color w:val="000000"/>
        </w:rPr>
        <w:t xml:space="preserve">” </w:t>
      </w:r>
      <w:r>
        <w:rPr>
          <w:rFonts w:ascii="Times New Roman;serif" w:hAnsi="Times New Roman;serif"/>
          <w:b w:val="false"/>
          <w:color w:val="000000"/>
          <w:sz w:val="20"/>
        </w:rPr>
        <w:t>means a change in the ownership or effective control of the Company, or in the ownership of a substantial portion of the Company’s assets, as provided in Section 409A(a)(2)(A)(v) of the Code and Treasury Regulations Section 1.409A-3(i)(5) (without regard to any alternative definition thereunder).</w:t>
      </w:r>
    </w:p>
    <w:p>
      <w:pPr>
        <w:pStyle w:val="TextBody"/>
        <w:bidi w:val="0"/>
        <w:spacing w:lineRule="auto" w:line="240" w:before="0" w:after="240"/>
        <w:ind w:left="0" w:right="0" w:firstLine="720"/>
        <w:jc w:val="both"/>
        <w:rPr/>
      </w:pPr>
      <w:r>
        <w:rPr>
          <w:rFonts w:ascii="Times New Roman;serif" w:hAnsi="Times New Roman;serif"/>
          <w:b/>
          <w:color w:val="000000"/>
          <w:sz w:val="20"/>
        </w:rPr>
        <w:t>(bp)</w:t>
      </w:r>
      <w:r>
        <w:rPr>
          <w:color w:val="000000"/>
        </w:rPr>
        <w:t>“</w:t>
      </w:r>
      <w:r>
        <w:rPr>
          <w:rFonts w:ascii="Times New Roman;serif" w:hAnsi="Times New Roman;serif"/>
          <w:b/>
          <w:i/>
          <w:color w:val="000000"/>
          <w:sz w:val="20"/>
        </w:rPr>
        <w:t>Securities Act</w:t>
      </w:r>
      <w:r>
        <w:rPr>
          <w:color w:val="000000"/>
        </w:rPr>
        <w:t xml:space="preserve">” </w:t>
      </w:r>
      <w:r>
        <w:rPr>
          <w:rFonts w:ascii="Times New Roman;serif" w:hAnsi="Times New Roman;serif"/>
          <w:b w:val="false"/>
          <w:color w:val="000000"/>
          <w:sz w:val="20"/>
        </w:rPr>
        <w:t>means the Securities Act of 1933, as amended.</w:t>
      </w:r>
    </w:p>
    <w:p>
      <w:pPr>
        <w:pStyle w:val="TextBody"/>
        <w:bidi w:val="0"/>
        <w:spacing w:lineRule="auto" w:line="240" w:before="0" w:after="240"/>
        <w:ind w:left="0" w:right="0" w:firstLine="720"/>
        <w:jc w:val="both"/>
        <w:rPr/>
      </w:pPr>
      <w:r>
        <w:rPr>
          <w:rFonts w:ascii="Times New Roman;serif" w:hAnsi="Times New Roman;serif"/>
          <w:b/>
          <w:color w:val="000000"/>
          <w:sz w:val="20"/>
        </w:rPr>
        <w:t>(bq)</w:t>
      </w:r>
      <w:r>
        <w:rPr>
          <w:color w:val="000000"/>
        </w:rPr>
        <w:t>“</w:t>
      </w:r>
      <w:r>
        <w:rPr>
          <w:rFonts w:ascii="Times New Roman;serif" w:hAnsi="Times New Roman;serif"/>
          <w:b/>
          <w:i/>
          <w:color w:val="000000"/>
          <w:sz w:val="20"/>
        </w:rPr>
        <w:t>Share Reserve</w:t>
      </w:r>
      <w:r>
        <w:rPr>
          <w:color w:val="000000"/>
        </w:rPr>
        <w:t xml:space="preserve">” </w:t>
      </w:r>
      <w:r>
        <w:rPr>
          <w:rFonts w:ascii="Times New Roman;serif" w:hAnsi="Times New Roman;serif"/>
          <w:b w:val="false"/>
          <w:color w:val="000000"/>
          <w:sz w:val="20"/>
        </w:rPr>
        <w:t>means the number of shares available for issuance under the Plan as set forth in Section 2(a).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6"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color w:val="000000"/>
          <w:sz w:val="20"/>
        </w:rPr>
        <w:t>(br)</w:t>
      </w:r>
      <w:r>
        <w:rPr>
          <w:color w:val="000000"/>
        </w:rPr>
        <w:t>“</w:t>
      </w:r>
      <w:r>
        <w:rPr>
          <w:rFonts w:ascii="Times New Roman;serif" w:hAnsi="Times New Roman;serif"/>
          <w:b/>
          <w:i/>
          <w:color w:val="000000"/>
          <w:sz w:val="20"/>
        </w:rPr>
        <w:t>Stock Appreciation Right</w:t>
      </w:r>
      <w:r>
        <w:rPr>
          <w:color w:val="000000"/>
        </w:rPr>
        <w:t xml:space="preserve">” </w:t>
      </w:r>
      <w:r>
        <w:rPr>
          <w:rFonts w:ascii="Times New Roman;serif" w:hAnsi="Times New Roman;serif"/>
          <w:b w:val="false"/>
          <w:color w:val="000000"/>
          <w:sz w:val="20"/>
        </w:rPr>
        <w:t>or “</w:t>
      </w:r>
      <w:r>
        <w:rPr>
          <w:rFonts w:ascii="Times New Roman;serif" w:hAnsi="Times New Roman;serif"/>
          <w:b/>
          <w:i/>
          <w:color w:val="000000"/>
          <w:sz w:val="20"/>
        </w:rPr>
        <w:t>SAR</w:t>
      </w:r>
      <w:r>
        <w:rPr>
          <w:color w:val="000000"/>
        </w:rPr>
        <w:t xml:space="preserve">” </w:t>
      </w:r>
      <w:r>
        <w:rPr>
          <w:rFonts w:ascii="Times New Roman;serif" w:hAnsi="Times New Roman;serif"/>
          <w:b w:val="false"/>
          <w:color w:val="000000"/>
          <w:sz w:val="20"/>
        </w:rPr>
        <w:t>means a right to receive the appreciation on Class A Common Stock that is granted pursuant to the terms and conditions of Section 4.</w:t>
      </w:r>
    </w:p>
    <w:p>
      <w:pPr>
        <w:pStyle w:val="TextBody"/>
        <w:bidi w:val="0"/>
        <w:spacing w:lineRule="auto" w:line="240" w:before="0" w:after="240"/>
        <w:ind w:left="0" w:right="0" w:firstLine="720"/>
        <w:jc w:val="both"/>
        <w:rPr/>
      </w:pPr>
      <w:r>
        <w:rPr>
          <w:rFonts w:ascii="Times New Roman;serif" w:hAnsi="Times New Roman;serif"/>
          <w:b/>
          <w:color w:val="000000"/>
          <w:sz w:val="20"/>
        </w:rPr>
        <w:t>(bs)</w:t>
      </w:r>
      <w:r>
        <w:rPr>
          <w:color w:val="000000"/>
        </w:rPr>
        <w:t>“</w:t>
      </w:r>
      <w:r>
        <w:rPr>
          <w:rFonts w:ascii="Times New Roman;serif" w:hAnsi="Times New Roman;serif"/>
          <w:b/>
          <w:i/>
          <w:color w:val="000000"/>
          <w:sz w:val="20"/>
        </w:rPr>
        <w:t>SAR Agreement</w:t>
      </w:r>
      <w:r>
        <w:rPr>
          <w:color w:val="000000"/>
        </w:rPr>
        <w:t xml:space="preserve">” </w:t>
      </w:r>
      <w:r>
        <w:rPr>
          <w:rFonts w:ascii="Times New Roman;serif" w:hAnsi="Times New Roman;serif"/>
          <w:b w:val="false"/>
          <w:color w:val="000000"/>
          <w:sz w:val="20"/>
        </w:rPr>
        <w:t>means a written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w:t>
      </w:r>
    </w:p>
    <w:p>
      <w:pPr>
        <w:pStyle w:val="TextBody"/>
        <w:bidi w:val="0"/>
        <w:spacing w:lineRule="auto" w:line="240" w:before="0" w:after="240"/>
        <w:ind w:left="0" w:right="0" w:firstLine="720"/>
        <w:jc w:val="both"/>
        <w:rPr/>
      </w:pPr>
      <w:r>
        <w:rPr>
          <w:rFonts w:ascii="Times New Roman;serif" w:hAnsi="Times New Roman;serif"/>
          <w:b/>
          <w:color w:val="000000"/>
          <w:sz w:val="20"/>
        </w:rPr>
        <w:t>(bt)</w:t>
      </w:r>
      <w:r>
        <w:rPr>
          <w:color w:val="000000"/>
        </w:rPr>
        <w:t>“</w:t>
      </w:r>
      <w:r>
        <w:rPr>
          <w:rFonts w:ascii="Times New Roman;serif" w:hAnsi="Times New Roman;serif"/>
          <w:b/>
          <w:i/>
          <w:color w:val="000000"/>
          <w:sz w:val="20"/>
        </w:rPr>
        <w:t>Subsidiary</w:t>
      </w:r>
      <w:r>
        <w:rPr>
          <w:color w:val="000000"/>
        </w:rPr>
        <w:t xml:space="preserve">” </w:t>
      </w:r>
      <w:r>
        <w:rPr>
          <w:rFonts w:ascii="Times New Roman;serif" w:hAnsi="Times New Roman;serif"/>
          <w:b w:val="false"/>
          <w:color w:val="000000"/>
          <w:sz w:val="20"/>
        </w:rPr>
        <w:t>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pStyle w:val="TextBody"/>
        <w:bidi w:val="0"/>
        <w:spacing w:lineRule="auto" w:line="240" w:before="0" w:after="240"/>
        <w:ind w:left="0" w:right="0" w:firstLine="720"/>
        <w:jc w:val="both"/>
        <w:rPr/>
      </w:pPr>
      <w:r>
        <w:rPr>
          <w:rFonts w:ascii="Times New Roman;serif" w:hAnsi="Times New Roman;serif"/>
          <w:b/>
          <w:color w:val="000000"/>
          <w:sz w:val="20"/>
        </w:rPr>
        <w:t>(bu)</w:t>
      </w:r>
      <w:r>
        <w:rPr>
          <w:color w:val="000000"/>
        </w:rPr>
        <w:t>“</w:t>
      </w:r>
      <w:r>
        <w:rPr>
          <w:rFonts w:ascii="Times New Roman;serif" w:hAnsi="Times New Roman;serif"/>
          <w:b/>
          <w:i/>
          <w:color w:val="000000"/>
          <w:sz w:val="20"/>
        </w:rPr>
        <w:t>Ten Percent Stockholder</w:t>
      </w:r>
      <w:r>
        <w:rPr>
          <w:color w:val="000000"/>
        </w:rPr>
        <w:t xml:space="preserve">” </w:t>
      </w:r>
      <w:r>
        <w:rPr>
          <w:rFonts w:ascii="Times New Roman;serif" w:hAnsi="Times New Roman;serif"/>
          <w:b w:val="false"/>
          <w:color w:val="000000"/>
          <w:sz w:val="20"/>
        </w:rPr>
        <w:t>means a person who Owns (or is deemed to Own pursuant to Section 424(d) of the Code) stock possessing more than 10% of the total combined voting power of all classes of stock of the Company or any Affiliate.</w:t>
      </w:r>
    </w:p>
    <w:p>
      <w:pPr>
        <w:pStyle w:val="TextBody"/>
        <w:bidi w:val="0"/>
        <w:spacing w:lineRule="auto" w:line="240" w:before="0" w:after="240"/>
        <w:ind w:left="0" w:right="0" w:firstLine="720"/>
        <w:jc w:val="both"/>
        <w:rPr/>
      </w:pPr>
      <w:r>
        <w:rPr>
          <w:rFonts w:ascii="Times New Roman;serif" w:hAnsi="Times New Roman;serif"/>
          <w:b/>
          <w:color w:val="000000"/>
          <w:sz w:val="20"/>
        </w:rPr>
        <w:t>(bv)</w:t>
      </w:r>
      <w:r>
        <w:rPr>
          <w:color w:val="000000"/>
        </w:rPr>
        <w:t>“</w:t>
      </w:r>
      <w:r>
        <w:rPr>
          <w:rFonts w:ascii="Times New Roman;serif" w:hAnsi="Times New Roman;serif"/>
          <w:b/>
          <w:i/>
          <w:color w:val="000000"/>
          <w:sz w:val="20"/>
        </w:rPr>
        <w:t>Trading Policy</w:t>
      </w:r>
      <w:r>
        <w:rPr>
          <w:color w:val="000000"/>
        </w:rPr>
        <w:t xml:space="preserve">” </w:t>
      </w:r>
      <w:r>
        <w:rPr>
          <w:rFonts w:ascii="Times New Roman;serif" w:hAnsi="Times New Roman;serif"/>
          <w:b w:val="false"/>
          <w:color w:val="000000"/>
          <w:sz w:val="20"/>
        </w:rPr>
        <w:t>means the Company’s policy permitting certain individuals to sell Company shares only during certain “window” periods and/or otherwise restricts the ability of certain individuals to transfer or encumber Company shares, as in effect from time to time.</w:t>
      </w:r>
    </w:p>
    <w:p>
      <w:pPr>
        <w:pStyle w:val="TextBody"/>
        <w:bidi w:val="0"/>
        <w:spacing w:lineRule="auto" w:line="240" w:before="0" w:after="240"/>
        <w:ind w:left="0" w:right="0" w:firstLine="720"/>
        <w:jc w:val="both"/>
        <w:rPr/>
      </w:pPr>
      <w:r>
        <w:rPr>
          <w:rFonts w:ascii="Times New Roman;serif" w:hAnsi="Times New Roman;serif"/>
          <w:b/>
          <w:color w:val="000000"/>
          <w:sz w:val="20"/>
        </w:rPr>
        <w:t>(bw)</w:t>
      </w:r>
      <w:r>
        <w:rPr>
          <w:color w:val="000000"/>
        </w:rPr>
        <w:t>“</w:t>
      </w:r>
      <w:r>
        <w:rPr>
          <w:rFonts w:ascii="Times New Roman;serif" w:hAnsi="Times New Roman;serif"/>
          <w:b/>
          <w:i/>
          <w:color w:val="000000"/>
          <w:sz w:val="20"/>
        </w:rPr>
        <w:t>Unvested Non-Exempt Award</w:t>
      </w:r>
      <w:r>
        <w:rPr>
          <w:color w:val="000000"/>
        </w:rPr>
        <w:t xml:space="preserve">” </w:t>
      </w:r>
      <w:r>
        <w:rPr>
          <w:rFonts w:ascii="Times New Roman;serif" w:hAnsi="Times New Roman;serif"/>
          <w:b w:val="false"/>
          <w:color w:val="000000"/>
          <w:sz w:val="20"/>
        </w:rPr>
        <w:t>means the portion of any Non-Exempt Award that had not vested in accordance with its terms upon or prior to the date of any Corporate Transaction.</w:t>
      </w:r>
    </w:p>
    <w:p>
      <w:pPr>
        <w:pStyle w:val="TextBody"/>
        <w:bidi w:val="0"/>
        <w:spacing w:lineRule="auto" w:line="240" w:before="0" w:after="240"/>
        <w:ind w:left="0" w:right="0" w:firstLine="720"/>
        <w:jc w:val="both"/>
        <w:rPr/>
      </w:pPr>
      <w:r>
        <w:rPr>
          <w:rFonts w:ascii="Times New Roman;serif" w:hAnsi="Times New Roman;serif"/>
          <w:b/>
          <w:color w:val="000000"/>
          <w:sz w:val="20"/>
        </w:rPr>
        <w:t>(bx)</w:t>
      </w:r>
      <w:r>
        <w:rPr>
          <w:color w:val="000000"/>
        </w:rPr>
        <w:t>“</w:t>
      </w:r>
      <w:r>
        <w:rPr>
          <w:rFonts w:ascii="Times New Roman;serif" w:hAnsi="Times New Roman;serif"/>
          <w:b/>
          <w:i/>
          <w:color w:val="000000"/>
          <w:sz w:val="20"/>
        </w:rPr>
        <w:t>Vested Non-Exempt Award</w:t>
      </w:r>
      <w:r>
        <w:rPr>
          <w:color w:val="000000"/>
        </w:rPr>
        <w:t xml:space="preserve">” </w:t>
      </w:r>
      <w:r>
        <w:rPr>
          <w:rFonts w:ascii="Times New Roman;serif" w:hAnsi="Times New Roman;serif"/>
          <w:b w:val="false"/>
          <w:color w:val="000000"/>
          <w:sz w:val="20"/>
        </w:rPr>
        <w:t>means the portion of any Non-Exempt Award that had vested in accordance with its terms upon or prior to the date of a Corporate Transaction.</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7"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5943600" cy="7620000"/>
            <wp:effectExtent l="0" t="0" r="0" b="0"/>
            <wp:docPr id="9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5" descr=""/>
                    <pic:cNvPicPr>
                      <a:picLocks noChangeAspect="1" noChangeArrowheads="1"/>
                    </pic:cNvPicPr>
                  </pic:nvPicPr>
                  <pic:blipFill>
                    <a:blip r:embed="rId6"/>
                    <a:stretch>
                      <a:fillRect/>
                    </a:stretch>
                  </pic:blipFill>
                  <pic:spPr bwMode="auto">
                    <a:xfrm>
                      <a:off x="0" y="0"/>
                      <a:ext cx="5943600" cy="7620000"/>
                    </a:xfrm>
                    <a:prstGeom prst="rect">
                      <a:avLst/>
                    </a:prstGeom>
                  </pic:spPr>
                </pic:pic>
              </a:graphicData>
            </a:graphic>
          </wp:inline>
        </w:drawing>
      </w:r>
      <w:bookmarkStart w:id="4" w:name="i-5"/>
      <w:bookmarkEnd w:id="4"/>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9"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p>
                  </w:txbxContent>
                </v:textbox>
                <w10:wrap type="none"/>
              </v:rect>
            </w:pict>
          </mc:Fallback>
        </mc:AlternateContent>
      </w:r>
    </w:p>
    <w:p>
      <w:pPr>
        <w:pStyle w:val="TextBody"/>
        <w:bidi w:val="0"/>
        <w:spacing w:before="0" w:after="0"/>
        <w:jc w:val="left"/>
        <w:rPr/>
      </w:pPr>
      <w:r>
        <w:rPr/>
      </w:r>
    </w:p>
    <w:p>
      <w:pPr>
        <w:pStyle w:val="TextBody"/>
        <w:bidi w:val="0"/>
        <w:jc w:val="center"/>
        <w:rPr/>
      </w:pPr>
      <w:r>
        <w:rPr/>
        <w:drawing>
          <wp:inline distT="0" distB="0" distL="0" distR="0">
            <wp:extent cx="5943600" cy="7667625"/>
            <wp:effectExtent l="0" t="0" r="0" b="0"/>
            <wp:docPr id="10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6" descr=""/>
                    <pic:cNvPicPr>
                      <a:picLocks noChangeAspect="1" noChangeArrowheads="1"/>
                    </pic:cNvPicPr>
                  </pic:nvPicPr>
                  <pic:blipFill>
                    <a:blip r:embed="rId7"/>
                    <a:stretch>
                      <a:fillRect/>
                    </a:stretch>
                  </pic:blipFill>
                  <pic:spPr bwMode="auto">
                    <a:xfrm>
                      <a:off x="0" y="0"/>
                      <a:ext cx="5943600" cy="7667625"/>
                    </a:xfrm>
                    <a:prstGeom prst="rect">
                      <a:avLst/>
                    </a:prstGeom>
                  </pic:spPr>
                </pic:pic>
              </a:graphicData>
            </a:graphic>
          </wp:inline>
        </w:drawing>
      </w:r>
      <w:bookmarkStart w:id="5" w:name="i-6"/>
      <w:bookmarkEnd w:id="5"/>
    </w:p>
    <w:p>
      <w:pPr>
        <w:pStyle w:val="TextBody"/>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55695</Words>
  <Characters>292322</Characters>
  <CharactersWithSpaces>346470</CharactersWithSpaces>
  <Paragraphs>2136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