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16923.xml.htm"/>
      <w:bookmarkStart w:id="1" w:name="kswkform4_17895169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11"/>
        <w:gridCol w:w="433"/>
        <w:gridCol w:w="789"/>
        <w:gridCol w:w="1252"/>
        <w:gridCol w:w="972"/>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44,766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767,128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22,780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10.56</w:t>
            </w:r>
            <w:r>
              <w:rPr>
                <w:rFonts w:ascii="Times;serif" w:hAnsi="Times;serif"/>
                <w:color w:val="008000"/>
                <w:position w:val="7"/>
                <w:sz w:val="16"/>
                <w:sz w:val="20"/>
                <w:shd w:fill="FFFFFF" w:val="clear"/>
              </w:rPr>
              <w:t>(3)</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744,348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7,105,019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44,766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179,228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Issuer's policies and practice, these shares of Class A Common Stock were automatically withheld and sold by the Issuer to satisfy the Reporting Person's tax withholding obligations related to the vesting of RSUs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weighted-average price. These shares were sold in multiple transactions at prices ranging from $10.56 to $10.75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Siebel Living Trust u/a/d 7/27/93, as amended,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First Virtual Holdings, LLC, of which the Reporting Person is Chairman.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Asset Management,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Siebel Asset Management III,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Siebel 2011 Irrevocable Children's Trust, of which the Reporting Person is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1/3rd of the RSUs vested on September 11, 2025 and 1/12th of the RSUs shall vest quarterly thereafter, so long as the Reporting Person continues to provide services through such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908</Words>
  <Characters>4768</Characters>
  <CharactersWithSpaces>5546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