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April 30, 2023</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transition period from __________ to</w:t>
      </w:r>
      <w:r>
        <w:rPr>
          <w:color w:val="000000"/>
        </w:rPr>
        <w:t xml:space="preserve"> </w:t>
      </w:r>
      <w:r>
        <w:rPr>
          <w:rFonts w:ascii="Times New Roman;sans-serif" w:hAnsi="Times New Roman;sans-serif"/>
          <w:b/>
          <w:color w:val="000000"/>
          <w:sz w:val="20"/>
        </w:rPr>
        <w:t>__________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001-39744</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C3.ai,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p>
      <w:pPr>
        <w:pStyle w:val="TextBody"/>
        <w:bidi w:val="0"/>
        <w:spacing w:before="0" w:after="180"/>
        <w:jc w:val="both"/>
        <w:rPr/>
      </w:pPr>
      <w:r>
        <w:rPr/>
      </w:r>
    </w:p>
    <w:tbl>
      <w:tblPr>
        <w:tblW w:w="8644" w:type="dxa"/>
        <w:jc w:val="left"/>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109"/>
        <w:gridCol w:w="109"/>
        <w:gridCol w:w="109"/>
        <w:gridCol w:w="884"/>
        <w:gridCol w:w="884"/>
        <w:gridCol w:w="1261"/>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26-3999357</w:t>
            </w:r>
          </w:p>
        </w:tc>
      </w:tr>
      <w:tr>
        <w:trPr/>
        <w:tc>
          <w:tcPr>
            <w:tcW w:w="49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1400 Seaport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Redwood City,</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94063</w:t>
            </w:r>
          </w:p>
        </w:tc>
      </w:tr>
      <w:tr>
        <w:trPr/>
        <w:tc>
          <w:tcPr>
            <w:tcW w:w="49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4" w:type="dxa"/>
            <w:gridSpan w:val="18"/>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(650) 503-2200 </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763" w:type="dxa"/>
        <w:jc w:val="center"/>
        <w:tblInd w:w="0" w:type="dxa"/>
        <w:tblLayout w:type="fixed"/>
        <w:tblCellMar>
          <w:top w:w="28" w:type="dxa"/>
          <w:left w:w="28" w:type="dxa"/>
          <w:bottom w:w="28" w:type="dxa"/>
          <w:right w:w="28" w:type="dxa"/>
        </w:tblCellMar>
      </w:tblPr>
      <w:tblGrid>
        <w:gridCol w:w="1608"/>
        <w:gridCol w:w="1407"/>
        <w:gridCol w:w="1424"/>
        <w:gridCol w:w="539"/>
        <w:gridCol w:w="539"/>
        <w:gridCol w:w="541"/>
        <w:gridCol w:w="1085"/>
        <w:gridCol w:w="1085"/>
        <w:gridCol w:w="1535"/>
      </w:tblGrid>
      <w:tr>
        <w:trPr/>
        <w:tc>
          <w:tcPr>
            <w:tcW w:w="160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AI</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2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lineRule="auto" w:line="288" w:before="0" w:after="0"/>
        <w:jc w:val="both"/>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00" w:after="283"/>
        <w:jc w:val="both"/>
        <w:rPr/>
      </w:pPr>
      <w:r>
        <w:rPr>
          <w:rFonts w:ascii="Times New Roman;sans-serif" w:hAnsi="Times New Roman;sans-serif"/>
          <w:b w:val="false"/>
          <w:color w:val="000000"/>
          <w:sz w:val="20"/>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 </w:t>
      </w:r>
    </w:p>
    <w:p>
      <w:pPr>
        <w:pStyle w:val="TextBody"/>
        <w:bidi w:val="0"/>
        <w:spacing w:lineRule="auto" w:line="288" w:before="0" w:after="18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lineRule="auto" w:line="288" w:before="180" w:after="18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6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60" w:after="180"/>
        <w:jc w:val="both"/>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voting stock held by non-affiliates of the registrant on October 31, 2022 (the last business day of the registrant’s fiscal second quarter), based on the closing price of $13.11 for shares of the registrant’s Class A common stock as reported by the New York Stock Exchange, was approximately $886.7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15, 2023, the registrant had outstanding 112,113,226 shares of Class A common stock and 3,499,992 shares of Class B common stock.</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relating to its 2023 annual meeting of shareholders (the “2023 Proxy Statement”) are incorporated by reference into Part III of this Annual Report on Form 10-K where indicated. The 2023 Proxy Statement will be filed with the U.S. Securities and Exchange Commission within 120 days after the end of the registrant’s fiscal year ended April 30,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7"/>
        <w:gridCol w:w="657"/>
        <w:gridCol w:w="657"/>
        <w:gridCol w:w="2584"/>
        <w:gridCol w:w="2480"/>
        <w:gridCol w:w="2526"/>
        <w:gridCol w:w="149"/>
        <w:gridCol w:w="149"/>
        <w:gridCol w:w="216"/>
      </w:tblGrid>
      <w:tr>
        <w:trPr/>
        <w:tc>
          <w:tcPr>
            <w:tcW w:w="78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E32E1"/>
                <w:sz w:val="16"/>
              </w:rPr>
            </w:pPr>
            <w:r>
              <w:rPr>
                <w:rFonts w:ascii="Times New Roman;sans-serif" w:hAnsi="Times New Roman;sans-serif"/>
                <w:b/>
                <w:color w:val="0E32E1"/>
                <w:sz w:val="16"/>
              </w:rPr>
              <w:t>Page</w:t>
            </w:r>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3">
              <w:r>
                <w:rPr>
                  <w:rStyle w:val="InternetLink"/>
                  <w:rFonts w:ascii="Times New Roman;sans-serif" w:hAnsi="Times New Roman;sans-serif"/>
                  <w:b/>
                  <w:color w:val="0E32E1"/>
                  <w:sz w:val="20"/>
                  <w:u w:val="single"/>
                </w:rPr>
                <w:t>Special Note Regarding Forward-Looking Statements</w:t>
              </w:r>
            </w:hyperlink>
          </w:p>
        </w:tc>
        <w:tc>
          <w:tcPr>
            <w:tcW w:w="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6">
              <w:r>
                <w:rPr>
                  <w:rStyle w:val="InternetLink"/>
                  <w:rFonts w:ascii="Times New Roman;sans-serif" w:hAnsi="Times New Roman;sans-serif"/>
                  <w:b/>
                  <w:color w:val="0E32E1"/>
                  <w:sz w:val="20"/>
                  <w:u w:val="single"/>
                </w:rPr>
                <w:t>Selected Risks Affecting Our Business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19">
              <w:r>
                <w:rPr>
                  <w:rStyle w:val="InternetLink"/>
                  <w:rFonts w:ascii="Times New Roman;sans-serif" w:hAnsi="Times New Roman;sans-serif"/>
                  <w:b/>
                  <w:color w:val="0E32E1"/>
                  <w:sz w:val="20"/>
                  <w:u w:val="single"/>
                </w:rPr>
                <w:t>Part I.</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2">
              <w:r>
                <w:rPr>
                  <w:rStyle w:val="InternetLink"/>
                  <w:rFonts w:ascii="Times New Roman;sans-serif" w:hAnsi="Times New Roman;sans-serif"/>
                  <w:b w:val="false"/>
                  <w:color w:val="0E32E1"/>
                  <w:sz w:val="20"/>
                  <w:u w:val="single"/>
                </w:rPr>
                <w:t>Item 1.</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2">
              <w:r>
                <w:rPr>
                  <w:rStyle w:val="InternetLink"/>
                  <w:rFonts w:ascii="Times New Roman;sans-serif" w:hAnsi="Times New Roman;sans-serif"/>
                  <w:b w:val="false"/>
                  <w:color w:val="0E32E1"/>
                  <w:sz w:val="20"/>
                  <w:u w:val="single"/>
                </w:rPr>
                <w:t>Business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22">
              <w:r>
                <w:rPr>
                  <w:rStyle w:val="InternetLink"/>
                  <w:rFonts w:ascii="Times New Roman;sans-serif" w:hAnsi="Times New Roman;sans-serif"/>
                  <w:b w:val="false"/>
                  <w:color w:val="0E32E1"/>
                  <w:sz w:val="20"/>
                  <w:u w:val="single"/>
                </w:rPr>
                <w:t>7</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5">
              <w:r>
                <w:rPr>
                  <w:rStyle w:val="InternetLink"/>
                  <w:rFonts w:ascii="Times New Roman;sans-serif" w:hAnsi="Times New Roman;sans-serif"/>
                  <w:b w:val="false"/>
                  <w:color w:val="0E32E1"/>
                  <w:sz w:val="20"/>
                  <w:u w:val="single"/>
                </w:rPr>
                <w:t>Item 1A.</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5">
              <w:r>
                <w:rPr>
                  <w:rStyle w:val="InternetLink"/>
                  <w:rFonts w:ascii="Times New Roman;sans-serif" w:hAnsi="Times New Roman;sans-serif"/>
                  <w:b w:val="false"/>
                  <w:color w:val="0E32E1"/>
                  <w:sz w:val="20"/>
                  <w:u w:val="single"/>
                </w:rPr>
                <w:t>Risk Factors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25">
              <w:r>
                <w:rPr>
                  <w:rStyle w:val="InternetLink"/>
                  <w:rFonts w:ascii="Times New Roman;sans-serif" w:hAnsi="Times New Roman;sans-serif"/>
                  <w:b w:val="false"/>
                  <w:color w:val="0E32E1"/>
                  <w:sz w:val="20"/>
                  <w:u w:val="single"/>
                </w:rPr>
                <w:t>23</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8">
              <w:r>
                <w:rPr>
                  <w:rStyle w:val="InternetLink"/>
                  <w:rFonts w:ascii="Times New Roman;sans-serif" w:hAnsi="Times New Roman;sans-serif"/>
                  <w:b w:val="false"/>
                  <w:color w:val="0E32E1"/>
                  <w:sz w:val="20"/>
                  <w:u w:val="single"/>
                </w:rPr>
                <w:t>Item 1B.</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8">
              <w:r>
                <w:rPr>
                  <w:rStyle w:val="InternetLink"/>
                  <w:rFonts w:ascii="Times New Roman;sans-serif" w:hAnsi="Times New Roman;sans-serif"/>
                  <w:b w:val="false"/>
                  <w:color w:val="0E32E1"/>
                  <w:sz w:val="20"/>
                  <w:u w:val="single"/>
                </w:rPr>
                <w:t>Unresolved Staff Comments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28">
              <w:r>
                <w:rPr>
                  <w:rStyle w:val="InternetLink"/>
                  <w:rFonts w:ascii="Times New Roman;sans-serif" w:hAnsi="Times New Roman;sans-serif"/>
                  <w:b w:val="false"/>
                  <w:color w:val="0E32E1"/>
                  <w:sz w:val="20"/>
                  <w:u w:val="single"/>
                </w:rPr>
                <w:t>60</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31">
              <w:r>
                <w:rPr>
                  <w:rStyle w:val="InternetLink"/>
                  <w:rFonts w:ascii="Times New Roman;sans-serif" w:hAnsi="Times New Roman;sans-serif"/>
                  <w:b w:val="false"/>
                  <w:color w:val="0E32E1"/>
                  <w:sz w:val="20"/>
                  <w:u w:val="single"/>
                </w:rPr>
                <w:t>Item 2.</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31">
              <w:r>
                <w:rPr>
                  <w:rStyle w:val="InternetLink"/>
                  <w:rFonts w:ascii="Times New Roman;sans-serif" w:hAnsi="Times New Roman;sans-serif"/>
                  <w:b w:val="false"/>
                  <w:color w:val="0E32E1"/>
                  <w:sz w:val="20"/>
                  <w:u w:val="single"/>
                </w:rPr>
                <w:t>Properties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31">
              <w:r>
                <w:rPr>
                  <w:rStyle w:val="InternetLink"/>
                  <w:rFonts w:ascii="Times New Roman;sans-serif" w:hAnsi="Times New Roman;sans-serif"/>
                  <w:b w:val="false"/>
                  <w:color w:val="0E32E1"/>
                  <w:sz w:val="20"/>
                  <w:u w:val="single"/>
                </w:rPr>
                <w:t>61</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34">
              <w:r>
                <w:rPr>
                  <w:rStyle w:val="InternetLink"/>
                  <w:rFonts w:ascii="Times New Roman;sans-serif" w:hAnsi="Times New Roman;sans-serif"/>
                  <w:b w:val="false"/>
                  <w:color w:val="0E32E1"/>
                  <w:sz w:val="20"/>
                  <w:u w:val="single"/>
                </w:rPr>
                <w:t>Item 3.</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34">
              <w:r>
                <w:rPr>
                  <w:rStyle w:val="InternetLink"/>
                  <w:rFonts w:ascii="Times New Roman;sans-serif" w:hAnsi="Times New Roman;sans-serif"/>
                  <w:b w:val="false"/>
                  <w:color w:val="0E32E1"/>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34">
              <w:r>
                <w:rPr>
                  <w:rStyle w:val="InternetLink"/>
                  <w:rFonts w:ascii="Times New Roman;sans-serif" w:hAnsi="Times New Roman;sans-serif"/>
                  <w:b w:val="false"/>
                  <w:color w:val="0E32E1"/>
                  <w:sz w:val="20"/>
                  <w:u w:val="single"/>
                </w:rPr>
                <w:t>61</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37">
              <w:r>
                <w:rPr>
                  <w:rStyle w:val="InternetLink"/>
                  <w:rFonts w:ascii="Times New Roman;sans-serif" w:hAnsi="Times New Roman;sans-serif"/>
                  <w:b w:val="false"/>
                  <w:color w:val="0E32E1"/>
                  <w:sz w:val="20"/>
                  <w:u w:val="single"/>
                </w:rPr>
                <w:t>Item 4.</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37">
              <w:r>
                <w:rPr>
                  <w:rStyle w:val="InternetLink"/>
                  <w:rFonts w:ascii="Times New Roman;sans-serif" w:hAnsi="Times New Roman;sans-serif"/>
                  <w:b w:val="false"/>
                  <w:color w:val="0E32E1"/>
                  <w:sz w:val="20"/>
                  <w:u w:val="single"/>
                </w:rPr>
                <w:t>Mine Safety Disclosures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37">
              <w:r>
                <w:rPr>
                  <w:rStyle w:val="InternetLink"/>
                  <w:rFonts w:ascii="Times New Roman;sans-serif" w:hAnsi="Times New Roman;sans-serif"/>
                  <w:b w:val="false"/>
                  <w:color w:val="0E32E1"/>
                  <w:sz w:val="20"/>
                  <w:u w:val="single"/>
                </w:rPr>
                <w:t>61</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40">
              <w:r>
                <w:rPr>
                  <w:rStyle w:val="InternetLink"/>
                  <w:rFonts w:ascii="Times New Roman;sans-serif" w:hAnsi="Times New Roman;sans-serif"/>
                  <w:b/>
                  <w:color w:val="0E32E1"/>
                  <w:sz w:val="20"/>
                  <w:u w:val="single"/>
                </w:rPr>
                <w:t>Part II</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43">
              <w:r>
                <w:rPr>
                  <w:rStyle w:val="InternetLink"/>
                  <w:rFonts w:ascii="Times New Roman;sans-serif" w:hAnsi="Times New Roman;sans-serif"/>
                  <w:b w:val="false"/>
                  <w:color w:val="0E32E1"/>
                  <w:sz w:val="20"/>
                  <w:u w:val="single"/>
                </w:rPr>
                <w:t>Item 5.</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43">
              <w:r>
                <w:rPr>
                  <w:rStyle w:val="InternetLink"/>
                  <w:rFonts w:ascii="Times New Roman;sans-serif" w:hAnsi="Times New Roman;sans-serif"/>
                  <w:b w:val="false"/>
                  <w:color w:val="000080"/>
                  <w:sz w:val="20"/>
                  <w:u w:val="single"/>
                </w:rPr>
                <w:t>Market for Registrant’s Common Equity, Related Stockholder Matters and Issuer</w:t>
              </w:r>
            </w:hyperlink>
            <w:hyperlink w:anchor="ifbc384f66f3b44349b886d7e9ac408dc_43">
              <w:r>
                <w:rPr>
                  <w:rStyle w:val="InternetLink"/>
                  <w:rFonts w:ascii="Times New Roman;sans-serif" w:hAnsi="Times New Roman;sans-serif"/>
                  <w:b w:val="false"/>
                  <w:color w:val="000080"/>
                  <w:sz w:val="20"/>
                  <w:u w:val="single"/>
                </w:rPr>
                <w:t xml:space="preserve"> Purchases of Equity Securities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43">
              <w:r>
                <w:rPr>
                  <w:rStyle w:val="InternetLink"/>
                  <w:rFonts w:ascii="Times New Roman;sans-serif" w:hAnsi="Times New Roman;sans-serif"/>
                  <w:b w:val="false"/>
                  <w:color w:val="0E32E1"/>
                  <w:sz w:val="20"/>
                  <w:u w:val="single"/>
                </w:rPr>
                <w:t>62</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46">
              <w:r>
                <w:rPr>
                  <w:rStyle w:val="InternetLink"/>
                  <w:rFonts w:ascii="Times New Roman;sans-serif" w:hAnsi="Times New Roman;sans-serif"/>
                  <w:b w:val="false"/>
                  <w:color w:val="0E32E1"/>
                  <w:sz w:val="20"/>
                  <w:u w:val="single"/>
                </w:rPr>
                <w:t>Item 6.</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46">
              <w:r>
                <w:rPr>
                  <w:rStyle w:val="InternetLink"/>
                  <w:rFonts w:ascii="Times New Roman;sans-serif" w:hAnsi="Times New Roman;sans-serif"/>
                  <w:b w:val="false"/>
                  <w:color w:val="0E32E1"/>
                  <w:sz w:val="20"/>
                  <w:u w:val="single"/>
                </w:rPr>
                <w:t>[Reserved]</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46">
              <w:r>
                <w:rPr>
                  <w:rStyle w:val="InternetLink"/>
                  <w:rFonts w:ascii="Times New Roman;sans-serif" w:hAnsi="Times New Roman;sans-serif"/>
                  <w:b w:val="false"/>
                  <w:color w:val="0E32E1"/>
                  <w:sz w:val="20"/>
                  <w:u w:val="single"/>
                </w:rPr>
                <w:t>63</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49">
              <w:r>
                <w:rPr>
                  <w:rStyle w:val="InternetLink"/>
                  <w:rFonts w:ascii="Times New Roman;sans-serif" w:hAnsi="Times New Roman;sans-serif"/>
                  <w:b w:val="false"/>
                  <w:color w:val="0E32E1"/>
                  <w:sz w:val="20"/>
                  <w:u w:val="single"/>
                </w:rPr>
                <w:t>Item 7.</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49">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49">
              <w:r>
                <w:rPr>
                  <w:rStyle w:val="InternetLink"/>
                  <w:rFonts w:ascii="Times New Roman;sans-serif" w:hAnsi="Times New Roman;sans-serif"/>
                  <w:b w:val="false"/>
                  <w:color w:val="0E32E1"/>
                  <w:sz w:val="20"/>
                  <w:u w:val="single"/>
                </w:rPr>
                <w:t>64</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85">
              <w:r>
                <w:rPr>
                  <w:rStyle w:val="InternetLink"/>
                  <w:rFonts w:ascii="Times New Roman;sans-serif" w:hAnsi="Times New Roman;sans-serif"/>
                  <w:b w:val="false"/>
                  <w:color w:val="0E32E1"/>
                  <w:sz w:val="20"/>
                  <w:u w:val="single"/>
                </w:rPr>
                <w:t>Item 7A.</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85">
              <w:r>
                <w:rPr>
                  <w:rStyle w:val="InternetLink"/>
                  <w:rFonts w:ascii="Times New Roman;sans-serif" w:hAnsi="Times New Roman;sans-serif"/>
                  <w:b w:val="false"/>
                  <w:color w:val="0E32E1"/>
                  <w:sz w:val="20"/>
                  <w:u w:val="single"/>
                </w:rPr>
                <w:t>Quantitative and Qualitative Disclosures About Market Risk</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85">
              <w:r>
                <w:rPr>
                  <w:rStyle w:val="InternetLink"/>
                  <w:rFonts w:ascii="Times New Roman;sans-serif" w:hAnsi="Times New Roman;sans-serif"/>
                  <w:b w:val="false"/>
                  <w:color w:val="0E32E1"/>
                  <w:sz w:val="20"/>
                  <w:u w:val="single"/>
                </w:rPr>
                <w:t>81</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88">
              <w:r>
                <w:rPr>
                  <w:rStyle w:val="InternetLink"/>
                  <w:rFonts w:ascii="Times New Roman;sans-serif" w:hAnsi="Times New Roman;sans-serif"/>
                  <w:b w:val="false"/>
                  <w:color w:val="0E32E1"/>
                  <w:sz w:val="20"/>
                  <w:u w:val="single"/>
                </w:rPr>
                <w:t>Item 8.</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88">
              <w:r>
                <w:rPr>
                  <w:rStyle w:val="InternetLink"/>
                  <w:rFonts w:ascii="Times New Roman;sans-serif" w:hAnsi="Times New Roman;sans-serif"/>
                  <w:b w:val="false"/>
                  <w:color w:val="0E32E1"/>
                  <w:sz w:val="20"/>
                  <w:u w:val="single"/>
                </w:rPr>
                <w:t>Financial Statements and Supplementary Data</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88">
              <w:r>
                <w:rPr>
                  <w:rStyle w:val="InternetLink"/>
                  <w:rFonts w:ascii="Times New Roman;sans-serif" w:hAnsi="Times New Roman;sans-serif"/>
                  <w:b w:val="false"/>
                  <w:color w:val="0E32E1"/>
                  <w:sz w:val="20"/>
                  <w:u w:val="single"/>
                </w:rPr>
                <w:t>82</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78">
              <w:r>
                <w:rPr>
                  <w:rStyle w:val="InternetLink"/>
                  <w:rFonts w:ascii="Times New Roman;sans-serif" w:hAnsi="Times New Roman;sans-serif"/>
                  <w:b w:val="false"/>
                  <w:color w:val="0E32E1"/>
                  <w:sz w:val="20"/>
                  <w:u w:val="single"/>
                </w:rPr>
                <w:t>Item 9.</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78">
              <w:r>
                <w:rPr>
                  <w:rStyle w:val="InternetLink"/>
                  <w:rFonts w:ascii="Times New Roman;sans-serif" w:hAnsi="Times New Roman;sans-serif"/>
                  <w:b w:val="false"/>
                  <w:color w:val="0E32E1"/>
                  <w:sz w:val="20"/>
                  <w:u w:val="single"/>
                </w:rPr>
                <w:t>Changes in and Disagreements with Accountants on Accounting and Financial Disclosure</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178">
              <w:r>
                <w:rPr>
                  <w:rStyle w:val="InternetLink"/>
                  <w:rFonts w:ascii="Times New Roman;sans-serif" w:hAnsi="Times New Roman;sans-serif"/>
                  <w:b w:val="false"/>
                  <w:color w:val="0E32E1"/>
                  <w:sz w:val="20"/>
                  <w:u w:val="single"/>
                </w:rPr>
                <w:t>122</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81">
              <w:r>
                <w:rPr>
                  <w:rStyle w:val="InternetLink"/>
                  <w:rFonts w:ascii="Times New Roman;sans-serif" w:hAnsi="Times New Roman;sans-serif"/>
                  <w:b w:val="false"/>
                  <w:color w:val="0E32E1"/>
                  <w:sz w:val="20"/>
                  <w:u w:val="single"/>
                </w:rPr>
                <w:t>Item 9A.</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81">
              <w:r>
                <w:rPr>
                  <w:rStyle w:val="InternetLink"/>
                  <w:rFonts w:ascii="Times New Roman;sans-serif" w:hAnsi="Times New Roman;sans-serif"/>
                  <w:b w:val="false"/>
                  <w:color w:val="0E32E1"/>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181">
              <w:r>
                <w:rPr>
                  <w:rStyle w:val="InternetLink"/>
                  <w:rFonts w:ascii="Times New Roman;sans-serif" w:hAnsi="Times New Roman;sans-serif"/>
                  <w:b w:val="false"/>
                  <w:color w:val="0E32E1"/>
                  <w:sz w:val="20"/>
                  <w:u w:val="single"/>
                </w:rPr>
                <w:t>123</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87">
              <w:r>
                <w:rPr>
                  <w:rStyle w:val="InternetLink"/>
                  <w:rFonts w:ascii="Times New Roman;sans-serif" w:hAnsi="Times New Roman;sans-serif"/>
                  <w:b w:val="false"/>
                  <w:color w:val="0E32E1"/>
                  <w:sz w:val="20"/>
                  <w:u w:val="single"/>
                </w:rPr>
                <w:t>Item 9B.</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87">
              <w:r>
                <w:rPr>
                  <w:rStyle w:val="InternetLink"/>
                  <w:rFonts w:ascii="Times New Roman;sans-serif" w:hAnsi="Times New Roman;sans-serif"/>
                  <w:b w:val="false"/>
                  <w:color w:val="0E32E1"/>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187">
              <w:r>
                <w:rPr>
                  <w:rStyle w:val="InternetLink"/>
                  <w:rFonts w:ascii="Times New Roman;sans-serif" w:hAnsi="Times New Roman;sans-serif"/>
                  <w:b w:val="false"/>
                  <w:color w:val="0E32E1"/>
                  <w:sz w:val="20"/>
                  <w:u w:val="single"/>
                </w:rPr>
                <w:t>125</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549755814496">
              <w:r>
                <w:rPr>
                  <w:rStyle w:val="InternetLink"/>
                  <w:rFonts w:ascii="Times New Roman;sans-serif" w:hAnsi="Times New Roman;sans-serif"/>
                  <w:b w:val="false"/>
                  <w:color w:val="0E32E1"/>
                  <w:sz w:val="20"/>
                  <w:u w:val="single"/>
                </w:rPr>
                <w:t>Item 9C.</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87">
              <w:r>
                <w:rPr>
                  <w:rStyle w:val="InternetLink"/>
                  <w:rFonts w:ascii="Times New Roman;sans-serif" w:hAnsi="Times New Roman;sans-serif"/>
                  <w:b w:val="false"/>
                  <w:color w:val="0E32E1"/>
                  <w:sz w:val="20"/>
                  <w:u w:val="single"/>
                </w:rPr>
                <w:t>Disclosure Regarding Foreign Jurisdictions that Prevent Inspections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549755814496">
              <w:r>
                <w:rPr>
                  <w:rStyle w:val="InternetLink"/>
                  <w:rFonts w:ascii="Times New Roman;sans-serif" w:hAnsi="Times New Roman;sans-serif"/>
                  <w:b w:val="false"/>
                  <w:color w:val="0E32E1"/>
                  <w:sz w:val="20"/>
                  <w:u w:val="single"/>
                </w:rPr>
                <w:t>127</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190">
              <w:r>
                <w:rPr>
                  <w:rStyle w:val="InternetLink"/>
                  <w:rFonts w:ascii="Times New Roman;sans-serif" w:hAnsi="Times New Roman;sans-serif"/>
                  <w:b/>
                  <w:color w:val="0E32E1"/>
                  <w:sz w:val="20"/>
                  <w:u w:val="single"/>
                </w:rPr>
                <w:t>Part III</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93">
              <w:r>
                <w:rPr>
                  <w:rStyle w:val="InternetLink"/>
                  <w:rFonts w:ascii="Times New Roman;sans-serif" w:hAnsi="Times New Roman;sans-serif"/>
                  <w:b w:val="false"/>
                  <w:color w:val="0E32E1"/>
                  <w:sz w:val="20"/>
                  <w:u w:val="single"/>
                </w:rPr>
                <w:t xml:space="preserve">Item 10. </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93">
              <w:r>
                <w:rPr>
                  <w:rStyle w:val="InternetLink"/>
                  <w:rFonts w:ascii="Times New Roman;sans-serif" w:hAnsi="Times New Roman;sans-serif"/>
                  <w:b w:val="false"/>
                  <w:color w:val="0E32E1"/>
                  <w:sz w:val="20"/>
                  <w:u w:val="single"/>
                </w:rPr>
                <w:t>Directors, Executive Officers and Corporate Governance</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193">
              <w:r>
                <w:rPr>
                  <w:rStyle w:val="InternetLink"/>
                  <w:rFonts w:ascii="Times New Roman;sans-serif" w:hAnsi="Times New Roman;sans-serif"/>
                  <w:b w:val="false"/>
                  <w:color w:val="0E32E1"/>
                  <w:sz w:val="20"/>
                  <w:u w:val="single"/>
                </w:rPr>
                <w:t>128</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96">
              <w:r>
                <w:rPr>
                  <w:rStyle w:val="InternetLink"/>
                  <w:rFonts w:ascii="Times New Roman;sans-serif" w:hAnsi="Times New Roman;sans-serif"/>
                  <w:b w:val="false"/>
                  <w:color w:val="0E32E1"/>
                  <w:sz w:val="20"/>
                  <w:u w:val="single"/>
                </w:rPr>
                <w:t>Item 11.</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96">
              <w:r>
                <w:rPr>
                  <w:rStyle w:val="InternetLink"/>
                  <w:rFonts w:ascii="Times New Roman;sans-serif" w:hAnsi="Times New Roman;sans-serif"/>
                  <w:b w:val="false"/>
                  <w:color w:val="0E32E1"/>
                  <w:sz w:val="20"/>
                  <w:u w:val="single"/>
                </w:rPr>
                <w:t>Executive Compensation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196">
              <w:r>
                <w:rPr>
                  <w:rStyle w:val="InternetLink"/>
                  <w:rFonts w:ascii="Times New Roman;sans-serif" w:hAnsi="Times New Roman;sans-serif"/>
                  <w:b w:val="false"/>
                  <w:color w:val="0E32E1"/>
                  <w:sz w:val="20"/>
                  <w:u w:val="single"/>
                </w:rPr>
                <w:t>128</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99">
              <w:r>
                <w:rPr>
                  <w:rStyle w:val="InternetLink"/>
                  <w:rFonts w:ascii="Times New Roman;sans-serif" w:hAnsi="Times New Roman;sans-serif"/>
                  <w:b w:val="false"/>
                  <w:color w:val="0E32E1"/>
                  <w:sz w:val="20"/>
                  <w:u w:val="single"/>
                </w:rPr>
                <w:t>Item 12.</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199">
              <w:r>
                <w:rPr>
                  <w:rStyle w:val="InternetLink"/>
                  <w:rFonts w:ascii="Times New Roman;sans-serif" w:hAnsi="Times New Roman;sans-serif"/>
                  <w:b w:val="false"/>
                  <w:color w:val="0E32E1"/>
                  <w:sz w:val="20"/>
                  <w:u w:val="single"/>
                </w:rPr>
                <w:t>Security Ownership of Certain Beneficial Owners and Management and Related Stockholder Matters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199">
              <w:r>
                <w:rPr>
                  <w:rStyle w:val="InternetLink"/>
                  <w:rFonts w:ascii="Times New Roman;sans-serif" w:hAnsi="Times New Roman;sans-serif"/>
                  <w:b w:val="false"/>
                  <w:color w:val="0E32E1"/>
                  <w:sz w:val="20"/>
                  <w:u w:val="single"/>
                </w:rPr>
                <w:t>128</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02">
              <w:r>
                <w:rPr>
                  <w:rStyle w:val="InternetLink"/>
                  <w:rFonts w:ascii="Times New Roman;sans-serif" w:hAnsi="Times New Roman;sans-serif"/>
                  <w:b w:val="false"/>
                  <w:color w:val="0E32E1"/>
                  <w:sz w:val="20"/>
                  <w:u w:val="single"/>
                </w:rPr>
                <w:t>Item 13.</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02">
              <w:r>
                <w:rPr>
                  <w:rStyle w:val="InternetLink"/>
                  <w:rFonts w:ascii="Times New Roman;sans-serif" w:hAnsi="Times New Roman;sans-serif"/>
                  <w:b w:val="false"/>
                  <w:color w:val="0E32E1"/>
                  <w:sz w:val="20"/>
                  <w:u w:val="single"/>
                </w:rPr>
                <w:t>Certain Relationships and Related Transactions, and Director Independence</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202">
              <w:r>
                <w:rPr>
                  <w:rStyle w:val="InternetLink"/>
                  <w:rFonts w:ascii="Times New Roman;sans-serif" w:hAnsi="Times New Roman;sans-serif"/>
                  <w:b w:val="false"/>
                  <w:color w:val="0E32E1"/>
                  <w:sz w:val="20"/>
                  <w:u w:val="single"/>
                </w:rPr>
                <w:t>128</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05">
              <w:r>
                <w:rPr>
                  <w:rStyle w:val="InternetLink"/>
                  <w:rFonts w:ascii="Times New Roman;sans-serif" w:hAnsi="Times New Roman;sans-serif"/>
                  <w:b w:val="false"/>
                  <w:color w:val="0E32E1"/>
                  <w:sz w:val="20"/>
                  <w:u w:val="single"/>
                </w:rPr>
                <w:t>Item 14.</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05">
              <w:r>
                <w:rPr>
                  <w:rStyle w:val="InternetLink"/>
                  <w:rFonts w:ascii="Times New Roman;sans-serif" w:hAnsi="Times New Roman;sans-serif"/>
                  <w:b w:val="false"/>
                  <w:color w:val="0E32E1"/>
                  <w:sz w:val="20"/>
                  <w:u w:val="single"/>
                </w:rPr>
                <w:t>Principal Accounting Fees and Services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205">
              <w:r>
                <w:rPr>
                  <w:rStyle w:val="InternetLink"/>
                  <w:rFonts w:ascii="Times New Roman;sans-serif" w:hAnsi="Times New Roman;sans-serif"/>
                  <w:b w:val="false"/>
                  <w:color w:val="0E32E1"/>
                  <w:sz w:val="20"/>
                  <w:u w:val="single"/>
                </w:rPr>
                <w:t>128</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208">
              <w:r>
                <w:rPr>
                  <w:rStyle w:val="InternetLink"/>
                  <w:rFonts w:ascii="Times New Roman;sans-serif" w:hAnsi="Times New Roman;sans-serif"/>
                  <w:b/>
                  <w:color w:val="0E32E1"/>
                  <w:sz w:val="20"/>
                  <w:u w:val="single"/>
                </w:rPr>
                <w:t>Part IV</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11">
              <w:r>
                <w:rPr>
                  <w:rStyle w:val="InternetLink"/>
                  <w:rFonts w:ascii="Times New Roman;sans-serif" w:hAnsi="Times New Roman;sans-serif"/>
                  <w:b w:val="false"/>
                  <w:color w:val="0E32E1"/>
                  <w:sz w:val="20"/>
                  <w:u w:val="single"/>
                </w:rPr>
                <w:t>Item 15.</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11">
              <w:r>
                <w:rPr>
                  <w:rStyle w:val="InternetLink"/>
                  <w:rFonts w:ascii="Times New Roman;sans-serif" w:hAnsi="Times New Roman;sans-serif"/>
                  <w:b w:val="false"/>
                  <w:color w:val="0E32E1"/>
                  <w:sz w:val="20"/>
                  <w:u w:val="single"/>
                </w:rPr>
                <w:t>Exhibits and Financial Statement Schedules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211">
              <w:r>
                <w:rPr>
                  <w:rStyle w:val="InternetLink"/>
                  <w:rFonts w:ascii="Times New Roman;sans-serif" w:hAnsi="Times New Roman;sans-serif"/>
                  <w:b w:val="false"/>
                  <w:color w:val="0E32E1"/>
                  <w:sz w:val="20"/>
                  <w:u w:val="single"/>
                </w:rPr>
                <w:t>129</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14">
              <w:r>
                <w:rPr>
                  <w:rStyle w:val="InternetLink"/>
                  <w:rFonts w:ascii="Times New Roman;sans-serif" w:hAnsi="Times New Roman;sans-serif"/>
                  <w:b w:val="false"/>
                  <w:color w:val="0E32E1"/>
                  <w:sz w:val="20"/>
                  <w:u w:val="single"/>
                </w:rPr>
                <w:t>Item 16.</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14">
              <w:r>
                <w:rPr>
                  <w:rStyle w:val="InternetLink"/>
                  <w:rFonts w:ascii="Times New Roman;sans-serif" w:hAnsi="Times New Roman;sans-serif"/>
                  <w:b w:val="false"/>
                  <w:color w:val="0E32E1"/>
                  <w:sz w:val="20"/>
                  <w:u w:val="single"/>
                </w:rPr>
                <w:t>Form 10-K Summary</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bc384f66f3b44349b886d7e9ac408dc_214">
              <w:r>
                <w:rPr>
                  <w:rStyle w:val="InternetLink"/>
                  <w:rFonts w:ascii="Times New Roman;sans-serif" w:hAnsi="Times New Roman;sans-serif"/>
                  <w:b w:val="false"/>
                  <w:color w:val="0E32E1"/>
                  <w:sz w:val="20"/>
                  <w:u w:val="single"/>
                </w:rPr>
                <w:t>131</w:t>
              </w:r>
            </w:hyperlink>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17">
              <w:r>
                <w:rPr>
                  <w:rStyle w:val="InternetLink"/>
                  <w:rFonts w:ascii="Times New Roman;sans-serif" w:hAnsi="Times New Roman;sans-serif"/>
                  <w:b/>
                  <w:color w:val="0E32E1"/>
                  <w:sz w:val="20"/>
                  <w:u w:val="single"/>
                </w:rPr>
                <w:t>Signatures</w:t>
              </w:r>
            </w:hyperlink>
          </w:p>
        </w:tc>
        <w:tc>
          <w:tcPr>
            <w:tcW w:w="7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plans and objectives of management for future operations, and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regarding our revenue, expenses, and other operating results, including statements relating to the portion of our remaining performance obligations that we expect to be recognized as revenue in future periods;</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our ability to acquire new customers and successfully retain existing customers;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increase usage of our C3 AI Software, which includes our C3 AI Platform, C3 AI Applications, C3 Generative AI Product Suite</w:t>
      </w:r>
      <w:r>
        <w:rPr>
          <w:color w:val="000000"/>
        </w:rPr>
        <w:t xml:space="preserve"> </w:t>
      </w:r>
      <w:r>
        <w:rPr>
          <w:rFonts w:ascii="Times New Roman;sans-serif" w:hAnsi="Times New Roman;sans-serif"/>
          <w:b w:val="false"/>
          <w:color w:val="000000"/>
          <w:sz w:val="20"/>
        </w:rPr>
        <w:t>and C3 AI Ex Machina;</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achieve or sustain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future investments in our business, our anticipated capital expenditures, and our estimates regarding our capital requirements;</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the costs and success of our sales and marketing efforts, and our ability to promote our brand;</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our growth strategies for our C3 AI Software;</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our expectations regarding our C3 AI Software;</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the estimated addressable market opportunity for our C3 AI Software;</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the expected timing of our product releases;</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our expectations regarding our pricing model;</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our expectations regarding customer count and customer engagement;</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our reliance on key personnel and our ability to identify, recruit, and retain skilled personnel;</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our ability to effectively manage our growth, including any international expansion;</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our ability to protect our intellectual property rights and any costs associated therewith;</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the effects of macroeconomic uncertainties and the coronavirus, or COVID-19, pandemic;</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our ability to compete effectively with existing competitors and new market entrants; and</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the growth rates of the markets in which we compete.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contained in Part I, Item 1A of this Annual Report on Form 10-K and those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may not be achieved or occur, and actual results, events or circumstances could differ materially from those described in the forward-looking statements.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SELECTED RISKS AFFECTING OUR BUSINESS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Investing in our Class A common stock involves numerous risks, including the risks described in the section titled “Risk Factors” in Part I, Item 1A of this Annual Report on Form 10-K. Below is a summary of some of the risks and uncertainties as of the date of the filing of this Annual Report on Form 10-K, any one of which could materially adversely affect our business, financial condition, operating results, and prospects. You should read this summary together with the more detailed description of each risk factor contained below.</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and Our Industry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a limited operating history, which makes it difficult to evaluate our prospects and future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Historically, a limited number of customers have accounted for a substantial portion of our revenue. If existing customers do not renew their contracts with us, or if our relationships with our largest customers are impaired or terminated, our revenue could decline, and our results of operations would be adversely impacted.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business depends on our ability to attract new customers and on our existing customers purchasing additional subscriptions from us and renewing their existing subscriptions.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a history of operating losses and may not achieve or sustain profitability in the future.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face intense competition and could lose market share to our competitors, which could adversely affect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sales cycles can be long and unpredictable, particularly with respect to large subscriptions, and our sales efforts require considerable time and expense.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market for our C3 AI Software fails to grow as we expect, or if businesses fail to adopt our C3 AI Software, our business, operating results, and financial condition could be adversely affected.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respond to rapid technological changes, extend our C3 AI Software, or develop new features and functionality, our ability to remain competitive could be impaired.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were to lose the services of our Chief Executive Officer, or CEO, or other members of our senior management team, we may not be able to execute our business strategy.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Macroeconomic uncertainties and the COVID-19 pandemic have had, and could continue to have, an adverse impact on our business, our operations, and the markets and communities in which we, our partners, and users operate.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subject to stringent and evolving U.S. and foreign laws, regulations, rules, contractual obligations, policies, self-regulatory schemes, standards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accounting standards and subjective assumptions, estimates and judgments by management related to complex accounting matters could adversely affect our financial results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Our International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continuing to expand our operations outside the United States, where we may be subject to increased business and economic risks that could harm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subject to governmental export and import controls that could impair our ability to compete in international markets or subject us to liability if we are not in compliance with applicable laws.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Taxes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results of operations may be harmed if we are required to collect sales or other related taxes for our subscriptions in jurisdictions where we have not historically done so.</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currently, and may be in the future, party to intellectual property rights claims and other litigation matters, which, if resolved adversely, could harm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Indemnity provisions in various agreements potentially expose us to substantial liability for intellectual property infringement and other losses.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failure to protect our intellectual property rights and proprietary information could diminish our brand and other intangible assets.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use of third-party open source software could negatively affect our ability to offer and sell subscriptions to our C3 AI Software and subject us to possible litigation.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Class A Common Stock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trading price of our Class A common stock may be volatile, and you could lose all or part of your investment.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dual class structure of our common stock has the effect of concentrating voting control with the holders of our Class B common stock, limiting your ability to influence corporate matters.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Provisions in our constituent documents and Delaware law may prevent or frustrate attempts by our stockholders to change our management or hinder efforts to acquire a controlling interest in us, and the market price of our Class A common stock may be lower as a result.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business could be disrupted by catastrophic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C3 AI is the Enterprise AI application software company. C3 AI delivers a family of fully integrated products including the C3 AI Platform, an end-to-end platform for developing, deploying, and operating Enterprise AI applications, C3 AI Applications, a portfolio of industry-specific software-as-a-service, or SaaS, Enterprise AI applications that enable the digital transformation of organizations globally, and C3 Generative AI, a suite of large artificial intelligence, or AI, transformer models for enterprise.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C3 AI Platform, C3 AI Applications, and our patented model-driven architecture, enable organizations to simplify and accelerate Enterprise AI application development, deployment, and administration. Our C3 AI Software platform also enables developers to rapidly build applications by using conceptual models of all the elements required by an Enterprise AI application instead of having to write complex, lengthy, structured programming code to define, control, and integrate the many requisite data and microservices components to work together. We significantly reduce the effort and complexity of the Enterprise AI software engineering problem.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C3 Generative AI Product Suite provides enterprise users with a transformative user experience using a natural language interface to rapidly locate, retrieve, and present relevant data across the entire corpus of an enterprise’s information systems. The C3 Generative AI Product Suite enables rapid access to information, analyses, and predictive analytics associated with and derived from enterprise and external systems while respecting access controls. The C3 Generative AI Product Suite is built natively into the C3 AI Platform and packaged with every C3 AI application.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C3 Generative AI is also available as a standalone capability deployable against customer datasets and software applications enabling customers to leverage large language models (LLMs) and pretrained generative transformers (GPTs) to transform enterprise search.</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Enterprise AI Software Solutions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built a solution that enables our customers to rapidly develop, deploy, and operate large-scale Enterprise AI applications. Customers can deploy C3 AI Software on major public cloud infrastructures, private cloud or hybrid environments, or directly on their servers and processors. We provide our customers and partners with an antidote to AI vendor lock-in.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offer four primary families of software solutions, which we collectively refer to as our C3 AI Software: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Platform,</w:t>
      </w:r>
      <w:r>
        <w:rPr>
          <w:color w:val="000000"/>
        </w:rPr>
        <w:t xml:space="preserve"> </w:t>
      </w:r>
      <w:r>
        <w:rPr>
          <w:rFonts w:ascii="Times New Roman;sans-serif" w:hAnsi="Times New Roman;sans-serif"/>
          <w:b w:val="false"/>
          <w:color w:val="000000"/>
          <w:sz w:val="20"/>
        </w:rPr>
        <w:t xml:space="preserve">our core technology, is a comprehensive, end-to-end application development and runtime environment that is designed to allow our customers to rapidly design, develop, and deploy Enterprise AI applications of any type.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Applications,</w:t>
      </w:r>
      <w:r>
        <w:rPr>
          <w:color w:val="000000"/>
        </w:rPr>
        <w:t xml:space="preserve"> </w:t>
      </w:r>
      <w:r>
        <w:rPr>
          <w:rFonts w:ascii="Times New Roman;sans-serif" w:hAnsi="Times New Roman;sans-serif"/>
          <w:b w:val="false"/>
          <w:color w:val="000000"/>
          <w:sz w:val="20"/>
        </w:rPr>
        <w:t xml:space="preserve">built using the C3 AI Platform, is a portfolio of pre-built, extensible, industry-specific and application-specific SaaS Enterprise AI applications that can be rapidly installed and deployed.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Generative AI Product Suite</w:t>
      </w:r>
      <w:r>
        <w:rPr>
          <w:rFonts w:ascii="Times New Roman;sans-serif" w:hAnsi="Times New Roman;sans-serif"/>
          <w:b w:val="false"/>
          <w:color w:val="000000"/>
          <w:sz w:val="20"/>
        </w:rPr>
        <w:t>, our latest innovation, enables customers to leverage LLMs to rapidly locate, retrieve, and present information across disparate data stores, applications, and enterprise information systems.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C3 AI Ex Machina </w:t>
      </w:r>
      <w:r>
        <w:rPr>
          <w:rFonts w:ascii="Times New Roman;sans-serif" w:hAnsi="Times New Roman;sans-serif"/>
          <w:b w:val="false"/>
          <w:color w:val="000000"/>
          <w:sz w:val="20"/>
        </w:rPr>
        <w:t>is a no-code, machine learning, or ML, solution that empowers citizen data scientists with cloud-native, complete end-to-end capabilities, connecting to diverse data sources and types, and that enables business analysts to rapidly perform data science tasks such as building, configuring, training, and visualizing AI models.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C3 AI Platform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C3 AI Platform offers the only end-to-end platform-as-a-service that allows customers to rapidly design, develop, provision, and operate Enterprise AI applications at scale. Our customers can use the C3 AI Platform to build and operate their own custom Enterprise AI applications and to customize, operate, and manage C3 AI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C3 AI Platform uses a unique model-driven architecture to accelerate delivery and reduce the complexities of developing Enterprise AI applications. The C3 AI model-driven architecture provides an “abstraction layer,” that allows developers to build Enterprise AI applications by using conceptual models of all the elements an application requires, instead of writing lengthy code. This provides significant benefits, including:</w:t>
      </w:r>
    </w:p>
    <w:p>
      <w:pPr>
        <w:pStyle w:val="TextBody"/>
        <w:bidi w:val="0"/>
        <w:spacing w:lineRule="auto" w:line="288" w:before="0" w:after="180"/>
        <w:jc w:val="both"/>
        <w:rPr/>
      </w:pPr>
      <w:r>
        <w:rPr>
          <w:rFonts w:ascii="Times New Roman;sans-serif" w:hAnsi="Times New Roman;sans-serif"/>
          <w:b w:val="false"/>
          <w:i/>
          <w:color w:val="000000"/>
          <w:sz w:val="20"/>
        </w:rPr>
        <w:t>Scale AI Across the Business.</w:t>
      </w:r>
      <w:r>
        <w:rPr>
          <w:color w:val="000000"/>
        </w:rPr>
        <w:t xml:space="preserve"> </w:t>
      </w:r>
      <w:r>
        <w:rPr>
          <w:rFonts w:ascii="Times New Roman;sans-serif" w:hAnsi="Times New Roman;sans-serif"/>
          <w:b w:val="false"/>
          <w:color w:val="000000"/>
          <w:sz w:val="20"/>
        </w:rPr>
        <w:t>Customers can use AI applications and models that optimize processes for every product, asset, customer, or transaction across all regions and businesses;</w:t>
      </w:r>
    </w:p>
    <w:p>
      <w:pPr>
        <w:pStyle w:val="TextBody"/>
        <w:bidi w:val="0"/>
        <w:spacing w:lineRule="auto" w:line="288" w:before="0" w:after="180"/>
        <w:jc w:val="both"/>
        <w:rPr/>
      </w:pPr>
      <w:r>
        <w:rPr>
          <w:rFonts w:ascii="Times New Roman;sans-serif" w:hAnsi="Times New Roman;sans-serif"/>
          <w:b w:val="false"/>
          <w:i/>
          <w:color w:val="000000"/>
          <w:sz w:val="20"/>
        </w:rPr>
        <w:t>Deliver Results Faster.</w:t>
      </w:r>
      <w:r>
        <w:rPr>
          <w:color w:val="000000"/>
        </w:rPr>
        <w:t xml:space="preserve"> </w:t>
      </w:r>
      <w:r>
        <w:rPr>
          <w:rFonts w:ascii="Times New Roman;sans-serif" w:hAnsi="Times New Roman;sans-serif"/>
          <w:b w:val="false"/>
          <w:color w:val="000000"/>
          <w:sz w:val="20"/>
        </w:rPr>
        <w:t>Customers can deploy AI applications and see results in one to two quarters and rapidly roll out additional applications and new capabilities;</w:t>
      </w:r>
    </w:p>
    <w:p>
      <w:pPr>
        <w:pStyle w:val="TextBody"/>
        <w:bidi w:val="0"/>
        <w:spacing w:lineRule="auto" w:line="288" w:before="0" w:after="180"/>
        <w:jc w:val="both"/>
        <w:rPr/>
      </w:pPr>
      <w:r>
        <w:rPr>
          <w:rFonts w:ascii="Times New Roman;sans-serif" w:hAnsi="Times New Roman;sans-serif"/>
          <w:b w:val="false"/>
          <w:i/>
          <w:color w:val="000000"/>
          <w:sz w:val="20"/>
        </w:rPr>
        <w:t>Generate Meaningful Value.</w:t>
      </w:r>
      <w:r>
        <w:rPr>
          <w:color w:val="000000"/>
        </w:rPr>
        <w:t xml:space="preserve"> </w:t>
      </w:r>
      <w:r>
        <w:rPr>
          <w:rFonts w:ascii="Times New Roman;sans-serif" w:hAnsi="Times New Roman;sans-serif"/>
          <w:b w:val="false"/>
          <w:color w:val="000000"/>
          <w:sz w:val="20"/>
        </w:rPr>
        <w:t>Customers can unlock sustained value, up to hundreds of millions to billions of dollars per year, from reduced costs, increased revenue, and higher margins; and</w:t>
      </w:r>
    </w:p>
    <w:p>
      <w:pPr>
        <w:pStyle w:val="TextBody"/>
        <w:bidi w:val="0"/>
        <w:spacing w:lineRule="auto" w:line="288" w:before="0" w:after="180"/>
        <w:jc w:val="both"/>
        <w:rPr/>
      </w:pPr>
      <w:r>
        <w:rPr>
          <w:rFonts w:ascii="Times New Roman;sans-serif" w:hAnsi="Times New Roman;sans-serif"/>
          <w:b w:val="false"/>
          <w:i/>
          <w:color w:val="000000"/>
          <w:sz w:val="20"/>
        </w:rPr>
        <w:t>Govern AI with Confidence.</w:t>
      </w:r>
      <w:r>
        <w:rPr>
          <w:color w:val="000000"/>
        </w:rPr>
        <w:t xml:space="preserve"> </w:t>
      </w:r>
      <w:r>
        <w:rPr>
          <w:rFonts w:ascii="Times New Roman;sans-serif" w:hAnsi="Times New Roman;sans-serif"/>
          <w:b w:val="false"/>
          <w:color w:val="000000"/>
          <w:sz w:val="20"/>
        </w:rPr>
        <w:t>Customers can ensure systematic, enterprise-wide governance of AI with our unified platform that offers data lineage and model governance.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C3 AI Platform enables us and our customers to develop Enterprise AI applications by using conceptual models of all the elements required by the application—e.g., data objects (customer, order, contract, etc.), computing resources (database, storage, messaging), data processing services (stream processing, batch processing, etc.), AI and ML services (model training, model pipeline management, etc.)—instead of having to write complex, lengthy code. This approach vastly reduces technical complexity for developers and the amount of code they need to write. The C3 AI Platform provides comprehensive capabilities to rapidly develop, deploy, and operate Enterprise AI applications at scale,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Data Integration and Management Services. </w:t>
      </w:r>
      <w:r>
        <w:rPr>
          <w:rFonts w:ascii="Times New Roman;sans-serif" w:hAnsi="Times New Roman;sans-serif"/>
          <w:b w:val="false"/>
          <w:color w:val="000000"/>
          <w:sz w:val="20"/>
        </w:rPr>
        <w:t xml:space="preserve">Services to readily ingest and aggregate massive volumes of diverse data from numerous internal and external sources and unify the data in a common and extensible data image.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AI Application Development and Operationalization Services. </w:t>
      </w:r>
      <w:r>
        <w:rPr>
          <w:rFonts w:ascii="Times New Roman;sans-serif" w:hAnsi="Times New Roman;sans-serif"/>
          <w:b w:val="false"/>
          <w:color w:val="000000"/>
          <w:sz w:val="20"/>
        </w:rPr>
        <w:t>Software services to explore data, build and train AI models, and operationalize AI models and applications at enterprise scale.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Operational and Security Services.</w:t>
      </w:r>
      <w:r>
        <w:rPr>
          <w:color w:val="000000"/>
        </w:rPr>
        <w:t xml:space="preserve"> </w:t>
      </w:r>
      <w:r>
        <w:rPr>
          <w:rFonts w:ascii="Times New Roman;sans-serif" w:hAnsi="Times New Roman;sans-serif"/>
          <w:b w:val="false"/>
          <w:color w:val="000000"/>
          <w:sz w:val="20"/>
        </w:rPr>
        <w:t>Cohesive core platform services (e.g., access control, data encryption, cybersecurity, time-series services, normalization, data privacy, etc.).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C3 AI Integrated Development Studio (C3 AI IDS).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low-code/no-code visual toolkit for developing, deploying, and operating Enterprise AI applications.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C3 AI Applications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C3 AI Applications is an expanding portfolio of turnkey and ready-to-use suite of Enterprise AI applications that address a range of high-value use cases. With C3 AI Applications, organizations can typically deploy enterprise-scale production AI applications in one to six months. Each of these applications is extensible and customizable to meet customer requirements. </w:t>
      </w:r>
    </w:p>
    <w:p>
      <w:pPr>
        <w:pStyle w:val="TextBody"/>
        <w:bidi w:val="0"/>
        <w:spacing w:lineRule="auto" w:line="288" w:before="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C3 AI Reliability Suite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C3 AI Reliability Suite drives enterprise asset performance, reduces downtime, and improves process efficiency. C3 AI customers use the C3 AI Reliability Suite to identify and predict asset performance risks, intervene before downtime occurs, and maximize asset performance.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C3 AI Reliability Suite offers a flexible and scalable AI approach with better precision than alternatives. C3 AI’s value proposition within reliability emphasizes its (1) complementary approach to existing asset management and data historian systems, (2) detailed asset hierarchy modeling, including asset templates and failure mode libraries, (3) flexible AI pipelines that leverage best-in-class ML frameworks with AI explainability, and (4) comprehensive user workflows to action AI recommendations, with bidirectional integrations to work management and operations systems.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Three discrete applications comprise the C3 AI Reliability Suite: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Reliability</w:t>
      </w:r>
      <w:r>
        <w:rPr>
          <w:color w:val="000000"/>
        </w:rPr>
        <w:t xml:space="preserve"> </w:t>
      </w:r>
      <w:r>
        <w:rPr>
          <w:rFonts w:ascii="Times New Roman;sans-serif" w:hAnsi="Times New Roman;sans-serif"/>
          <w:b w:val="false"/>
          <w:color w:val="000000"/>
          <w:sz w:val="20"/>
        </w:rPr>
        <w:t>increases operations, process, and equipment uptime by anticipating equipment risks and failures.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Process Optimization</w:t>
      </w:r>
      <w:r>
        <w:rPr>
          <w:color w:val="000000"/>
        </w:rPr>
        <w:t xml:space="preserve"> </w:t>
      </w:r>
      <w:r>
        <w:rPr>
          <w:rFonts w:ascii="Times New Roman;sans-serif" w:hAnsi="Times New Roman;sans-serif"/>
          <w:b w:val="false"/>
          <w:color w:val="000000"/>
          <w:sz w:val="20"/>
        </w:rPr>
        <w:t xml:space="preserve">improves production rate and product quality with AI-optimized process control parameters in complex batch, semi-batch, or process manufacturing.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C3 AI Production Optimization </w:t>
      </w:r>
      <w:r>
        <w:rPr>
          <w:rFonts w:ascii="Times New Roman;sans-serif" w:hAnsi="Times New Roman;sans-serif"/>
          <w:b w:val="false"/>
          <w:color w:val="000000"/>
          <w:sz w:val="20"/>
        </w:rPr>
        <w:t>enhances upstream oil and gas production, reduces operational expenses, and improves operational visibility.</w:t>
      </w:r>
    </w:p>
    <w:p>
      <w:pPr>
        <w:pStyle w:val="TextBody"/>
        <w:bidi w:val="0"/>
        <w:spacing w:lineRule="auto" w:line="288" w:before="0" w:after="180"/>
        <w:ind w:left="0" w:right="0" w:firstLine="7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C3 AI Supply Chain Suite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C3 AI Supply Chain Suite significantly improves supply chain resiliency and efficiency with proactive risk mitigation and advanced optimization. C3 AI’s value proposition in supply chain emphasizes its (1) strength in data unification for enterprise and external data to enable near-real-time global visibility of all goods, orders, and transportation, (2) detailed part-level tracking across the supply chain, (3) advanced AI to preemptively detect and mitigate risks, optimize processes, and avoid disruptions, and (4) fully complementary approach with enterprise resource planning, or ERP, systems (e.g., SAP ERP) and supply chain planning tools (e.g., SAP IBP, Logility).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Customers rely on the C3 AI Supply Chain Suite to rapidly improve business outcomes while providing flexibility in how they manage their entire supply chain software ecosystem. One large global manufacturing C3 AI customer uses C3 AI’s production scheduling software to support facilities using mainframe systems, continuing to use the same C3 AI Software while the underlying systems are upgraded to SAP ERP, highlighting the versatility and future-proofing of the model-driven architecture.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Five discrete applications comprise the C3 AI Supply Chain Suite: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C3 AI Supply Network Risk identifies emerging inbound and outbound risks across the network.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C3 AI Inventory Optimization analyzes variability across demand, supply, and production and optimizes inventory levels of all goods to eliminate excess inventory.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C3 AI Demand Forecasting provides AI-based demand segmentation and granular, precision demand forecasts by capturing all high-value demand signals from enterprise and external data sources.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C3 AI Production Schedule Optimization improves production efficiency using a holistic view of demand, supply, manufacturing, and distribution.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C3 AI Sourcing Optimization reduces sourcing costs by detecting pricing anomalies and proactively monitoring all sourcing activity, based on feedback and other information provided from our customers.</w:t>
      </w:r>
    </w:p>
    <w:p>
      <w:pPr>
        <w:pStyle w:val="TextBody"/>
        <w:bidi w:val="0"/>
        <w:spacing w:lineRule="auto" w:line="288" w:before="0" w:after="180"/>
        <w:ind w:left="0" w:right="0" w:firstLine="7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C3 AI Sustainability Suite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C3 AI Sustainability Suite helps decrease greenhouse gas, or GHG, emissions, meet stakeholder and regulatory-specific environmental, social and governance, or ESG, expectations, and reduce energy costs, offering an alternative to existing reporting solutions and dramatically improving upon OEM-provided software (e.g., Siemens, Schneider) by using advanced AI and ML to reduce energy costs and GHG emissions.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Sustainability and energy management professionals struggle with three core challenges: (1) time-consuming, manual, and error-prone process to cobble together siloed data for ESG reporting, (2) an ever-evolving array of international reporting standards (e.g., CDP, GRI, SASB), and (3) forecasting ESG performance and managing goals (and individual projects) that are often outside of the ESG team’s capabilities. C3 AI Sustainability Suite solves these challenges and provides workflows and AI recommendations that enable teams and business units to collaborate on data unification across source systems, auto report generation aligned with major frameworks, and ESG forecasting and performance management.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Two applications comprise the C3 AI Sustainability Suite: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ESG</w:t>
      </w:r>
      <w:r>
        <w:rPr>
          <w:color w:val="000000"/>
        </w:rPr>
        <w:t xml:space="preserve"> </w:t>
      </w:r>
      <w:r>
        <w:rPr>
          <w:rFonts w:ascii="Times New Roman;sans-serif" w:hAnsi="Times New Roman;sans-serif"/>
          <w:b w:val="false"/>
          <w:color w:val="000000"/>
          <w:sz w:val="20"/>
        </w:rPr>
        <w:t xml:space="preserve">lets companies measure, monitor, report, and improve their ESG performance, including scope 1, 2, and 3 emissions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Energy Management</w:t>
      </w:r>
      <w:r>
        <w:rPr>
          <w:color w:val="000000"/>
        </w:rPr>
        <w:t xml:space="preserve"> </w:t>
      </w:r>
      <w:r>
        <w:rPr>
          <w:rFonts w:ascii="Times New Roman;sans-serif" w:hAnsi="Times New Roman;sans-serif"/>
          <w:b w:val="false"/>
          <w:color w:val="000000"/>
          <w:sz w:val="20"/>
        </w:rPr>
        <w:t xml:space="preserve">helps operations teams achieve targets for energy cost, GHG emissions, water consumption, and waste reduction. The application models energy efficiency and emissions at every level of industrial processes from the individual equipment up to the facility as well as SKU-level product carbon footprints. </w:t>
      </w:r>
    </w:p>
    <w:p>
      <w:pPr>
        <w:pStyle w:val="TextBody"/>
        <w:bidi w:val="0"/>
        <w:spacing w:lineRule="auto" w:line="288" w:before="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C3 AI Defense &amp; Intelligence Suite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C3 AI Defense &amp; Intelligence Suite helps maximize mission capabilities. C3 AI customers span the U.S. Department of Defense, or the DoD, (including branches such as the U.S. Air Force), the Missile Defense Agency, and the DoD’s Chief Digital and Artificial Intelligence Office. C3 AI offers a core suite of products adaptable for each agency’s needs.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C3 AI differentiates on scalability of AI/ML and user workflows to solve critical missions. C3 AI’s defense &amp; intelligence customers solve the following core needs with C3 AI: (1) rapid, multi-source data ingestion (e.g., structured, image, video, text), (2) efficient and scalable application of AI, ML, and deep learning techniques to provide novel insights, and (3) user-driven workflows that support investigative analyses, collaboration, and what-if scenario management.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Three core applications comprise the C3 AI Defense &amp; Intelligence Suite: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Readiness</w:t>
      </w:r>
      <w:r>
        <w:rPr>
          <w:rFonts w:ascii="Times New Roman;sans-serif" w:hAnsi="Times New Roman;sans-serif"/>
          <w:b w:val="false"/>
          <w:color w:val="000000"/>
          <w:sz w:val="20"/>
        </w:rPr>
        <w:t xml:space="preserve">, today configured across over 15 aircraft platforms, applies AI and advanced ML to help reduce unscheduled maintenance, pre-position spare parts, and increase mission capability.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Intelligence Analysis</w:t>
      </w:r>
      <w:r>
        <w:rPr>
          <w:color w:val="000000"/>
        </w:rPr>
        <w:t xml:space="preserve"> </w:t>
      </w:r>
      <w:r>
        <w:rPr>
          <w:rFonts w:ascii="Times New Roman;sans-serif" w:hAnsi="Times New Roman;sans-serif"/>
          <w:b w:val="false"/>
          <w:color w:val="000000"/>
          <w:sz w:val="20"/>
        </w:rPr>
        <w:t xml:space="preserve">accelerates investigative timelines with encrypted, obfuscated, federated search on people and relationships leveraging near real time, configurable machine learning pipelines for entities and sentiments.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Decision Advantage</w:t>
      </w:r>
      <w:r>
        <w:rPr>
          <w:color w:val="000000"/>
        </w:rPr>
        <w:t xml:space="preserve"> </w:t>
      </w:r>
      <w:r>
        <w:rPr>
          <w:rFonts w:ascii="Times New Roman;sans-serif" w:hAnsi="Times New Roman;sans-serif"/>
          <w:b w:val="false"/>
          <w:color w:val="000000"/>
          <w:sz w:val="20"/>
        </w:rPr>
        <w:t>improves domain awareness and force management by synthesizing multiple intelligence sources in near real-time and enabling commanders and other decision makers with AI insights.</w:t>
      </w:r>
    </w:p>
    <w:p>
      <w:pPr>
        <w:pStyle w:val="TextBody"/>
        <w:bidi w:val="0"/>
        <w:spacing w:lineRule="auto" w:line="288" w:before="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C3 AI State and Local Government Suite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C3 AI State and Local Government Suite brings the power of Enterprise AI to state and local governments and law enforcement agencies, helping maximize tax revenues by providing highly precise property appraisals and enhancing public safety with AI-powered intelligence analysis.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state, county and municipal law enforcement agencies: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Law Enforcement</w:t>
      </w:r>
      <w:r>
        <w:rPr>
          <w:color w:val="000000"/>
        </w:rPr>
        <w:t xml:space="preserve"> </w:t>
      </w:r>
      <w:r>
        <w:rPr>
          <w:rFonts w:ascii="Times New Roman;sans-serif" w:hAnsi="Times New Roman;sans-serif"/>
          <w:b w:val="false"/>
          <w:color w:val="000000"/>
          <w:sz w:val="20"/>
        </w:rPr>
        <w:t>provides a single view for all relevant systems (e.g., jail records, license plate readers, record management, historical investigations), a natural language search interface to query for keywords across those sources, and an investigative visual graph network to explore connections, lowering the cost and time of criminal investigation.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county property assessors and appraisers: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Residential Property Appraisal</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C3 AI Commercial Property Appraisal</w:t>
      </w:r>
      <w:r>
        <w:rPr>
          <w:color w:val="000000"/>
        </w:rPr>
        <w:t xml:space="preserve"> </w:t>
      </w:r>
      <w:r>
        <w:rPr>
          <w:rFonts w:ascii="Times New Roman;sans-serif" w:hAnsi="Times New Roman;sans-serif"/>
          <w:b w:val="false"/>
          <w:color w:val="000000"/>
          <w:sz w:val="20"/>
        </w:rPr>
        <w:t>provide data unification across numerous disparate systems and creates highly defensible property valuations, reducing the cost and time of real property appraisal.</w:t>
      </w:r>
    </w:p>
    <w:p>
      <w:pPr>
        <w:pStyle w:val="TextBody"/>
        <w:bidi w:val="0"/>
        <w:spacing w:lineRule="auto" w:line="288" w:before="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C3 AI CRM Suite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C3 AI CRM adds to existing customer relationship management, or CRM, implementations with AI and delivers revenue-driving insights. C3 AI CRM does not replace existing CRM systems but significantly improves their utility. C3 AI CRM does not compete with core CRM systems (e.g., Salesforce); rather, it provides complementary AI-driven insights across revenue operations and intelligence and sales engagement. The application solves complex problems across bookings forecasting and opportunity scoring using differentiated capabilities to (1) integrate a comprehensive set of external data feeds (market data, news, firmographic information, etc.), (2) provide industry-specific data models, (3) apply best-in-class algorithms on each opportunity and stage, and (4) supports generative AI for enterprise search.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C3 AI Financial Services Suite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C3 AI Financial Services Suite helps minimize compliance risks, improve balance attrition, increase customer satisfaction, reduce customer churn, identify fraud, and drive employee productivity with workflow-enabled AI applications. With flexible deployment options across public/private cloud or on-premise, its secure architecture, and open ML and AI framework, the C3 AI Financial Services Suite is uniquely positioned to drive significant business value for customers.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Three discrete applications comprise the C3 AI Financial Services Suite: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Anti-Money Laundering</w:t>
      </w:r>
      <w:r>
        <w:rPr>
          <w:color w:val="000000"/>
        </w:rPr>
        <w:t xml:space="preserve"> </w:t>
      </w:r>
      <w:r>
        <w:rPr>
          <w:rFonts w:ascii="Times New Roman;sans-serif" w:hAnsi="Times New Roman;sans-serif"/>
          <w:b w:val="false"/>
          <w:color w:val="000000"/>
          <w:sz w:val="20"/>
        </w:rPr>
        <w:t>helps detect suspicious financial activity, identify fraudulent transactions, and flag bad actors with superior detection accuracy while reducing the false alerts for AML investigators.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Smart Lending</w:t>
      </w:r>
      <w:r>
        <w:rPr>
          <w:color w:val="000000"/>
        </w:rPr>
        <w:t xml:space="preserve"> </w:t>
      </w:r>
      <w:r>
        <w:rPr>
          <w:rFonts w:ascii="Times New Roman;sans-serif" w:hAnsi="Times New Roman;sans-serif"/>
          <w:b w:val="false"/>
          <w:color w:val="000000"/>
          <w:sz w:val="20"/>
        </w:rPr>
        <w:t>drives productivity and customer satisfaction within the credit application and approval process, providing credit officers with contextualized insights that reduce processing timelines and increase approval precision.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Cash Management</w:t>
      </w:r>
      <w:r>
        <w:rPr>
          <w:color w:val="000000"/>
        </w:rPr>
        <w:t xml:space="preserve"> </w:t>
      </w:r>
      <w:r>
        <w:rPr>
          <w:rFonts w:ascii="Times New Roman;sans-serif" w:hAnsi="Times New Roman;sans-serif"/>
          <w:b w:val="false"/>
          <w:color w:val="000000"/>
          <w:sz w:val="20"/>
        </w:rPr>
        <w:t>proactively monitors client treasury activity and preemptively predicts potential deposit churn to prevent balance attrition, helping increase customer retention and grow deposit balances.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C3 Generative AI Product Suite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Generative AI models have attracted attention in recent months due to capability improvements published by OpenAI, Google, and academic researchers. These new breed of transformer-based models are proving valuable at parsing, understanding, and generating natural language and images. C3 AI is in a unique position to apply this technology to solve enterprise problems and has the foundation to operationalize large, deep learning models at scale. C3 AI Software can integrate, transfer-learn, operate, and manage, large, complex, transformer AI models. The C3 Generative AI Product Suite, our latest innovation, is an example of this.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C3 Generative AI Product Suite enables increased access to information, analyses, and predictive analytics associated with and derived from a combination of enterprise and external information systems. This product suite combines the look, feel, and user interface of common search web interfaces with natural language understanding; generative AI models; retrieval AI models; reinforcement learning and a model-driven architecture (for the conceptual representation of enterprise and external data sets, optional data virtualization, and full enterprise access controls/security).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first product of the C3 Generative AI Product Suite, Search, focuses on enterprise information retrieval. C3 Generative AI will soon be available in all C3 AI Applications; we are currently working with several beta customers. Customers will be able to use C3 Generative AI as a standalone product, applied to their existing data lakes, data warehouses, and enterprise applications.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C3 AI Ex Machina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C3 AI Ex Machina is a no-code solution that provides secure, easy access to analysis-ready data, and enables business analysts without data science training to rapidly perform data science tasks such as building, configuring, and training AI models. C3 AI Ex Machina can be used as a standalone application—providing a modern, cloud-native, highly scalable replacement for last-generation tools—and with the C3 AI Platform, typically as the primary tool used by non-developer business analysts to build, train, and tune models on the C3 AI Platform. C3 AI Ex Machina is targeted at the ‘citizen’ data scientist. Customers can sign up online and immediately begin using the product, including paid subscriptions and an initial no cost offering.</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Lighthouse Customers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market-entry strategy has been to establish high-value customer engagements with large global early adopters, or lighthouse customers, in Europe, Asia, and the United States across a range of industries. These lighthouse customers served as proof points for other potential customers in their particular industries. We have established intimate strategic relationships with our customers, including a number of large multinational corporations and government entities. We commonly enter into enterprise-wide agreements with entities that include multiple operating units or divisions. The core of this strategy has been to rapidly deliver high-value outcomes at large scale, across multiple industries, including banking, manufacturing, defense, oil and gas, and utilities. We then use these use cases and outcomes to initiate discussions at numerous leading companies in each sector.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Consumption Pricing Model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fiscal year 2023, we announced our transition to a consumption-based pricing model to adapt to more challenging macro-economic conditions, and better meet the needs of customers. This has become common for enterprise software companies and is aligned with the models of some of our biggest partners, such as Google Cloud, Microsoft Azure, Amazon Web Services, or AWS, and Baker Hughes. With the consumption-based pricing model, customers pay based on vCPU usage, making it faster and more efficient for companies to run pilots with C3 AI. We believe this will lead to a greater number of customers and substantially greater revenue growth.</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High-Value Outcomes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enabling the digital transformation of many of the world’s leading organizations and, in the process, helping them to attain short time-to-value and exceptionally high economic returns. At some companies, based on feedback and other information provided from our customers, we estimate our solutions have helped return billions of dollars in economic benefit.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Rapid Time to Value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to our market success and our primary competitive differentiator is our ability to leverage the C3 AI Platform and C3 AI Applications to bring high-value Enterprise AI applications into production use rapidly. We have deployed Enterprise AI applications into production use in as little as four weeks.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C3 AI Sales Cycle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typical sales cycle begins with one or more product and technical presentations about C3 AI, leading to a mapping of our capabilities to customer use cases. After our pivot to a consumption-based pricing model, mapping our capabilities to customer use cases frequently leads to a paid pilot for the C3 AI Platform, a C3 AI Application, and C3 AI Center of Excellence (COE) including support services that lasts up to six months. During that period, we work with the customer to deploy a production-level C3 AI Application. After completing a successful pilot, our customers will commonly continue to license the C3 AI Application and the C3 AI Platform for a consumption-based fee. Over time, our customers typically expand usage by adding users, expanding their use of the initial application to another use cases, purchasing additional C3 AI Applications for a subscription fee and by developing their own AI applications on the C3 AI Platform, which increases consumption-based fees as usage scales. Additionally, C3 AI can continue to support our customers as needed with our software and COE support services.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Partner Model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C3 AI’s Enterprise AI expertise and technology combined with our partners’ deep domain expertise enhances our solutions to joint customers. In fiscal year 2023, we made significant progress establishing and extending productive partnerships. Our partner ecosystem is increasingly effective at opening new doors with new customers and expanding product offerings with existing customers. In fiscal year 2023, we closed 71 agreements with and through our partner network, which includes Google Cloud, AWS, Microsoft, Baker Hughes, and Booz Allen.</w:t>
      </w:r>
    </w:p>
    <w:p>
      <w:pPr>
        <w:pStyle w:val="TextBody"/>
        <w:bidi w:val="0"/>
        <w:spacing w:lineRule="auto" w:line="288" w:before="0" w:after="180"/>
        <w:jc w:val="both"/>
        <w:rPr/>
      </w:pPr>
      <w:r>
        <w:rPr>
          <w:rFonts w:ascii="Times New Roman;sans-serif" w:hAnsi="Times New Roman;sans-serif"/>
          <w:b/>
          <w:color w:val="000000"/>
          <w:sz w:val="20"/>
        </w:rPr>
        <w:t>C3 AI and Google Cloud</w:t>
      </w:r>
      <w:r>
        <w:rPr>
          <w:color w:val="000000"/>
        </w:rPr>
        <w:t xml:space="preserve"> </w:t>
      </w:r>
      <w:r>
        <w:rPr>
          <w:rFonts w:ascii="Times New Roman;sans-serif" w:hAnsi="Times New Roman;sans-serif"/>
          <w:b w:val="false"/>
          <w:color w:val="000000"/>
          <w:sz w:val="20"/>
        </w:rPr>
        <w:t xml:space="preserve">initially partnered in 2021 and we expanded the partnership agreement in September 2022. The three-year agreement expands global joint selling activities and provides tighter integrations between C3 AI Applications and Google Cloud services. Under the terms of the partnership, the two companies are scaling their joint go-to-market strategy and expanding their joint customer pilot programs with Fortune 2000 companies. Through this partnership, the team has identified a significant number of opportunities in the commercial and public sectors. All C3 AI Applications have been optimized to run in the Google Cloud Platform environment and are available in the Google Cloud Marketplace. </w:t>
      </w:r>
    </w:p>
    <w:p>
      <w:pPr>
        <w:pStyle w:val="TextBody"/>
        <w:bidi w:val="0"/>
        <w:spacing w:lineRule="auto" w:line="288" w:before="0" w:after="180"/>
        <w:jc w:val="both"/>
        <w:rPr/>
      </w:pPr>
      <w:r>
        <w:rPr>
          <w:rFonts w:ascii="Times New Roman;sans-serif" w:hAnsi="Times New Roman;sans-serif"/>
          <w:b/>
          <w:color w:val="000000"/>
          <w:sz w:val="20"/>
        </w:rPr>
        <w:t>C3 AI and AWS</w:t>
      </w:r>
      <w:r>
        <w:rPr>
          <w:color w:val="000000"/>
        </w:rPr>
        <w:t xml:space="preserve"> </w:t>
      </w:r>
      <w:r>
        <w:rPr>
          <w:rFonts w:ascii="Times New Roman;sans-serif" w:hAnsi="Times New Roman;sans-serif"/>
          <w:b w:val="false"/>
          <w:color w:val="000000"/>
          <w:sz w:val="20"/>
        </w:rPr>
        <w:t>first partnered in 2016, and during the third quarter of fiscal year 2023, we expanded and renewed our go-to-market partnership. In the third quarter of fiscal year 2023, AWS funded C3 AI to enhance C3 AI Law Enforcement optimized for AWS, integrating Amazon OpenSearch and AWS ML services to enhance the speed and quality of analysis for state and local agencies using the application on 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pPr>
      <w:r>
        <w:rPr>
          <w:rFonts w:ascii="Times New Roman;sans-serif" w:hAnsi="Times New Roman;sans-serif"/>
          <w:b/>
          <w:color w:val="000000"/>
          <w:sz w:val="20"/>
        </w:rPr>
        <w:t>C3 AI and Azure</w:t>
      </w:r>
      <w:r>
        <w:rPr>
          <w:color w:val="000000"/>
        </w:rPr>
        <w:t xml:space="preserve"> </w:t>
      </w:r>
      <w:r>
        <w:rPr>
          <w:rFonts w:ascii="Times New Roman;sans-serif" w:hAnsi="Times New Roman;sans-serif"/>
          <w:b w:val="false"/>
          <w:color w:val="000000"/>
          <w:sz w:val="20"/>
        </w:rPr>
        <w:t xml:space="preserve">first partnered in 2018 to co-develop products and services for enterprise customers running on the Azure Infrastructure. The companies have collaborated to conduct co-marketing and co-selling strategies that rapidly scale distribution globally for their joint customers. In the third quarter of fiscal year 2023, the companies collaborated to close a global U.S. Energy company and a European technology company serving the construction and mining sectors. We cooperated to deliver a highly successful pilot engagement to a large U.S. Defense Agency. All C3 AI Applications are available in the Azure Marketplace. </w:t>
      </w:r>
    </w:p>
    <w:p>
      <w:pPr>
        <w:pStyle w:val="TextBody"/>
        <w:bidi w:val="0"/>
        <w:spacing w:lineRule="auto" w:line="288" w:before="0" w:after="180"/>
        <w:jc w:val="both"/>
        <w:rPr/>
      </w:pPr>
      <w:r>
        <w:rPr>
          <w:rFonts w:ascii="Times New Roman;sans-serif" w:hAnsi="Times New Roman;sans-serif"/>
          <w:b/>
          <w:color w:val="000000"/>
          <w:sz w:val="20"/>
        </w:rPr>
        <w:t>C3 AI and Booz Allen</w:t>
      </w:r>
      <w:r>
        <w:rPr>
          <w:color w:val="000000"/>
        </w:rPr>
        <w:t xml:space="preserve"> </w:t>
      </w:r>
      <w:r>
        <w:rPr>
          <w:rFonts w:ascii="Times New Roman;sans-serif" w:hAnsi="Times New Roman;sans-serif"/>
          <w:b w:val="false"/>
          <w:color w:val="000000"/>
          <w:sz w:val="20"/>
        </w:rPr>
        <w:t xml:space="preserve">established a strategic partnership in fiscal year 2023 focused on providing strategic solutions into the Government, Defense, and Intelligence sectors. C3 AI and Booz Allen are jointly going to market with the C3 AI Platform and suite of pre-built C3 AI Applications. Together the companies have trained employees on the C3 AI Platform and have already closed their first deal with the DoD’s Chief Digital and Artificial Intelligence Office. </w:t>
      </w:r>
    </w:p>
    <w:p>
      <w:pPr>
        <w:pStyle w:val="TextBody"/>
        <w:bidi w:val="0"/>
        <w:spacing w:lineRule="auto" w:line="288" w:before="0" w:after="180"/>
        <w:jc w:val="both"/>
        <w:rPr/>
      </w:pPr>
      <w:r>
        <w:rPr>
          <w:rFonts w:ascii="Times New Roman;sans-serif" w:hAnsi="Times New Roman;sans-serif"/>
          <w:b/>
          <w:color w:val="000000"/>
          <w:sz w:val="20"/>
        </w:rPr>
        <w:t>C3 AI and Baker Hughes</w:t>
      </w:r>
      <w:r>
        <w:rPr>
          <w:rFonts w:ascii="Times New Roman;sans-serif" w:hAnsi="Times New Roman;sans-serif"/>
          <w:b w:val="false"/>
          <w:color w:val="000000"/>
          <w:sz w:val="20"/>
        </w:rPr>
        <w:t>, a leading oilfield industrial services, equipment, and digital services company, entered into a strategic collaboration in June 2019 to operate as the exclusive channel partner and reseller of C3 AI Software in the oil and gas industry and a non-exclusive reseller in other industries. As part of the original collaboration agreement, Baker Hughes made annual revenue commitments of $320 million over three years. The agreement was amended in June 2020 to extend the term of the agreement by two years and increase the revenue commitments to $450 million. The agreement was amended in October 2021 to extend the term of the agreement by one year and increase the total revenue commitments to $495 million. In January 2023, the companies substantially expanded their strategic partnership. The terms of this expansion resulted in an incremental C3 AI booking of $32.5 million, and the frequency of payments due from Baker Hughes was accelerated over the remaining term of the agreement. C3 AI agreed to provide additional products and services to Baker Hughes. The expanded agreement also provides Baker Hughes with a number of options to extend the term of the collaboration agreement beyond the initial five years.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partnership with Baker Hughes, joint selling, and the credibility it has brought us in the market, C3 AI has closed several deals in the oil and gas and Chemical industry, including LyondellBasell, Shell, ExxonMobil, Petronas, ENI, Aramco, Qatar Gas, ADNOC, PTTGC, Yokogawa, Braskem, and others.</w:t>
      </w:r>
    </w:p>
    <w:p>
      <w:pPr>
        <w:pStyle w:val="TextBody"/>
        <w:bidi w:val="0"/>
        <w:spacing w:lineRule="auto" w:line="288" w:before="0" w:after="180"/>
        <w:jc w:val="both"/>
        <w:rPr/>
      </w:pPr>
      <w:r>
        <w:rPr>
          <w:rFonts w:ascii="Times New Roman;sans-serif" w:hAnsi="Times New Roman;sans-serif"/>
          <w:b/>
          <w:color w:val="000000"/>
          <w:sz w:val="20"/>
        </w:rPr>
        <w:t>C3 AI and Raytheon Intelligence &amp; Space</w:t>
      </w:r>
      <w:r>
        <w:rPr>
          <w:rFonts w:ascii="Times New Roman;sans-serif" w:hAnsi="Times New Roman;sans-serif"/>
          <w:b w:val="false"/>
          <w:color w:val="000000"/>
          <w:sz w:val="20"/>
        </w:rPr>
        <w:t xml:space="preserve">, a subsidiary of Raytheon Technologies Corporation, announced a strategic alliance in 2020 to develop and operate AI solutions for government customers. Under terms of the alliance agreement, Raytheon Intelligence &amp; Space work with C3 AI to offer disruptive solutions to defense missions including Joint All-Domain Operations (JADO) through U.S. Army Tactical Intelligence Targeting Access Node (TITAN) and aircraft condition-based maintenance for the U.S. Air Force Rapid Sustainment Office (RSO).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Sales Model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sales organization is organized both geographically and in vertical market sales units that cooperate to sell to and service customers. We have a highly leveraged go-to-market model comprised of a global field sales force combined with significant alliance partnerships. Each of our strategic partners—including AWS, Baker Hughes, ENGIE, FIS, Google Cloud, Microsoft, and Raytheon—has a large installed customer base with strong, established relationships, and a large global sales force that vastly extends our market coverage. We form specific sales targets and goals with each partner, enabling us to quickly and efficiently engage in customer accounts.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Early on, we focused on the oil and gas, aerospace, defense, utilities, manufacturing, and financial services sectors, as those industries were early adopters in Enterprise AI. We intend to expand into additional industries such as high technology, telecommunications, retail, and precision medicine and are seeing increased industry diversity in our sales pipeline and pilot customer engagements. Our goal is to rapidly move down-market in the coming years to serve the small and medium business segments of each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Revenue Model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consists of software subscription and professional services revenue. The substantial majority of our revenue is generated from subscriptions to our software.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Subscriptions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subscription revenue is primarily comprised of term agreements, stand-ready COE support services, trials and pilots of our applications, and software-as-a-service offerings. Sales of our term licenses grant our customers the right to use our software, either on their own cloud instance or their internal hardware infrastructure, over the contractual term. We also offer a premium stand-ready service through our COE. Sales of our software-as-a-service offerings include a right to use our software over the contractual term. Our subscription contracts are generally non-cancellable and non-refundable. In addition, customers pay a usage-based runtime fee for our C3 AI Software for specified levels of capacity. Our subscriptions also include our maintenance and support services, which include critical and continuous updates to the software that are integral to maintaining the intended utility of the software over the contractual term.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Within subscription revenue, we include revenue from our consumption-based pricing model. This model typically begins with a pilot phase which includes unlimited developer access to C3 AI Platform, one C3 AI Application and COE support services. After the pilot phase ends, the customer has an option to convert to a month-to-month contract for C3 AI Software with a monthly minimum fee and overages charged if the customer utilizes greater than the specified number of vCPU/vGPU hours in a month. Customers have the option to commit to a one-year, two-year or three-year term.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Professional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professional services primarily include implementation services, training and prioritized engineering services. We maintain a professional services organization that offers resources, methodologies, and experience to help customers develop and deploy enterprise-scale AI applications. Our services are complemented by those of our partners. Our professional services strategy is to quickly train our customers to develop, customize, and deploy applications independently of us, rapidly making them self-sufficient.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C3 AI Implementation Services help ensure successful customer outcomes throughout the application development and deployment phases, including setup and configuration, ML model development and tuning, and integration of multiple complex source systems.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Prioritized engineering services are undertaken at the request of customers to accelerate the development of software features in C3 AI software products.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instances where a large or continuing professional services presence may be desired or necessary, we generally rely upon our partner ecosystem to provide those services. This enables us to maintain high gross margins and allows us the flexibility to rapidly deploy trained professional services personnel at large scale any place on the planet.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Marketing</w:t>
      </w:r>
    </w:p>
    <w:p>
      <w:pPr>
        <w:pStyle w:val="TextBody"/>
        <w:bidi w:val="0"/>
        <w:spacing w:lineRule="auto" w:line="288" w:before="0" w:after="180"/>
        <w:jc w:val="both"/>
        <w:rPr/>
      </w:pPr>
      <w:r>
        <w:rPr>
          <w:rFonts w:ascii="Times New Roman;sans-serif" w:hAnsi="Times New Roman;sans-serif"/>
          <w:b w:val="false"/>
          <w:color w:val="000000"/>
          <w:sz w:val="20"/>
        </w:rPr>
        <w:t xml:space="preserve">Our multichannel marketing function is focused on market education, thought leadership, account-based marketing, and demand generation. We engage the market through digital, print, and social media, virtual and physical events, including our C3 AI Transform annual customer conference, and livestreamed events featuring C3 AI customers, C3 AI partners, and C3 AI experts in AI, ML, and data science. Our Chief Executive Officer, Tom Siebel—a recognized technology thought leader and author of the 2019 </w:t>
      </w:r>
      <w:r>
        <w:rPr>
          <w:rFonts w:ascii="Times New Roman;sans-serif" w:hAnsi="Times New Roman;sans-serif"/>
          <w:b w:val="false"/>
          <w:i/>
          <w:color w:val="000000"/>
          <w:sz w:val="20"/>
        </w:rPr>
        <w:t>Wall Street Journal</w:t>
      </w:r>
      <w:r>
        <w:rPr>
          <w:color w:val="000000"/>
        </w:rPr>
        <w:t xml:space="preserve"> </w:t>
      </w:r>
      <w:r>
        <w:rPr>
          <w:rFonts w:ascii="Times New Roman;sans-serif" w:hAnsi="Times New Roman;sans-serif"/>
          <w:b w:val="false"/>
          <w:color w:val="000000"/>
          <w:sz w:val="20"/>
        </w:rPr>
        <w:t xml:space="preserve">best seller, </w:t>
      </w:r>
      <w:r>
        <w:rPr>
          <w:rFonts w:ascii="Times New Roman;sans-serif" w:hAnsi="Times New Roman;sans-serif"/>
          <w:b w:val="false"/>
          <w:i/>
          <w:color w:val="000000"/>
          <w:sz w:val="20"/>
        </w:rPr>
        <w:t>Digital Transformation: Survive and Thrive in an Era of Mass Extinction</w:t>
      </w:r>
      <w:r>
        <w:rPr>
          <w:color w:val="000000"/>
        </w:rPr>
        <w:t>—</w:t>
      </w:r>
      <w:r>
        <w:rPr>
          <w:rFonts w:ascii="Times New Roman;sans-serif" w:hAnsi="Times New Roman;sans-serif"/>
          <w:b w:val="false"/>
          <w:color w:val="000000"/>
          <w:sz w:val="20"/>
        </w:rPr>
        <w:t xml:space="preserve">is a frequent industry keynote speaker and is often interviewed by leading media, including </w:t>
      </w:r>
      <w:r>
        <w:rPr>
          <w:rFonts w:ascii="Times New Roman;sans-serif" w:hAnsi="Times New Roman;sans-serif"/>
          <w:b w:val="false"/>
          <w:i/>
          <w:color w:val="000000"/>
          <w:sz w:val="20"/>
        </w:rPr>
        <w:t>The</w:t>
      </w:r>
      <w:r>
        <w:rPr>
          <w:color w:val="000000"/>
        </w:rPr>
        <w:t xml:space="preserve"> </w:t>
      </w:r>
      <w:r>
        <w:rPr>
          <w:rFonts w:ascii="Times New Roman;sans-serif" w:hAnsi="Times New Roman;sans-serif"/>
          <w:b w:val="false"/>
          <w:i/>
          <w:color w:val="000000"/>
          <w:sz w:val="20"/>
        </w:rPr>
        <w:t>Wall Street Journal, Financial Times, The Economist, Fortune, Forbes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CNBC</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BloombergTV</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Yahoo! Finance</w:t>
      </w:r>
      <w:r>
        <w:rPr>
          <w:rFonts w:ascii="Times New Roman;sans-serif" w:hAnsi="Times New Roman;sans-serif"/>
          <w:b w:val="false"/>
          <w:color w:val="000000"/>
          <w:sz w:val="20"/>
        </w:rPr>
        <w: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Rich Human Capital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strongest asset is unquestionably the human capital that we have been able to attract, retain, and motivate. We have won the Glassdoor Best Place to Work award, were named a Battery Ventures/Glassdoor Highest-Rated Cloud Companies To Work For, and are consistently ranked among the best places to work. We attract exceptionally talented, highly educated, experienced, motivated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built a culture of high performance based on four core values: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Drive and Innovation Propelling Growth.</w:t>
      </w:r>
      <w:r>
        <w:rPr>
          <w:color w:val="000000"/>
        </w:rPr>
        <w:t xml:space="preserve"> </w:t>
      </w:r>
      <w:r>
        <w:rPr>
          <w:rFonts w:ascii="Times New Roman;sans-serif" w:hAnsi="Times New Roman;sans-serif"/>
          <w:b w:val="false"/>
          <w:color w:val="000000"/>
          <w:sz w:val="20"/>
        </w:rPr>
        <w:t xml:space="preserve">We self-select for people who love to work hard, think with rigor, speak with purpose, and act to achieve great things.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Natural Curiosity to Solve the Impossible.</w:t>
      </w:r>
      <w:r>
        <w:rPr>
          <w:color w:val="000000"/>
        </w:rPr>
        <w:t xml:space="preserve"> </w:t>
      </w:r>
      <w:r>
        <w:rPr>
          <w:rFonts w:ascii="Times New Roman;sans-serif" w:hAnsi="Times New Roman;sans-serif"/>
          <w:b w:val="false"/>
          <w:color w:val="000000"/>
          <w:sz w:val="20"/>
        </w:rPr>
        <w:t>We are self-learners, always seeking knowledge to accelerate innovation.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Professional Integrity Governing All Endeavors.</w:t>
      </w:r>
      <w:r>
        <w:rPr>
          <w:color w:val="000000"/>
        </w:rPr>
        <w:t xml:space="preserve"> </w:t>
      </w:r>
      <w:r>
        <w:rPr>
          <w:rFonts w:ascii="Times New Roman;sans-serif" w:hAnsi="Times New Roman;sans-serif"/>
          <w:b w:val="false"/>
          <w:color w:val="000000"/>
          <w:sz w:val="20"/>
        </w:rPr>
        <w:t>We comport ourselves with unwavering ethical integrity, respect, and courtesy.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Collective Intelligence.</w:t>
      </w:r>
      <w:r>
        <w:rPr>
          <w:color w:val="000000"/>
        </w:rPr>
        <w:t xml:space="preserve"> </w:t>
      </w:r>
      <w:r>
        <w:rPr>
          <w:rFonts w:ascii="Times New Roman;sans-serif" w:hAnsi="Times New Roman;sans-serif"/>
          <w:b w:val="false"/>
          <w:color w:val="000000"/>
          <w:sz w:val="20"/>
        </w:rPr>
        <w:t>We believe the unity of our team is substantially greater than the sum of its parts.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C3 AI Management Development Series, we train our managers to motivate and lead their teams by setting clear objectives with an outcomes-based approach. Our C3 AI Leadership Development Program equips aspiring managers with skills for future leadership roles. We offer cash incentives to employees who complete professional training and will even pay for employees to earn a master’s degree in computer science.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talent acquisition team engages various constituency groups to recruit qualified under-represented minorities, women, and military veterans to job opportunities. We host tech talks and workshops at top universities across the nation with the Women in Computer Science Associations, the Society of Women in Engineering, the Society of Latinx Engineers, and the Society of Black Engineers. We joined with BreakLine to help support hiring military veterans. Our goal is to find and recruit the best talent in the world.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we had 914 full-time employees, with 746 based in the United States and 168 in our international locations.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Culture of High Performance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dedicated to achieving our mission to accelerate digital transformation of organizations globally by enabling the deployment of Enterprise AI at scale. Our people are domain experts in their respective fields. We are individuals with exceptional education and professional backgrounds. We are uncompromising in the quality of our work product. We build relationships with our customers grounded upon the highest levels of business ethics and professionalism, with a laser focus on customer success. We execute with precision.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Recognized Enterprise AI Industry Leadership</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are broadly recognized as a leader in Enterprise AI with many other industry recognitions, including CNBC Disruptor 50 (2020, 2019, 2018), BloombergNEF Pioneer (2020), Forbes Cloud 100 (2020, 2019, 2018, 2017), The Financial Times’ The Americas’ Fastest Growing Companies (2023, 2022, 2021), Deloitte Technology Fast 500 (2019), and EY Entrepreneur of the Year (2018, 2017) and have been named to the Constellation ShortList for Artificial Intelligence &amp; Machine Learning Cloud Platforms (2022, 2020), a leader by Forrester Wave: AI/ML Platforms, Q3 2022, and Forrester Wave: Industrial IoT Software Platforms (2019, 2018), and IDC MarketScape: Solutions for Industrial Platforms and Applications in Energy (2021).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client, the San Mateo County Sheriff’s Office, was named a winner in the IDC Government Insights’ sixth annual Smart Cities North America Awards (2023) in the category of data-driven policing for implementing C3 AI Law Enforcement for analytics-powered public safety. Con Edison’s work with C3 AI was recognized in the IDC Future Enterprise Best in Future of Intelligence North America Awards (2022) and the U.S. Air Force’s use of the C3 AI Readiness solution as a platform of choice was recognized in the Constellation SuperNova Awards (2021).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Sustainable Competitive Advantage: C3 AI Model-Driven Architecture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technology is a cohesive family of integrated software services developed over a decade, engineered with a proprietary model-driven architecture, that provides all the software services and microservices necessary and sufficient to rapidly develop and deploy Enterprise AI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 applications developed with the C3 AI Platform can leverage any open source software solutions and all of the cloud services of AWS, Microsoft Azure, Google Cloud, and can operate on any of these cloud platforms, on-premises, or in a hybrid cloud.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the structured programming approach that most organizations typically attempt, our model-driven architecture with declarative programming accelerates development by a factor of 26, while reducing the amount of code that must be written by up to 99%.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big data and application demands of enterprise-scale AI applications require numerous underlying interdependent elements. These include enterprise data, extraprise data, sensor data, data persistence services, data streaming services, messaging services, analytics services, ML services, security services, data visualization, application development services, application monitoring services, and scores to hundreds more. With a traditional structured programming approach, developers spend significant time and effort to write extensive code to define, manage, connect, and control each element. This often results in overwhelming complexity and highly brittle applications that can break any time an underlying element is changed or updated—we believe this is a primary reason why the vast majority of AI efforts have not been deployed into production at enterprise scale.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contrast, our model-driven architecture provides an “abstraction layer,” that allows our partners and our customers, as well as our internal C3 AI developers, to build or customize Enterprise AI applications by using conceptual models of all the elements an application requires. C3 AI provides a library of tens of thousands of prebuilt conceptual models that can be easily modified and extended, and developers can efficiently create their own models as well. These prebuilt, extensible models encompass a vast range of business objects (customer, order, contract, etc.), physical systems and subsystems (engine, boiler, chiller, compressor, etc.), computing resources and services (database, stream processing, etc.)—virtually anything an application requires can be represented as a model in our model-driven architecture. To ensure ongoing operability of our thousands of prebuilt and extensible models on different underlying infrastructure (e.g., AWS, Microsoft Azure, etc.), our automated testing continuously executes approximately 60,000 tests and security scans with each change or update we make to our software or infrastructure.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Leveraging this model-driven architecture, application developers and data scientists can focus on delivering immediate value, without the need to manage the complex interdependencies of the underlying elements. These conceptual models can be reused by many applications, thereby accelerating development of new applications.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model-driven architecture and declarative programming approach provides significant competitive advantage both by enabling our customers and partners to successfully develop and deploy Enterprise AI applications faster, and by providing the foundation for C3 AI to rapidly extend our portfolio of cross-industry and industry-specific applications.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Strategic Competitive IP Advantage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enjoy a rich patent portfolio that is a substantial competitive advantage, both offensive and defensive, in the Enterprise AI market—most notably, U.S. patents (No. 10,817,530 and No. 10,824,634) which were granted for systems and methods for data processing and enterprise AI applications.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patent portfolio covers the key capabilities of our model-driven architecture that are the foundation of our highly differentiated technology. This includes methods, systems, and devices for data aggregation and unification, times-series data processing, data abstraction, ML implementation, and much more.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our technology is protected by a broad patent portfolio, with 16 issued patents in the United States, 12 issued counterpart patents in a number of international jurisdictions, over 37 patent applications pending in the United States, and 70 patent applications pending internationally. Our issued patents expire beginning in 2033 through 2039. We continually review our development efforts to assess the existence and patentability of new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Intellectual property is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However, we believe that factors such as the technological and creative skills of our personnel, creation of new services, features and functionality, and frequent enhancements to our platform are more essential to establishing and maintaining our technology leadership position. See the section titled “Risk Factors—Risks Related to Our Intellectual Property” in Part I, Item 1A in this Annual Report on Form 10-K for a discussion of the risks associated with our intellectual property.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The C3 AI Model-Driven Architecture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Over the last four decades, the information technology industry has grown from about $120 billion globally in 1980 to almost $8.0 trillion today. During this time, the IT industry has experienced the transition from mainframe computing to minicomputers, to personal computing, to internet computing, and to handheld computing. The software industry has transitioned from custom applications based on mainframe standards such as MVS, VSAM, and ISAM, to applications developed on a relational database foundation, to enterprise application software, to SaaS and mobile apps, and now to the AI-enabled enterprise. The internet and the iPhone changed everything. Generative AI is now poised to lead to another major shift.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Requirements of the Model-Driven Architecture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develop an effective Enterprise AI application, it is necessary to aggregate data from a variety of enterprise information systems, suppliers, distributors, markets, products in customer use, and sensor networks, in order to provide a view of the extended enterprise.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Today’s data velocities are dramatic, requiring the ability to ingest and aggregate data from hundreds of millions of endpoints at very high frequency, sometimes exceeding 1,000 Hz cycles. The data need to be processed at the rate they arrive, in a highly secure and resilient system that addresses persistence, event processing, ML, and visualization. This requires massively horizontally scalable elastic distributed processing capability offered only by modern cloud platforms and supercomputer systems.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resultant data persistence requirements are staggering. These data sets rapidly aggregate into hundreds of petabytes, even exabytes. Each data type needs to be stored in an appropriate database capable of handling these volumes at high frequency. Relational databases, key-value stores, graph databases, distributed file systems, and blobs are all important to organizing and linking data across these divergent technologies.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Reference Enterprise AI Software Platform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problems that have to be addressed to enable today’s Enterprise AI applications are nontrivial. Massively parallel elastic computing and storage capacity are prerequisite. These services are provided today at increasingly low cost by Google Cloud, AWS, Microsoft Azure, and others. The elastic cloud is a major breakthrough that has dramatically transformed modern computing. In addition to the cloud, multiple data services are necessary to develop, provision, and operate Enterprise AI applications.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array of capabilities and services necessary for building and operating Enterprise AI and IoT applications at scale represents a development problem on the order of magnitude of a relatively simple enterprise software application such as CRM. Consider just a few of these requirements.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Data Integration. </w:t>
      </w:r>
      <w:r>
        <w:rPr>
          <w:rFonts w:ascii="Times New Roman;sans-serif" w:hAnsi="Times New Roman;sans-serif"/>
          <w:b w:val="false"/>
          <w:color w:val="000000"/>
          <w:sz w:val="20"/>
        </w:rPr>
        <w:t>This problem has haunted the computing industry for decades. Prerequisite to ML and AI at industrial scale is the availability of a unified, federated image of all the data contained in the multitude of (1) enterprise information systems—ERP, CRM, SCADA, HR, MRP—typically thousands of systems in each large enterprise; (2) sensor IoT networks—SIM chips, smart meters, programmable logic arrays, machine telemetry, bioinformatics; and (3) relevant extraprise data—weather, terrain, satellite imagery, social media, biometrics, trade data, pricing, market data, etc.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Data Persistence.</w:t>
      </w:r>
      <w:r>
        <w:rPr>
          <w:color w:val="000000"/>
        </w:rPr>
        <w:t xml:space="preserve"> </w:t>
      </w:r>
      <w:r>
        <w:rPr>
          <w:rFonts w:ascii="Times New Roman;sans-serif" w:hAnsi="Times New Roman;sans-serif"/>
          <w:b w:val="false"/>
          <w:color w:val="000000"/>
          <w:sz w:val="20"/>
        </w:rPr>
        <w:t>The data aggregated and processed includes every type of structured and unstructured data imaginable. Personally identifiable information, census data, images, text, video, telemetry, voice, network topologies. There is no “one size fits all” database that is optimized for all of these data types. This results in the need for a multiplicity of database technologies including but not limited to relational, NoSQL, key-value stores, distributed file systems, graph databases, and blobs.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Platform Services.</w:t>
      </w:r>
      <w:r>
        <w:rPr>
          <w:color w:val="000000"/>
        </w:rPr>
        <w:t xml:space="preserve"> </w:t>
      </w:r>
      <w:r>
        <w:rPr>
          <w:rFonts w:ascii="Times New Roman;sans-serif" w:hAnsi="Times New Roman;sans-serif"/>
          <w:b w:val="false"/>
          <w:color w:val="000000"/>
          <w:sz w:val="20"/>
        </w:rPr>
        <w:t>A myriad of sophisticated platform services are necessary for any Enterprise AI or IoT application. Examples include access control, data encryption in motion, encryption at rest, ETL, queuing, pipeline management, autoscaling, multitenancy, authentication, authorization, cybersecurity, time-series services, normalization, data privacy, GDPR privacy compliance, NERC-CIP compliance, and SOC2 compliance.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Analytics Processing. </w:t>
      </w:r>
      <w:r>
        <w:rPr>
          <w:rFonts w:ascii="Times New Roman;sans-serif" w:hAnsi="Times New Roman;sans-serif"/>
          <w:b w:val="false"/>
          <w:color w:val="000000"/>
          <w:sz w:val="20"/>
        </w:rPr>
        <w:t>The volumes and velocity of data acquisition in such systems are blinding and the types of data and analytics requirements are highly divergent, requiring a range of analytics processing services. These include continuous analytics processing, MapReduce, batch processing, stream processing, and recursive processing.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Machine Learning Services. </w:t>
      </w:r>
      <w:r>
        <w:rPr>
          <w:rFonts w:ascii="Times New Roman;sans-serif" w:hAnsi="Times New Roman;sans-serif"/>
          <w:b w:val="false"/>
          <w:color w:val="000000"/>
          <w:sz w:val="20"/>
        </w:rPr>
        <w:t>The whole point of these systems is to enable data scientists to develop and deploy ML models. There is a range of tools necessary to enable that, including Jupyter Notebooks, Python, DIGITS, R, and Scala. Increasingly important is an extensible curation of ML libraries such as TensorFlow, Caffe, Torch, Amazon ML, and AzureML. An effective AI and IoT platform needs to support them all.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Data Visualization Tools.</w:t>
      </w:r>
      <w:r>
        <w:rPr>
          <w:color w:val="000000"/>
        </w:rPr>
        <w:t xml:space="preserve"> </w:t>
      </w:r>
      <w:r>
        <w:rPr>
          <w:rFonts w:ascii="Times New Roman;sans-serif" w:hAnsi="Times New Roman;sans-serif"/>
          <w:b w:val="false"/>
          <w:color w:val="000000"/>
          <w:sz w:val="20"/>
        </w:rPr>
        <w:t>Any viable AI architecture needs to enable a rich and varied set of data visualization tools including Excel, Tableau, Qlik, Spotfire, Oracle BI, Business Objects, Domo, Alteryx, and others.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Developer Tools and UI Frameworks. </w:t>
      </w:r>
      <w:r>
        <w:rPr>
          <w:rFonts w:ascii="Times New Roman;sans-serif" w:hAnsi="Times New Roman;sans-serif"/>
          <w:b w:val="false"/>
          <w:color w:val="000000"/>
          <w:sz w:val="20"/>
        </w:rPr>
        <w:t>An organization’s IT development and data science teams each have adopted and become comfortable with a set of application development frameworks and user interface development tools. An AI and IoT platform must support all of these tools—including, for example, the Eclipse IDE, VI, Visual Studio, React, Angular, R Studio, and Jupyter—or it will be rejected as unusable by the IT development teams.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Open, Extensible, Future-Proof. </w:t>
      </w:r>
      <w:r>
        <w:rPr>
          <w:rFonts w:ascii="Times New Roman;sans-serif" w:hAnsi="Times New Roman;sans-serif"/>
          <w:b w:val="false"/>
          <w:color w:val="000000"/>
          <w:sz w:val="20"/>
        </w:rPr>
        <w:t>The current pace of software and algorithm innovation is accelerating. The techniques used today will likely be obsolete in five to 10 years. An AI and IoT platform architecture must therefore provide the capability to replace any components with their next-generation improvements. Moreover, the platform must enable the incorporation of any new open source or proprietary software innovations without adversely affecting the functionality or performance of an organization’s existing applications. This is a level-zero requirement.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C3 AI Platform has been refined, tested, and proven in some of the most demanding industries and production environments—electric utilities, manufacturing, oil and gas, and defense—comprising petabyte-scale datasets from thousands of vastly disparate source systems, massive volumes of high-frequency time series data from millions of devices, and hundreds of thousands of ML models.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Awash in “AI Platforms”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Industry analysts estimate that organizations will invest almost $800 billion annually in AI software by 2026. According to a leading consulting firm, companies will generate $15 trillion annually in added value by 2030 from the use of these new technologies. This is the fastest-growing enterprise software market in history and represents an entire replacement market for enterprise application software.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Today the market is awash in AI solutions that provide component parts to design, develop, provision, and operate Enterprise AI applications, including Cassandra, Cloudera, DataStax, AWS IoT, and Hadoop. AWS, Microsoft Azure, and Google Cloud each offer an elastic cloud computing platform and an increasingly innovative library of microservices that can be used for data aggregation, ETL, queuing, data streaming, MapReduce, continuous analytics processing, ML services, data visualization, etc. While these products are useful, we believe that none offers the scope of utility necessary and sufficient to rapidly design, develop and deploy Enterprise AI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color w:val="000000"/>
        </w:rPr>
      </w:pPr>
      <w:r>
        <w:rPr>
          <w:color w:val="000000"/>
        </w:rPr>
        <w:t>“</w:t>
      </w:r>
      <w:r>
        <w:rPr>
          <w:rFonts w:ascii="Times New Roman;sans-serif" w:hAnsi="Times New Roman;sans-serif"/>
          <w:b/>
          <w:color w:val="000000"/>
          <w:sz w:val="20"/>
        </w:rPr>
        <w:t>Do It Yourself” Enterprise AI?</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Software innovation cycles follow a typical pattern. Early in the cycle, companies often take a “do it yourself” approach and try building the new technology themselves. In the 1980s, for example, when Oracle first introduced relational database management system, or RDBMS, software to the market, interest was high. RDBMS technology offered dramatic cost economies and productivity gains in application development and maintenance. We believe it proved an enabling technology for the next generation of enterprise applications that followed, including material requirements planning, or MRP, ERP, customer relationship management, or CRM, manufacturing automation, and others.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early competitors in the RDBMS market included Oracle, IBM (DB2), Relational Technology (Ingres), and Sperry (Mapper). But the primary competitor to Oracle was not any of these companies. It was in many cases the CIO, who attempted to build the organization’s own RDBMS with IT personnel, offshore personnel, or the help of a systems integrator. When those efforts failed, the CIO was replaced and the organization installed a commercial RDBMS.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 enterprise applications including ERP and CRM were introduced to the market in the 1990s, the primary competitors included Oracle, SAP, and Siebel Systems. But in the early years of that innovation cycle, many CIOs attempted to develop these complex enterprise applications internally. Hundreds of person-years and hundreds of millions of dollars were spent on those projects. A few years later, a new CIO would install a working commercial system.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most technologically astute companies—including Hewlett-Packard, IBM, and Compaq—repeatedly failed at internally developed CRM projects. All ultimately became successful Siebel Systems CRM customers.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Just as happened with the introduction of RDBMS, ERP, and CRM software in prior innovation cycles, the initial reaction of many IT organizations is to try to internally develop a general-purpose Enterprise AI and IoT platform, using open source software with a combination of microservices from cloud providers like AWS and Google Cloud. The process starts by taking some subset of myriad proprietary and open source solutions and organizing them into a platform architecture.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next step is to assemble hundreds to thousands of programmers, frequently distributed around the world, using structured programming and application programming interfaces, or APIs, to attempt to stitch these various programs, data sources, sensors, ML models, development tools, and user interface paradigms together into a unified, functional, seamless whole that will enable the organization to excel at designing, developing, provisioning, and deploying numerous enterprise scale AI and IoT applications.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complexity of such a system is much greater than developing a CRM or ERP system. There are a number of problems with this approach:</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Complexity. </w:t>
      </w:r>
      <w:r>
        <w:rPr>
          <w:rFonts w:ascii="Times New Roman;sans-serif" w:hAnsi="Times New Roman;sans-serif"/>
          <w:b w:val="false"/>
          <w:color w:val="000000"/>
          <w:sz w:val="20"/>
        </w:rPr>
        <w:t>Using structured programming, the number of software API connections that one needs to establish, harden, test, and verify for a complex system can, in our estimation, approach the order of 10</w:t>
      </w:r>
      <w:r>
        <w:rPr>
          <w:rFonts w:ascii="Times New Roman;sans-serif" w:hAnsi="Times New Roman;sans-serif"/>
          <w:b w:val="false"/>
          <w:color w:val="000000"/>
          <w:sz w:val="13"/>
        </w:rPr>
        <w:t>13</w:t>
      </w:r>
      <w:r>
        <w:rPr>
          <w:rFonts w:ascii="Times New Roman;sans-serif" w:hAnsi="Times New Roman;sans-serif"/>
          <w:b w:val="false"/>
          <w:color w:val="000000"/>
          <w:sz w:val="20"/>
        </w:rPr>
        <w:t>. The developers of the system need to individually and collectively grasp that level of complexity to get it to work. We believe the number of programmers capable of dealing with that level of complexity is quite small.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Aside from the platform developers, the application developers and data scientists also need to understand the complexity of the architecture and all the underlying data and process dependencies in order to develop any application.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Brittleness. </w:t>
      </w:r>
      <w:r>
        <w:rPr>
          <w:rFonts w:ascii="Times New Roman;sans-serif" w:hAnsi="Times New Roman;sans-serif"/>
          <w:b w:val="false"/>
          <w:color w:val="000000"/>
          <w:sz w:val="20"/>
        </w:rPr>
        <w:t>Spaghetti-code applications of this nature are highly dependent upon each and every component working properly. If one developer introduces a bug into any one of the open source components, all applications developed with that platform may cease to function.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Future Proof. </w:t>
      </w:r>
      <w:r>
        <w:rPr>
          <w:rFonts w:ascii="Times New Roman;sans-serif" w:hAnsi="Times New Roman;sans-serif"/>
          <w:b w:val="false"/>
          <w:color w:val="000000"/>
          <w:sz w:val="20"/>
        </w:rPr>
        <w:t>As new libraries, faster databases, and new ML techniques become available, those new utilities need to be available within the platform. Consequently, every application that was built on the platform will likely need to be reprogrammed in order to function correctly. This may take months to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Data Integration. </w:t>
      </w:r>
      <w:r>
        <w:rPr>
          <w:rFonts w:ascii="Times New Roman;sans-serif" w:hAnsi="Times New Roman;sans-serif"/>
          <w:b w:val="false"/>
          <w:color w:val="000000"/>
          <w:sz w:val="20"/>
        </w:rPr>
        <w:t>An integrated, federated common object data model is absolutely necessary for this application domain. Using this type of structured programming, API-driven architecture may require hundreds of person-years to develop an integrated data model for any large corporation. This is the primary reason why tens to hundreds of millions of dollars are spent, and several years later, no applications are deployed. The Fortune 500 is littered with such disaster stories.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The Gordian Knot of Structured Programming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Structured programming is a technique introduced in the mid-1960s to simplify code development, testing, and maintenance. Prior to structured programming, software was written in large monolithic tomes replete with APIs and “go-to” statements. The resultant product might consist of millions of lines of code with thousands of such APIs and go-to statements that were difficult to develop, understand, debug, and maintain.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essential idea of structured programming was to break the code into a relatively simple “main routine” and then use something called an application programming interface to call subroutines that were designed to be modular and reusable. Structured programming remains the state of the art for many applications today, and has dramatically simplified the process of developing and maintaining computer code.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this technique is appropriate for many classes of applications, it breaks down with the complexity and scale of the requirements for a modern Enterprise AI or IoT application, resulting in a Gordian knot.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C3 AI Platform: Model-Driven Architecture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notion of a model-driven architecture was developed at the beginning of the 21st century in response to the growing complexity of enterprise application development requirements. Model-driven architecture provides the knife to cut the Gordian knot of structured programming for highly complex problems. The C3 AI Platform is designed and built with a model-driven architecture.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Central to a model-driven architecture is the concept of a “model” that serves as an abstraction layer to simplify the programming problem. Using models, the programmer or application developer does not have to be concerned with all the data types, data interconnections, and processes that act on the data associated with any given entity, e.g., customer, tractor, doctor, or fuel type. He or she simply needs to address the model for any given entity—e.g., customer—and all the underlying data, data interrelationships, pointers, APIs, associations, connections, and processes associated with or used to manipulate those data are abstracted in the model itself.</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Using the C3 AI Platform and its model-driven architecture, virtually anything can be represented as a model—even, for example, applications, including databases, natural language processing engines, and image recognition systems. Models also support a concept called inheritance. An AI application built with the C3 AI Platform might include a model called relational database, that in turn serves as a placeholder that might incorporate any relational database system like Oracle, Postgres, Aurora, Spanner, or SQL Server. A key-value store model might contain Cassandra, HBase, Cosmos DB, or DynamoDB.</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C3 AI Reduces Complexity, Simplifies Development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its model-driven architecture, the C3 AI Platform provides an abstraction layer and semantics to represent the application. This frees the programmer from having to worry about data mapping, API syntax, and the mechanics of myriad computational processes such as ETL, queuing, pipeline management, encryption, etc.</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optimal design for an object model to address Enterprise AI and IoT applications uses abstract models as placeholders to which a programmer can link an appropriate application. The relational database model might link to Postgres. A report writer model might link to MicroStrategy. A data visualization model might link to Tableau. And so on. A powerful feature of a model-driven architecture is that as new open source or proprietary solutions become available, the object model library can simply be extended to incorporate that new feature.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Another important capability of the C3 AI Platform enabled by its model-driven architecture is that the applications developed on the platform are future-proofed: due to the modular nature of the model-driven architecture, new, upgraded, or enhanced services can be easily integrated with the C3 AI Platform. Suppose, for example, that an organization developed all its applications initially using Oracle as the relational database and then later decided to switch to an alternate RDBMS. The only modification required is to change the link in the RDBMS meta-model to point to the new RDBMS. All the applications deployed previously using Oracle as the RDBMS will continue to run without modification after that replacement. This enables organizations to immediately and easily take advantage of new and improved product offerings as they become available.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Platform Independence: Multi-Cloud and Polyglot Cloud Deployment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Enterprises today often have a multi-cloud strategy. While corporate leaders are eagerly embracing the cloud, they are also very concerned about cloud vendor lock-in. They want to be able to continually negotiate. They want to deploy different applications in clouds from different vendors, and they want to be free to move applications from one cloud vendor to another.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Multi-cloud deployment is therefore an additional requirement of a modern model-driven software platform that is fully supported by the C3 AI Platform. Applications developed with the C3 AI Platform can run without modification on any cloud and on bare metal behind the firewall in a hybrid cloud environment.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requirement for the new AI technology stack—that the C3 AI Platform delivers—is polyglot cloud deployment capability: the ability to mix various services from multiple cloud providers and to easily swap and replace those services. The cloud vendors provide the market a great service by enabling instant access to virtually unlimited horizontally scalable computing capacity and effectively infinite storage capacity at exceptionally low cost. As the cloud vendors aggressively compete with one another on price, the cost of cloud computing and storage is consistently decreasing.</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C3 AI Platform: A Tested, Proven, and Patented AI Suite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model-driven approach to developing Enterprise AI applications using the C3 AI Platform has been tested and proven in dozens of large-scale, real-world deployments at some of the world’s largest organizations.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C3 AI provides a powerful platform enabling these and other leading organizations to develop and operate Enterprise AI applications at scale, with a fraction of the effort and resources required by other approaches. Applications built with the C3 AI Platform are flexible, easily upgraded, and can be ported across different cloud platforms with little or no modification, providing a solution that future-proofs customers’ investment in Enterprise AI and IoT application development.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main sources of current and potential competition fall into several categories: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Corporate IT organizations that attempt to develop internal solutions for their enterprises;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commercial enterprise and point solution software providers;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open source software providers with data management, ML, and analytics offerings;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public cloud providers offering discrete tools and micro-services with data management, ML, and analytics functionality;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system integrators that develop and provide custom software solutions;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legacy data management product providers;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strategic and technology partners who may also offer our competitors’ technology or otherwise partner with them, including our strategic partners who may offer a substantially similar solution based on a competitor’s technology or internally developed technology that is competitive with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competition is largely do-it-yourself, custom-developed, company-specific AI platforms and applications developed by internal IT organizations. Such efforts usually involve the integration of internally developed tools, open source solutions, and point solutions offered by independent software vendors, and/or components offered in the AWS, Microsoft Azure, or Google Cloud platforms. Frequently these efforts will be managed as professional service projects by organizations like Accenture or Lockheed Martin. These tend to be very costly and time-consuming software engineering projects, often fail, and, if at all successful, usually require many years to realize economic return. Most of our customers have tried and failed at one or more such bespoke development efforts, sometimes at great expense, before turning to C3 AI for their AI solution.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unaware of any end-to-end Enterprise AI development platforms that are directly competitive with the C3 AI Platform. The commercial product offerings that were formerly positioned as functionally equivalent to C3 AI were GE Predix and IBM Watson, both multibillion-dollar software engineering efforts backed by massive promotional campaigns; we no longer encounter them in competitive situations.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Growth Strategy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investing in the expansion of our direct enterprise sales and service organization both geographically and across vertical markets to expand the use of C3 AI solutions within existing customers and establish new customer relationships.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transition to a consumption-based pricing model is designed to accelerate growth by making it easier and less costly to adopt C3 AI solutions. With the consumption-based pricing model, customers pay based on vCPU and vGPU usage per hour of actual use.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release of the C3 Generative AI solutions in March 2023 is receiving considerable interest, and is a key part of our growth strategy. We closed three agreements for C3 Generative AI in the fourth quarter of fiscal year 2023 with large enterprises, and are working through a substantial pipeline of C3 Generative AI opportunities. The C3 AI generative application is available on both AWS Marketplace and the Google Cloud Marketplace.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heavily in research and development to maintain technology leadership. Our product roadmap includes a wide range of new functions and products to be released in the coming years that we expect to contribute to revenue growth with both new and existing customers.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University Relations: C3.ai Digital Transformation Institute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Established in February 2020, the C3.ai Digital Transformation Institute, or C3.ai DTI, is a research consortium dedicated to accelerating the benefits of AI for business, government, and society. The goal of C3.ai DTI is to develop the field of Digital Transformation Science by leveraging laboratory and research facilities at UC Berkeley, UIUC, and consortium institutions. C3.ai DTI forms dynamic teams of the world's best researchers to interact with faculty and students to advance AI techniques for industrial, commercial, and public sector applications.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C3.ai DTI supports the development of ML algorithms, data security, and cybersecurity techniques to address and advance solutions related to predictive analytics, resilient operation under faults and cyberattack, and assured system security. C3.ai DTI research is engaged in analyzing new business operation models, developing methods for organizational change management, developing advanced methods of protecting privacy, and advancing dialog related to the ethical implications of AI. Central to C3.ai DTI’s research is the development and validation of algorithms and designs that can dramatically affect societal systems.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contributing to the public good, C3.ai DTI exposes the capabilities of our AI Suite and AI Applications to potentially thousands of researchers, undergraduates, and graduate students at these world-renowned institutions. This helps to further build the community of C3 AI users and to establish C3 AI as the standard for developing and deploying large-scale Enterprise AI applications to solve the world’s hardest problems.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consumer and data protection, and taxes, could have a material impact on our business in subsequent periods. For more information on the potential impacts of government regulations affecting our business, see the section titled “Risk Factors” contained in Part I, Item 1A of this Annual Report on Form 10-K.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located at www.c3.ai, and our investor relations website is located at ir.c3.ai. We file electronically with the SEC our annual reports on Form 10-K, quarterly reports on Form 10-Q, current reports on Form 8-K, and amendments to those reports filed or furnished pursuant to Section 13(a) or 15(d) of the Exchange Act. We make available on our investor relations website, free of charge, copies of these reports and other information as soon as reasonably practicable after we electronically file such material with, or furnish it to, the SEC. These filings with the SEC are also available on the SEC’s website located at www.sec.gov.</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announce material information to the public through a variety of means, including filings with the SEC, press releases, public conference calls, our website (c3.ai), the investor relations section of our website (ir.c3.ai), our Twitter account, our LinkedIn page, and our Facebook account. We use these channels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Further, corporate governance information, including our corporate governance guidelines, code of business conduct and ethics, and committee charters, is also available on our investor relations website.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content of or accessible through our websites or our social media channels are not incorporated by reference into this Annual Report on Form 10-K or in any other report or document we file with the SEC, and any references to our websites or social media channels are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consider carefully the risks and uncertainties described below, together with all of the other information in this Annual Report on Form 10-K, including the section titled “Item 7. Management’s Discussion and Analysis of Financial Condition and Results of Operations” and our consolidated financial statements and related notes.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C3 AI Software (which includes our C3 AI Platform, C3 AI Applications, C3 Generative AI Product Suite and C3 AI Ex Machina), reputation, brand, financial condition, results of operations, and prospects. In such event, the market price of our Class A common stock could decline, and you could lose all or part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and Our Industry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 limited operating history, which makes it difficult to evaluate our prospects and future results of operations.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founded in 2009.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we expect our revenue growth to slow. A number of factors could cause our growth rate to be adversely impacted, including any reduction in demand for our C3 AI Software, reduction in consumption of our C3 AI Software, increased competition, contraction of our overall market, our inability to accurately forecast demand for our C3 AI Software,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will be harmed.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Historically, a limited number of customers have accounted for a substantial portion of our revenue. If existing customers do not renew their contracts with us, or if our relationships with our largest customers are impaired or terminated, our revenue could decline, and our results of operations would be adversely impacted.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including customers that, at the time, represented a significant portion of our business, have in the past reduced their spend with us or decided to not renew their subscriptions with us, which has reduced our anticipated future payments or revenue from these customers. It is not possible for us to predict the future level of demand from our larger customers for our C3 AI Software. In addition, our average total subscription contract value is decreasing, and we expect it to continue to decrease as we expand our customer base beyond a small number of large customers to a larger number of smaller customers.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generally have no obligation to renew, upgrade, or expand their subscriptions with us after the terms of their existing subscriptions expire. In addition, our customers may opt to decrease their usage of our C3 AI Software. As a result, we cannot provide assurance that our customers will renew, upgrade, or expand their subscriptions with us, if they renew at all. If one or more of our customers elect not to renew their subscriptions with us, or if our customers renew their subscriptions with us for shorter time periods, or if our customers decrease their usage of our C3 AI Software, or if our customers otherwise seek to renegotiate terms of their existing agreements on terms less favorable to us, our business and results of operations would be adversely affected. This adverse impact would be even more pronounced for customers that represent a material portion of our revenue or business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attract new customers and on our existing customers purchasing additional subscriptions from us and renewing their existing subscriptions.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increase our revenue, we must continue to attract new customers. Our success will depend to a substantial extent on the widespread adoption of our C3 AI Software. Although demand for data management, ML, analytics, and AI platforms and applications has grown in recent years, the market for these platforms and applications continues to evolve. Numerous factors may impede our ability to add new customers, including but not limited to, our failure to compete effectively against alternative products or services, to attract and effectively train new sales and marketing personnel, to develop or expand relationships with partners and resellers, to successfully innovate and deploy new applications and other solutions, to provide a quality customer experience and customer support, or to ensure the effectiveness of our marketing programs. If we are not able to attract new customers, it will have an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future success depends on our ability to sell additional subscriptions for our C3 AI Software to our existing customers, and our customers renewing their subscriptions when the contract term expires. Our customers generally have no contractual obligation to renew, upgrade, or expand their subscriptions after the terms of their existing subscriptions expire. In addition, our customers may opt to decrease their usage of our C3 AI Software. Given our limited operating history, we may not be able to accurately predict customer renewal rates. Our customers’ renewal and expansion commitments may decline or fluctuate as a result of a number of factors, including, but not limited to, their satisfaction with our C3 AI Software and our customer support, the frequency and severity of software and implementation errors or other reliability issues, the pricing of our subscriptions or competing solutions, changes in their IT budget, the effects of global economic conditions, and our customers’ financial circumstances, including their ability to maintain or expand their spending levels or continue their operations. In order for us to maintain or improve our results of operations, it is important that our customers renew or expand their subscriptions with us. If our customers do not purchase additional subscriptions, increase their usage of our software, or renew their subscriptions with us, our business, financial condition, and results of operations may be harmed.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historical experience with supporting or selling to smaller, non-enterprise customers. We intend to grow our customer base and further contribute to our overall growth by introducing product offerings with a lower entry price point, such as our no-code offering C3 AI Ex Machina. However, by broadening our customer base to include smaller or mid-size customers, we will be faced with risks that may not be present or that are present to a lesser extent with respect to sales to large organizations. Because of our limited experience in supporting or selling to smaller, non-enterprise customers, we may be unsuccessful in our efforts to get future smaller customers to renew or expand their subscriptions to our offerings. If such customers do not renew their agreements or renew on less favorable terms or for less usage, our revenue may grow more slowly than expected or decline, and our business, financial condition, and results of operations may be harmed.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Achieving renewal or expansion of usage and subscriptions may require us to engage increasingly in sophisticated and costly sales and support efforts that may not result in additional sales. In addition, the rate at which our customers expand the deployment of our C3 AI Software depends on a number of factors. If our efforts to expand our relationships with our customers are not successful, our business, financial condition, and results of operations may be harmed.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Because we derive substantially all of our revenue from our C3 AI Software, failure of Enterprise AI solutions in general and our C3 AI Software in particular to satisfy customer demands or to achieve increased market acceptance would adversely affect our business, results of operations, financial condition, and growth prospects.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derive and expect to continue for the foreseeable future to derive substantially all of our revenue from our C3 AI Software. As such, the market acceptance of Enterprise AI solutions in general, and our C3 AI Software in particular, are critical to our continued success. Market acceptance of an Enterprise AI solution depends in part on market awareness of the benefits that Enterprise AI can provide over legacy products, emerging point products, and manual processes. In addition, in order for cloud-based Enterprise AI solutions to be widely accepted, organizations must overcome any concerns with placing sensitive information on a cloud-based platform. Demand for our C3 AI Software in particular is affected by a number of other factors, some of which are beyond our control. These factors include continued market acceptance of our C3 AI Software, the pace at which existing customers realize benefits from the use of our C3 AI Software and decide to expand deployment of our C3 AI Software across their business, the timing of development and release of new products by our competitors, technological change, reliability and security, the pace at which enterprises undergo digital transformation, and developments in data privacy regulations. We expect that the needs of our customers will continue to rapidly change and increase in complexity. We will need to improve the functionality and performance of our C3 AI Software continually to meet those rapidly changing, complex demands. If we are unable to continue to meet customer demands or to achieve more widespread market acceptance of Enterprise AI solutions in general or our C3 AI Software in particular, our business operations, financial results, and growth prospects will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current C3 AI Software, as well as applications, features, and functionality that we may introduce in the future, may not be widely accepted by our customers, may receive negative attention or may require us to compensate or reimburse third parties, any of which may lower our margins and harm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engage, retain, and increase our base of customers and to increase our revenue will depend on our ability to successfully create new applications, features, and functionality, both independently and together with third parties. We may introduce significant changes to our existing C3 AI Software or develop and introduce new and unproven applications, including technologies with which we have little or no prior development or operating experience. These new applications and updates may fail to engage, retain, and increase our base of customers or may suffer from lag in adoption. New applications may initially suffer from performance and quality issues that may negatively impact our ability to market and sell such applications to new and existing customers. The short- and long-term impact of any major change to our C3 AI Software, or the introduction of new applications, is particularly difficult to predict. If new or enhanced applications fail to engage, retain, and increase our base of customers, we may fail to generate sufficient revenue, operating margin, or other value to justify our investments in such applications, any of which may harm our business.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required to compensate or reimburse third parties in connection with certain sales of our current C3 AI Software as part of our partner relationships. New applications, features and functionality that we introduce in the future or new partner relationships may increase the amount of compensation or reimbursement we pay to third parties. Any future requirement or increase in the rate that we compensate or reimburse third parties would lower our profit margins and harm our business.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a history of operating losses and may not achieve or sustain profitability in the future.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incurred net losses in each period since our founding in 2009. We generated net losses of approximately $268.8 million and $192.1 million for the fiscal years ended April 30, 2023 and 2022, respectively. As a result, we had an accumulated deficit of $810.2 million as of April 30, 2023. We expect to continue to incur net losses for the foreseeable future. These losses and accumulated deficit reflect the substantial investments we made to acquire new customers, commercialize our C3 AI Software, and continue to develop our C3 AI Software. While we have experienced revenue growth in recent periods, we do not know whether or when we will generate sufficient revenue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C3 AI Software and business,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investments in our research and development team and in the development of new features and enhancements of our C3 AI Software, including the hiring of additional development staff, and fees paid to third parties for related enhancements;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investments in sales, marketing, and services, including expanding our sales force and our customer service team, increasing our customer base, increasing market awareness of our C3 AI Software, and development of new technologies;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expanding our operations and infrastructure;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hiring additional employees.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also face increased compliance costs associated with growth, the expansion of our customer base, and being a public company. Our efforts to grow our business may be costlier than we expect, our revenue growth may be slower than we expect, and we may not be able to increase our revenue enough to offset our increased operating expenses. We may incur significant losses in the future for a number of reasons, such as the other risks described herein, unforeseen expenses, difficulties, complications or delays, and other unknown events. If we are unable to achieve and sustain profitability, the value of our business and Class A common stock may significantly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and could lose market share to our competitors, which could adversely affect our business, financial condition and results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our products is intensely competitive and characterized by rapid changes in technology, customer requirements, and industry standards, and frequent new platform and application introductions and improvements. We anticipate continued competitive challenges from current competitors who address different aspects of our offerings. We also expect competitive challenges from new entrants into the industry. If we are unable to anticipate or effectively react to these competitive challenges, our competitive position could weaken, and we could experience a decline in our growth rate and revenue that could adversely affect our business and results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main sources of current and potential competition fall into several categories: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internal IT organizations that develop internal solutions and provide self</w:t>
        <w:noBreakHyphen/>
        <w:t>support for their enterprises;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commercial enterprise and point solution software providers;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open source software providers with data management, ML, and analytics offerings;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public cloud providers offering discrete tools and micro-services with data management, ML, and analytics functionality;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system integrators that develop and provide custom software solutions;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legacy data management product providers;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strategic and technology partners who may also offer our competitors’ technology or otherwise partner with them, including our strategic partners who may offer a substantially similar solution based on a competitor’s technology or internally developed technology that is competitive with ours.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existing competitors have, and some of our potential competitors could have, substantial competitive advantages such as: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greater name recognition, longer operating histories, and larger customer bases;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larger sales and marketing budgets and resources and the capacity to leverage their sales efforts and marketing expenditures across a broader portfolio of products;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broader, deeper, or otherwise more established relationships with technology, channel, and distribution partners and customers;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wider geographic presence or greater access to larger customer bases;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greater focus in specific geographies or industries;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lower labor and research and development costs;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larger and more mature intellectual property portfolios;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substantially greater financial, technical, and other resources to provide support, make acquisitions, hire talent, and develop and introduce new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larger competitors have substantially broader and more diverse platform and application offerings and may be able to leverage their relationships with distribution partners and customers based on other products or incorporate functionality into existing products to gain business in a manner that discourages potential customers from subscribing to our C3 AI Software, including by selling at zero or negative margins, bundling with other offerings, or offering closed technology platforms. Potential customers may also prefer to purchase from their existing suppliers rather than a new supplier regardless of platform or application performance or features. As a result, even if the features of our C3 AI Software are superior, potential customers may not purchase our offerings. These larger competitors often have broader product lines and market focus or greater resources and may therefore not be as susceptible to economic downturns or other significant reductions in capital spending by customers. If we are unable to sufficiently differentiate our solutions from the integrated or bundled products of our competitors, such as by offering enhanced functionality, performance or value, we may see a decrease in demand for our offerings, which could adversely affect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Moreover, new innovative start</w:t>
        <w:noBreakHyphen/>
        <w:t>up companies, and larger companies that are making significant investments in research and development, may introduce products that have greater performance or functionality, are easier to implement or use, or incorporate technological advances that we have not yet developed or implemented, or may invent similar or superior technologies that compete with ours. Our current and potential competitors may also establish cooperative relationships among themselves or with third parties that may further enhance their resources.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competitors have made or could make acquisitions of businesses that allow them to offer more competitive and comprehensive solutions. As a result of such acquisitions, our current or potential competitors may be able to accelerate the adoption of new technologies that better address customer needs, devote greater resources to bring these platforms and applications to market, initiate or withstand substantial price competition, or develop and expand their product and service offerings more quickly than we can. These competitive pressures in our market or our failure to compete effectively may result in fewer orders, reduced revenue and gross margins, and loss of market share. In addition, it is possible that industry consolidation may impact customers’ perceptions of the viability of smaller or even mid</w:t>
        <w:noBreakHyphen/>
        <w:t xml:space="preserve">size software firms and consequently customers’ willingness to purchase from such firms.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compete successfully against our current or potential competitors. If we are unable to compete successfully, or if competing successfully requires us to take costly actions in response to the actions of our competitors, our business, financial condition, and results of operations could be adversely affected. In addition, companies competing with us may have an entirely different pricing or distribution model. Increased competition could result in fewer customer orders, price reductions, reduced operating margins, and loss of market share. Further, we may be required to make substantial additional investments in research, development, marketing, and sales in order to respond to such competitive threats, and we cannot assure you that we will be able to compete successfully in the future.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sales cycles can be long and unpredictable, particularly with respect to large subscriptions, and our sales efforts require considerable time and expense.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may fluctuate, in part, because of the complexity of customer problems that our C3 AI Software address, the resource</w:t>
        <w:noBreakHyphen/>
        <w:t>intensive nature of our sales efforts, the length and variability of the sales cycle for our C3 AI Software, and the difficulty in making short</w:t>
        <w:noBreakHyphen/>
        <w:t xml:space="preserve">term adjustments to our operating expenses. The timing of our sales is difficult to predict. The length of our sales cycle, from initial evaluation to payment for our subscriptions is approximately 3.7 months but can vary substantially from customer to customer and can extend over a number of years for some customers. Our sales efforts involve educating our customers about the use, technical capabilities, and benefits of our C3 AI Software. Customers often undertake a prolonged evaluation process, which frequently involves not only our C3 AI Software but also those of other companies. In addition, the size of potential customers may lead to longer sales cycles. For instance, we invest resources into sales to large organizations and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C3 AI Software. Large organizations may demand additional features, support services, and pricing concessions or require additional security management or control features. Some organizations may also require an on-premise solution rather than a cloud solution, which potentially requires additional implementation time and potentially a longer sales cycle. We may spend substantial time, effort and money on sales efforts to large organizations without any assurance that our efforts will produce any sales or that these customers will deploy our C3 AI Software widely enough across their organization to justify our substantial upfront investment. As a result, it is difficult to predict exactly when, or even if, we will make a sale to a potential customer or if we can increase sales to our existing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 individual sale typically represents a large proportion of our overall sales during any given period, which impacts our ability to plan and manage cash flows and margins. These large individual sales have, in some cases, occurred in quarters or years subsequent to those we anticipated, or have not occurred at all. If our sales cycle lengthens or our substantial upfront investments do not result in sufficient revenue to justify our investments, our operating results could be adversely affected. In addition, within each quarter or year, it is difficult to project when a deal will close. Therefore, it is difficult to determine whether we are achieving our quarterly or annual expectations until near the end of the applicable quarter or year. Most of our expenses are relatively fixed or require time to adjust. Therefore, if expectations for our business are not accurate, we may not be able to adjust our cost structure on a timely basis, and our margins and cash flows may differ from expectations.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Certain revenue metrics such as net dollar-based retention rate or annual recurring revenue may not be accurate indicators of our future financial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subscription-based software companies often report on metrics such as net dollar-based revenue retention rate, annual recurring revenue or other revenue metrics, and investors and analysts sometimes look to these metrics as indicators of business activity in a period for businesses such as ours. However, given our large average subscription contract value and our dependence on a small number of high-value customer contracts, these metrics are not accurate indicators of future revenue for any given period of time because the gain or loss of even a single high-value customer contract could cause significant volatility in these metrics. If investors and analysts view our business through these metrics, the trading price of our Class A common stock may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Changes in our subscription or pricing models could adversely affect our operating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the markets for our subscriptions grow, as new competitors introduce new products or services that compete with ours, or as we enter into new international markets, we may be unable to attract new customers at the same price or based on the same pricing model as we have historically used. Regardless of pricing model used, large customers may demand higher price discounts than in the past. Our competitors may also introduce new products that compete with ours or reduce their prices, or we may be unable to attract new customers or retain existing customers based on our historical subscription and pricing models. As a result, we may be required to reduce our prices, offer shorter contract durations or offer alternative pricing models, any of which could adversely affect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with respect to determining the optimal prices for subscriptions for our C3 AI Software. In the past, we have been able to increase our prices for our C3 AI Software but we may choose not to introduce or be unsuccessful in implementing future price increases or changes in our pricing models. In the second quarter of fiscal year 2023, we announced a change to our go-to-market strategy. This change includes a way for new customers to utilize our products at a smaller initial contract size and pay for services based on their monthly consumption of vCPU hours, rather than payment pursuant to a purely subscription-based payment option. Unlike customers utilizing our subscription-based option, in which revenue is recognized ratably over the term of the subscription, for customers utilizing our new consumption-based payment option, we will recognize revenue on consumption. Because such customers will have flexibility in the timing of their consumption, we do not have the same visibility into the timing of revenue recognition for such customers that we have with our subscription-based customers. There is a risk that customers using the consumption-based option will consume our platform more slowly than we expect, and our actual results may differ from our forecasts. This risk may increase as more customers move to the consumption-based model. Further, investors and securities analysts may not understand how our consumption-based option differs from our subscription-based option, or the intersection of our consumption-based option and our subscription-based option. If our results of operations fall below the expectations of investors and securities analysts who follow our stock, the price of our Class A common stock could decline substantially, and we could face costly lawsuits, including securities class actions.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Given our limited operating history and limited experience with our current pricing models, we may not be able to accurately predict customer renewal or retention rates. As a result, we may be required or choose to reduce our prices or change our pricing model, which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revenue growth depends in part on the success of our strategic relationships with third parties, including channel partners, and if we are unable to establish and maintain successful relationships with them, our business, operating results, and financial condition could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grow our partner ecosystem as a way to grow our business. We anticipate that we will continue to establish and maintain relationships with third parties, such as channel partners, resellers, OEMs, system integrators, independent software and hardware vendors, and platform and cloud service providers. For example, in June 2019, we entered into a strategic collaboration with Baker Hughes whereby Baker Hughes operates as the exclusive channel partner and reseller of our C3 AI Software in the oil and gas industry and a non-exclusive reseller in other industries. This arrangement was most recently revised in January 2023 and continues until April 30, 2025, with options to renew. We also have strategic relationships with AWS, FIS, Google Cloud, Microsoft, and Raytheon.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establish and maintain similar strategic relationships in certain industry verticals and otherwise, and we expect our channel partners to become an increasingly important aspect of our business. However, these strategic relationships could limit our ability in the future to compete in certain industry verticals and, depending on the success of our third-party partners and the industries that those partners operate in generally, may negatively impact our business because of the nature of strategic alliances, exclusivity provisions, or otherwise. We work closely with select vendors to design solutions to specifically address the needs of certain industry verticals or use cases within those verticals. As our agreements with strategic partners terminate or expire, we may be unable to renew or replace these agreements on comparable terms, or at all.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in revenue and ability to achieve and sustain profitability depends in part on our ability to identify, establish, and retain successful strategic partner relationships in the United States and internationally, which will take significant time and resources and involve significant risk. To the extent we do identify such partners, we will need to negotiate the terms of a commercial agreement with them under which the partner would distribute our C3 AI Software. We cannot be certain that we will be able to negotiate commercially attractive terms with any strategic partner, if at all. In addition, all channel partners must be trained to distribute our C3 AI Software. In order to develop and expand our distribution channel, we must develop and improve our processes for channel partner introduction and training. If we do not succeed in identifying suitable strategic partners or maintain our relationships with such partners, our business, operating results, and financial condition may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we cannot guarantee that the partners with whom we have strategic relationships will continue to devote the resources necessary to expand our reach and increase our distribution. In addition, customer satisfaction with services and other support from our strategic partners may be less than anticipated, negatively impacting anticipated revenue growth and results of operations. We cannot be certain that these partners will prioritize or provide adequate resources to selling our C3 AI Software. Further, some of our strategic partners offer competing platforms and applications or also work with our competitors. As a result of these factors, many of the companies with whom we have strategic alliances may choose to pursue alternative technologies and develop alternative platforms and applications in addition to or in lieu of our C3 AI Software, either on their own or in collaboration with others, including our competitors. We cannot assure you that our strategic partners will continue to cooperate with us. In addition, actions taken or omitted to be taken by such parties may adversely affect us. Moreover, we rely on our channel partners to operate in accordance with the terms of their contractual agreements with us. For example, our agreements with our channel partners limit the terms and conditions pursuant to which they are authorized to resell or distribute our C3 AI Software and offer technical support and related services. If we are unsuccessful in establishing or maintaining our relationships with third parties, or if our strategic partners do not comply with their contractual obligations to us, our business, operating results, and financial condition may be adversely affected. Even if we are successful in establishing and maintaining these relationships with third parties, we cannot assure you that these relationships will result in increased customer usage of our C3 AI Software or increased revenue to us.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our sales to government entities have been made, and in the future may be made, indirectly through our channel partners. Government entities may have statutory, contractual, or other legal rights to terminate contracts with our channel partners for convenience or due to a default, and, in the future, if the portion of government contracts that are subject to renegotiation or termination at the election of the government entity are material, any such termination or renegotiation may adversely impact our future operating results. In the event of such termination, it may be difficult for us to arrange for another channel partner to sell our C3 AI Software to these government entities in a timely manner, and we could lose sales opportunities during the transition. Government entities routinely investigate and audit government contractors’ administrative processes, and any unfavorable audit could result in the government entity refusing to renew its subscription to our C3 AI Software, a reduction of revenue, or fines or civil or criminal liability if the audit uncovers improper or illegal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the market for our C3 AI Software fails to grow as we expect, or if businesses fail to adopt our C3 AI Software, our business, operating results, and financial condition could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difficult to predict customer adoption rates and demand for our C3 AI Software, the entry of competitive platforms, or the future growth rate and size of the cloud-based software and software-as-a-service, or SaaS, business software markets. A substantial majority of our revenue has come from sales of our subscription-based software products, which we expect to continue for the foreseeable future. Although demand for data management, ML, and analytics platforms and applications has grown in recent years, the market for these platforms and applications continues to evolve. We cannot be sure that this market will continue to grow or, even if it does grow, that businesses will adopt our C3 AI Software. Our future success will depend in large part on our ability to further penetrate the existing market for Enterprise AI software, as well as the continued growth and expansion of what we believe to be an emerging market for Enterprise AI platforms and applications that are faster, easier to adopt, and easier to use. Our ability to further penetrate the Enterprise AI market depends on a number of factors, including the cost, performance, and perceived value associated with our C3 AI Software, as well as customers’ willingness to adopt a different approach to data analysis. We have spent, and intend to keep spending, considerable resources to educate potential customers about digital transformation, AI, and ML in general and our C3 AI Software in particular. However, we cannot be sure that these expenditures will help our C3 AI Software achieve any additional market acceptance. Furthermore, potential customers may have made significant investments in legacy analytics software systems and may be unwilling to invest in new platforms and applications. If the market fails to grow or grows more slowly than we currently expect or businesses fail to adopt our C3 AI Software, our business, operating results, and financial condition could be adversely affected.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fail to respond to rapid technological changes, extend our C3 AI Software, or develop new features and functionality, our ability to remain competitive could be impaired.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our C3 AI Software is characterized by rapid technological change and frequent new platform and application introductions and enhancements, changing customer demands, and evolving industry standards. The introduction of platforms and applications embodying new technologies can quickly make existing platforms and applications obsolete and unmarketable. Data management, ML, and analytics platforms and applications are inherently complex, and it can take a long time and require significant research and development expenditures to develop and test new or enhanced platforms and applications. The success of any enhancements or improvements to our existing C3 AI Software or any new applications depends on several factors, including timely completion, competitive pricing, adequate quality testing, integration with existing technologies, and overall market acceptance.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grow our customer base and generate revenue from customers will depend heavily on our ability to enhance and improve our C3 AI Software, to develop additional functionality and use cases, introduce new features and applications and interoperate across an increasing range of devices, operating systems, and third-party applications. Our customers may require features and capabilities that our current C3 AI Software does not have or may face use cases that our current C3 AI Software does not address. We invest significantly in research and development, and our goal is to focus our spending on measures that improve quality and ease of adoption and create organic customer demand for our C3 AI Software. When we develop a new enhancement or improvement to our C3 AI Software, we typically incur expenses and expend resources upfront to develop, market and promote the new enhancement and improvement. Therefore, when we develop and introduce new enhancements and improvements to our C3 AI Software, they must achieve high levels of market acceptance in order to justify the amount of our investment in developing and bringing them to market. There is no assurance that our enhancements to our C3 AI Software or our new application experiences, functionality, use cases, features, or capabilities will be compelling to our customers or gain market acceptance. If our research and development investments do not accurately anticipate customer demand, or if we fail to develop our C3 AI Software in a manner that satisfies customer preferences in a secure, timely and cost-effective manner, we may fail to retain our existing customers or increase demand for our C3 AI Software.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even if we introduce new capabilities in our C3 AI Software, we may experience a decline in revenue from sales of our existing C3 AI Software that is not offset by revenue from the new C3 AI Software capabilities and applications. For example, customers may delay ordering subscriptions of new C3 AI Software capabilities or applications to permit them to make a more thorough evaluation of the C3 AI Software or until industry and marketplace reviews become widely available. Some customers may hesitate to migrate to new C3 AI Software due to concerns regarding the complexity of migration and suite or application infancy issues on performance. In addition, we may lose existing customers who choose a competitor’s AI platforms and applications rather than migrate to our new C3 AI Software capabilities and applications. This could result in a temporary or permanent revenue shortfall and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failure of our C3 AI Software to operate effectively with future infrastructure platforms and technologies could reduce the demand for our C3 AI Software. If we are unable to respond to these changes in a timely and cost-effective manner, our C3 AI Software may become less marketable, less competitive, or obsolete, and our business may be adversely affected.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introduction of new AI platforms and applications by competitors or the development of entirely new technologies to replace existing offerings could make our C3 AI Software obsolete or adversely affect our business, results of operations, and financial condition. We may experience difficulties with software development, design, or marketing that could delay or prevent our development, introduction, or implementation of new C3 AI Software experiences, features, or capabilities. We have in the past experienced delays in our internally planned release dates of new features and capabilities, and there can be no assurance that new C3 AI Software features or capabilities will be released according to schedule. Any delays could result in adverse publicity, loss of revenue or market acceptance, or claims by customers brought against us, all of which could harm our business. Moreover, new productivity features for our C3 AI Software may require substantial investment, and we have no assurance that such investments will be successful. If customers do not widely adopt our new C3 AI Software features and capabilities, we may not be able to realize a return on our investment. If we are unable to develop, license, or acquire new features and capabilities to our C3 AI Software on a timely and cost-effective basis, or if such enhancements do not achieve market acceptance, our business could be harmed.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were to lose the services of our CEO or other members of our senior management team, we may not be able to execute our business strategy.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a large part upon the continued service of key members of our senior management team. In particular, our founder and CEO, Thomas M. Siebel, is critical to our overall management, sales strategy, culture, strategic direction, engineering, and operations. In addition, Mr. Siebel is a recognized leader in information technology and is critical to the continued development of our C3 AI Software. All of our executive officers are at-will employees, and we do not maintain any key person life insurance policies. The loss of any member of our senior management team could make it more difficult to execute our business strategy and, therefore, harm our business.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failure to effectively develop and expand our marketing and sales capabilities could harm our ability to increase our customer base and achieve broader market acceptance of our C3 AI Software.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expand our customer base and achieve broader market acceptance of our C3 AI Software depends to a significant extent on our ability to continue to expand our marketing and sales operations and the ultimate effectiveness of those operations. We plan to continue expanding our sales force and strategic partners, both domestically and internationally.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Identifying and recruiting qualified sales representatives and training them is time consuming and resource intensive, and they may not be fully trained and productive for a significant amount of time. Our C3 AI Software is complicated and, as such, our sales force and operations require significant time and investment for proper recruitment, onboarding, and training in order for our sales operations to be productive. In addition, as we enter into new markets, expand the capabilities of our C3 AI Software and offer new C3 AI Software, we may need to identify and recruit additional sales and marketing efforts specific to such strategic expansion. Our efforts to do so may be increasingly resource intensive, time consuming, and ultimately unsuccessful. We also dedicate significant resources to sales and marketing programs, including internet and other online advertising. As more customers take advantage of our consumption-based pricing options, once a new customer begins using our C3 AI Software, our sales team will need to continue to focus on expanding consumption with that customer. All of these efforts require us to invest significant financial and other resources. In addition, the cost to acquire customers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business would be adversely affected if our marketing and sales efforts are not successful and generate increases in revenue that are smaller than anticipated. If our marketing and sales efforts are not effective, our sales and revenue may grow more slowly than expected or materially decline, and our business may be significantly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fail to develop, maintain, and enhance our brand and reputation cost-effectively, our business and financial condition may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developing, maintaining, and enhancing awareness and integrity of our brand and reputation in a cost-effective manner are important to achieving widespread acceptance of our C3 AI Software and are important elements in attracting new customers and maintaining existing customers. We believe that the importance of our brand and reputation will increase as competition in our market further intensifies. Successful promotion of our brand depends on the effectiveness of our marketing efforts, our ability to provide a reliable and useful C3 AI Software at competitive prices, the perceived value of our C3 AI Software, our ability to maintain our customers’ trust, our ability to continue to develop additional functionality and use cases and our ability to differentiate our C3 AI Software and capabilities from competitive offerings. Brand promotion activities may not yield increased revenue, and even if they do, the increased revenue may not offset the expenses we incur in building and maintaining our brand and reputation. We also rely on our customer base in a variety of ways, including to give us feedback on our C3 AI Software. If we fail to promote and maintain our brand successfully or to maintain loyalty among our customers, or if we incur substantial expenses in an unsuccessful attempt to promote and maintain our brand, we may fail to attract new customers and partners or retain our existing customers and partners and our business and financial condition may be adversely affected. Any negative publicity relating to our employees, partners, or others associated with these parties, may also tarnish our own reputation simply by association and may reduce the value of our brand. Damage to our brand and reputation may result in reduced demand for our C3 AI Software and increased risk of losing market share to our competitors. Any efforts to restore the value of our brand and rebuild our reputation may be costly and may not be successful.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not successfully manage our growth or plan for future growth.</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founding in 2009, we have experienced rapid growth. The growth and expansion of our business places a continuous and significant strain on our management, operational, and financial resources. Further growth of our operations to support our customer base, our expanding third-party relationships, our information technology systems, and our internal controls and procedures may not be adequate to support our operations. Managing our growth will also require significant expenditures and allocation of valuable management resources, including the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are unable to ensure that our C3 AI Software interoperates with a variety of software applications that are developed by others, including our partners, we may become less competitive and our business may be harmed.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C3 AI Software must integrate with a variety of hardware and software platforms, and we need to continuously modify and enhance our C3 AI Software to adapt to changes in hardware and software technologies. In particular, we have developed our C3 AI Software to be able to easily integrate with key third-party applications, including the applications of software providers that compete with us as well as our partners.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discontinues or limits our access to its software;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modifies its terms of service or other policies, including fees charged to, or other restrictions on us, or other platform and application developers;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changes how information is accessed by us or our customers;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establishes more favorable relationships with one or more of our competitors; or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develops or otherwise favors its own competitive offerings over our C3 AI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services and products are constantly evolving, and we may not be able to modify our C3 AI Software to assure their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C3 AI Software with their products or services, or exert strong business influence on our ability to, and terms on which we, operate our C3 AI Software. Should any of our competitors modify their products or standards in a manner that degrades the functionality of our C3 AI Software or gives preferential treatment to our competitors or competitive products, whether to enhance their competitive position or for any other reason, the interoperability of our C3 AI Software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ability to sell subscriptions to our C3 AI Software could be harmed by real or perceived material defects or errors in our C3 AI Software.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technology underlying our C3 AI Software is inherently complex and may contain material defects or errors, particularly when new applications are first introduced, when new features or capabilities are released, or when integrated with new or updated third-party hardware or software. There can be no assurance that our existing C3 AI Software and new applications will not contain defects or errors. Any real or perceived errors, failures, vulnerabilities, or bugs in our C3 AI Software could result in negative publicity or lead to data security, access, retention, or other performance issues, all of which could harm our business. Correcting such defects or errors may be costly and time-consuming and could harm our business. Moreover, the harm to our reputation and legal liability related to such defects or errors may be substantial and would harm our business.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failure to attract and retain additional qualified personnel or to maintain our company culture could harm our business and prevent us from executing our business strategy.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execute our business strategy, we must attract and retain highly qualified personnel. Competition for executives, data scientists, engineers, software developers, sales personnel, and other key employees in our industry is intense. In particular, we compete with many other companies for employees with high levels of expertise in designing, developing and managing platforms and applications for data management, ML, and analytics technologies, as well as for skilled data scientists, sales, and operations professionals. In addition, we are extremely selective in our hiring process which requires significant investment of time and resources from internal stakeholders and management. At times, we have experienced, and we may continue to experience, difficulty in hiring personnel who meet the demands of our selection process and with appropriate qualifications, experience, or expertise, and we may not be able to fill positions as quickly as desired. We recently completed our initial public offering and potential candidates may not perceive our compensation package, including our equity awards, as favorably as employees hired prior to our initial public offering. In addition, our recruiting personnel, methodology, and approach may need to be altered to address a changing candidate pool and profile. We may not be able to identify or implement such changes in a timely manner.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companies with which we compete for experienced personnel have greater resources than we have, and some of these companies may offer more attractive compensation packages.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or export control laws, may limit our ability to recruit internationally. We must also continue to retain and motivate existing employees through our compensation practices, company culture, and career development opportunities.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critical component to our success and our ability to retain our best people is our culture. As we continue to grow and develop a public company infrastructure, we may find it difficult to maintain our company culture.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many of our employees may be able to receive significant proceeds from sales of our equity in the public markets, which may reduce their motivation to continue to work for us. Moreover, the proceeds from our recent initial public offering could create disparities in wealth among our employees, which may harm our culture and relations among employees and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attract new personnel or to retain our current personnel, our business would be harmed.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annual and quarterly results and key metrics are likely to fluctuate significantly and may not fully reflect the underlying performance of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annual and quarterly results of operations and key metrics may vary significantly in the future as they have in the past, particularly in light of our dependence on a limited number of high-value customer contracts, and period-to-period comparisons of our results of operations and key metrics may not be meaningful. Accordingly, the results of any one year or quarter should not be relied upon as an indication of future performance. Our results of operations and key metrics may fluctuate as a result of a variety of factors, many of which are outside of our control, and as a result, may not fully reflect the underlying performance of our business. Fluctuation in our annual or quarterly results may negatively impact the value of our securities. Factors that may cause fluctuations in our annual or quarterly results of operations and key metrics include, without limitation, the risk factors listed elsewhere in this section and the factors listed below: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generate significant revenue from new offerings;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ability to expand our number of partners and distribution of our C3 AI Software;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ability to hire and retain employees, in particular those responsible for the selling or marketing of our C3 AI Software;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ability to develop and retain talented sales personnel who are able to achieve desired productivity levels in a reasonable period of time and provide sales leadership in areas in which we are expanding our sales and marketing efforts;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changes in the way we organize and compensate our sales teams;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timing of expenses and recognition of revenue;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ability to increase sales to large organizations as well as increase sales to a larger number of smaller customers;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length of sales cycles and seasonal purchasing patterns of our customers;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amount and timing of operating expenses related to the maintenance and expansion of our business, operations, and infrastructure, as well as international expansion and entry into operating leases;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timing and effectiveness of new sales and marketing initiatives;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changes in our pricing policies or those of our competitors;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timing and success of new platforms, applications, features, and functionality by us or our competitors;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failures or breaches of security or privacy by us or our suppliers and business partners, and the costs associated with remediating any such failures or breaches;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changes in the competitive dynamics of our industry, including consolidation among competitors;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changes in laws and regulations that impact our business;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large indemnification payments to our users or other third parties;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timing of expenses related to any future acquisitions;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health epidemics or pandemics, such as the coronavirus, or COVID-19, pandemic;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any applicable changes in accounting standards or management assumptions, estimates or judgments on complex accounting matters, including estimates associated with variable consideration calculations for our arrangement with Baker Hughes;</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 xml:space="preserve">civil unrest and geopolitical instability;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general political, economic, and market conditions.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performance metrics, data regarding customer engagement and certain other operational data in this report are subject to assumptions and limitations and may not provide an accurate indication of our future or expected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metrics, including data regarding customer engagement, and other operational data may involve judgement and therefore may not reflect our actual performance, and investors should consider these metrics in light of the assumptions used in calculating such metrics and limitations as a result thereof. Our methodologies for tracking these metrics may change over time, which could result in unexpected changes to our metrics, including the metrics we report. In addition, investors should not place undue reliance on these metrics as an indicator of our future or expected results. Moreover, these metrics may differ from similarly titled metrics presented by other companies and may not be comparable to such other metrics. We regularly review and may adjust our processes for calculating our metrics to improve their accuracy. If our metrics are not accurate representations of our business;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generally recognize revenue from subscriptions to our C3 AI Software over the terms of such subscriptions. Consequently, increases or decreases in new sales may not be immediately reflected in our results of operations and may be difficult to discern.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recognize revenue from subscriptions to our C3 AI Software over the terms of these subscriptions. As a result, a portion of the revenue we report in each year and each quarter is derived from the recognition of deferred revenue relating to subscriptions entered into during prior periods. Consequently, a decline in new or renewed subscriptions in any single year or quarter may only have a small impact on the revenue that we recognize for that period. However, such a decline will negatively affect our revenue in future periods.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As a result, growth in the number of new customers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C3 AI Software must be recognized over the applicable subscription term. These risks are further exacerbated by our dependence on high-value customer contracts.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Any failure to offer high-quality maintenance and support services for our customers may harm our relationships with our customers and, consequently,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Once our C3 AI Software is deployed, our customers depend on our maintenance and support teams to resolve technical and operational issues and provide critical updates relating to our C3 AI Software. Our ability to provide effective customer maintenance and support is largely dependent on our ability to attract, train, and retain qualified personnel with experience in supporting customers with software such as ours and maintaining the same. The number of our customers has grown significantly and that has and will continue to put additional pressure on our customer maintenance and support teams. We may be unable to respond quickly enough to accommodate short-term increases in customer demand for technical support. We also may be unable to modify the scope and delivery of our maintenance services and technical support to compete with changes in the technical services provided by our competitors. Increased customer demand for maintenance and support services, without corresponding revenue, could increase costs and negatively affect our operating results. In addition, if we experience increased customer demand for support and maintenance, we may face increased costs that may harm our results of operations. Further, as we continue to grow our operations and support our global customer base, we need to be able to continue to provide efficient support and effective maintenance that meets our customers’ needs globally. If we are unable to provide efficient customer maintenance and support globally or if we need to hire additional maintenance and support personnel, our business may be harmed. Our ability to attract new customers is highly dependent on our business reputation and on positive recommendations from our existing customers. Any failure to maintain high-quality maintenance and support services, a failure of channel parties to maintain high-quality maintenance and support services or a market perception that we do not maintain high-quality maintenance and support services for our customers, would harm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Macroeconomic uncertainties and the COVID-19 pandemic, have had, and could continue to have, an adverse impact on our business, our operations, and the markets and communities in which we, our partners, and users operate.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Global economic and business activities continue to face widespread macroeconomic uncertainties, including labor shortages and supply chain disruptions, inflation, bank failures and monetary supply shifts, as well as recession risks, which may continue for an extended period and which could result in our customer prospects and our existing customers experiencing slowdowns in their businesses, which in turn may result in reduced demand for our C3 AI Software, lengthening of sales cycles, loss of customers, and difficulties in collections. Our vendors and suppliers may experience, or may continue to experience, disruptions in their supply chains, which may result in service interruptions or additional operating expenses, and may increase the price at which our vendors and suppliers are willing to sell their products to us.</w:t>
      </w:r>
    </w:p>
    <w:p>
      <w:pPr>
        <w:pStyle w:val="TextBody"/>
        <w:bidi w:val="0"/>
        <w:spacing w:lineRule="auto" w:line="288" w:before="0" w:after="180"/>
        <w:jc w:val="both"/>
        <w:rPr/>
      </w:pPr>
      <w:r>
        <w:rPr>
          <w:rFonts w:ascii="Times New Roman;sans-serif" w:hAnsi="Times New Roman;sans-serif"/>
          <w:b w:val="false"/>
          <w:color w:val="000000"/>
          <w:sz w:val="20"/>
        </w:rPr>
        <w:t xml:space="preserve">Our business, and the business of our customers, have been, and may continue to be, impacted by the prolonged COVID-19 pandemic and resulting economic consequences and uncertainties. </w:t>
      </w:r>
      <w:r>
        <w:rPr>
          <w:rFonts w:ascii="Times New Roman;sans-serif" w:hAnsi="Times New Roman;sans-serif"/>
          <w:b w:val="false"/>
          <w:color w:val="000000"/>
          <w:sz w:val="20"/>
          <w:shd w:fill="FFFFFF" w:val="clear"/>
        </w:rPr>
        <w:t>The ultimate impact of the prolonged COVID-19 pandemic on our business, operations, or the global economy as a whole remains highly uncertain.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macroeconomic uncertainties and the prolonged COVID-19 pandemic continue to adversely affect our business, financial condition, and results of operations, many of the other risks described in this “Risk Factors” section could be exacerbated, including but not limited to, those related to our ability to increase sales to existing and new customers, develop and deploy new offerings and applications and maintain effective marketing and sales capabilities.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subject to stringent and evolving U.S. and foreign laws, regulations, rules, contractual obligations, policies, self-regulatory schemes, standards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protected health information, and financial data. Our data processing activities may subject us to numerous data privacy and security obligations, such as various laws, regulations, guidance, industry standards, external and internal privacy and security policies, contractual requirements, and other obligations that govern the processing of personal data by us and on our behalf.</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or HIPAA, as amended by the Health Information Technology for Economic and Clinical Health Act, or HITECH, imposes specific requirements relating to the privacy, security and transmission of individually identifiable health information and the California Consumer Privacy Act of 2018, or CCPA, applies to personal information of consumers, business representatives and employees, and imposes obligations on covered businesses, including, but not limited to, providing specific disclosures in privacy notices and affording California residents certain rights related to their personal data. The CCPA calls for statutory fines for noncompliance (up to $7,500 per violation) and allows private litigants affected by certain data breaches to recover significant statutory damages. In addition, the California Privacy Rights Act of 2020, or CPRA, expands the CCPA’s requirements, including by adding a new right for individuals to correct their personal information and establishing a new California Privacy Protection Agency to implement and enforce the CPRA, which could increase the risk of enforcement. Other states, such as Virginia, Colorado, Connecticut and Utah, have enacted comprehensive data privacy laws and similar laws are being considered in several other states and at the federal level and local levels, reflecting a trend toward more stringent privacy legislation in the United States, which could further complicate compliance efforts and increase legal risk and compliance costs for us, the third parties upon whom we rely, and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pPr>
      <w:r>
        <w:rPr>
          <w:rFonts w:ascii="Times New Roman;sans-serif" w:hAnsi="Times New Roman;sans-serif"/>
          <w:b w:val="false"/>
          <w:color w:val="000000"/>
          <w:sz w:val="20"/>
        </w:rPr>
        <w:t>Outside the United States, an increasing number of laws, regulations, and industry standards apply to data privacy and security. In Canada, the Personal Information Protection and Electronic Documents Act, or PIPEDA, and various related provincial laws, as well as Canada’s Anti-Spam Legislation, or CASL, may apply to our operations. We also target customers in Asia and have operations in Japan and Singapore and may be subject to new and emerging data privacy regimes in Asia, including Singapore’s Personal Data Protection Act. In the European Economic Area, or EEA, we are subject to the European General Data Protection Regulation, or GDPR, and in the United Kingdom, or UK, we are subject to the UK data protection regime, or UK GDPR. Companies that must comply with the GDPR or the UK GDPR face increased compliance obligations and risk, including more robust regulatory enforcement of data protection requirements, with violations potentially resulting in an order prohibiting the processing of personal data and/or fines of up to the greater of €20 million or 4% of the annual global</w:t>
      </w:r>
      <w:r>
        <w:rPr>
          <w:strike/>
          <w:color w:val="000000"/>
        </w:rPr>
        <w:t xml:space="preserve"> </w:t>
      </w:r>
      <w:r>
        <w:rPr>
          <w:rFonts w:ascii="Times New Roman;sans-serif" w:hAnsi="Times New Roman;sans-serif"/>
          <w:b w:val="false"/>
          <w:color w:val="000000"/>
          <w:sz w:val="20"/>
        </w:rPr>
        <w:t xml:space="preserve">revenues of the noncompliant company in the European Union, and up to the greater of GBP 17.5 million or 4% annual global revenues in the UK; or private litigation related to processing of personal data brought by classes of data subjects or consumer protection organizations authorized at law to represent their interests.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transfer personal data from Europe and other jurisdictions to the United States or other countries. European and other data protection laws, including the GDPR and UK GDPR also restrict the ability of companies to transfer personal data to the United States and other countries. Although there are currently various mechanisms that may be used to transfer personal data from the EEA and the UK to the United States in compliance with law, such as the EEA and UK’s standard contractual clauses, these mechanisms are subject to legal challenges, and there is no assurance that we can satisfy or rely on these measures to lawfully transfer personal data to the United States.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such, we, or our vendors, may be unable to implement measures sufficient to lawfully transfer personal data in a manner necessary to provide our services in certain regions without incurring significant cost, or at all. If we cannot implement a valid compliance mechanism for cross-border data transfers, we may face significant adverse consequences, including the interruption or degradation of our operations, increased exposure to regulatory actions, substantial fines and penalties, and injunctions against processing or transferring personal data from Europe or other foreign jurisdictions. The inability to import personal data to the United States could significantly and negatively impact our business operations, including by limiting our ability to collaborate with parties that are subject to such cross-border data transfer or localization laws; or requiring us to increase our personal data processing capabilities and infrastructure in foreign jurisdictions at significant expense. Some European regulators have significantly restricted some companies’ data processing activities from transferring certain personal data out of Europe allegedly violating the GDPR’s cross-border data transfer limitations, which has materially impacted companies’ operations revenues. Additionally, companies that transfer personal data outside of the EEA and UK to other jurisdictions, particularly the United States, are subject to increased scrutiny form regulators, individual litigants and activist groups.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data protection laws in the EEA and the UK, such as those implementing the ePrivacy Directive, restrict the use of cookies and similar technologies on which our website and product rely. Regulators are increasingly focused on compliance with requirements in the online tracking ecosystem, and current national laws implementing the ePrivacy Directive are likely to be replaced in the EU by a regulation known as the ePrivacy Regulation, which will significantly increase fines for non-compliance. Other countries outside of Europe increasingly emulate European data protection laws. As a result, operating our business or offering our services in Europe or other countries with similar data protection laws would subject us to substantial compliance costs and potential liability and may require changes to the ways we collect and use personal data.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data privacy and security laws, we are also subject to the terms of external and internal privacy and security policies, codes, representations, certifications, industry standards adopted by industry groups, publications and frameworks, contractual obligations to third parties, and other statements related to privacy, information security, and data processing. If these policies, materials or statements are found to be deficient, lacking in transparency, deceptive, unfair, or misrepresentative of our practices, we may be subject to investigation, enforcement actions by regulators or other adverse consequences. We are subject to contractual obligations to indemnify and hold harmless third parties from the costs or consequences of non-compliance with data protection laws or other obligations.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increasing U.S. and foreign activity in the regulation of AI and other similar uses of technology. In Europe, there is a proposed regulation related to AI that, if adopted, could impose onerous obligations related to the use of AI-related systems. We may have to change our business practices to comply with such obligations. In the United States, several states and localities have enacted measures related to the use of AI and ML in products and services. Depending on how these AI laws and regulations are interpreted, we may have to make changes to our business practices and products, including our C3 AI Software, to comply with such obligations. Additionally, various privacy laws and other obligations require us to obtain certain consents to process personal data and our inability or failure to do so could result in adverse consequences.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which may necessitate changes to our information technologies, systems, and practices, including our C3 AI Software, possibly limiting our ability to develop new applications and features,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 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interruptions or stoppages of data collection needed to train our algorithms; inability to process personal data or to operate in certain jurisdictions; limited ability to develop or commercialize our product; expenditure of time and resources to defend any claim or inquiry; adverse publicity; revision or restructuring of our operations; or reduced demand for our C3 AI Software. Governments and regulators in certain jurisdictions, including Europe, are increasingly seeking to regulate cybersecurity and the use, transfer, and other processing of non-personal information (for example, under the European Union’s Data Act), an area which has typically been the subject of very limited or no specific regulation. This means that, if and to the extent such regulations are relevant to our operations or those of our customers, certain of the risks and considerations may apply equally to our processing of both personal and non-personal information.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C3 AI Software processes our customers’ proprietary and sensitive data, potentially including personal information, confidential information, protected health information, financial data, intellectual property, and trade secrets. Our C3 AI Software is built to be available on the infrastructure of third-party public cloud providers such as AWS, Microsoft Azure, and Google Cloud. We also use service providers to help us deliver services to our customers. These service providers may process personal information, protected health information, or other confidential information of our employees, partners or customers in a variety of contexts, including, without limitation, third-party providers of cloud-based infrastructure, encryption and authentication technology, employee email and payroll, content delivery to customers, and other functions. We collect such information from individuals located both in the United States and abroad and may process such information outside the country in which it was collected. Our ability to monitor these third parties’ information security practices is limited, and these third parties may not have adequate information security measures in place. We may share or receive sensitive information with or from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Cyber-attacks, denial-of-service attacks, ransomware attacks, business email compromises, computer malware, viruses, social engineering (including phishing) and other malicious internet-based activity are prevalent in our industry and our customers’ industries and such attacks continue to increase.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and other cyber-attacks, that could materially disrupt our systems and operations, supply chain, and ability to produce, sell and distribute our goods and services. We also utilize third-party providers to host, transmit, or otherwise process electronic data in connection with our business activities. We or our vendors and business partners may experience social-engineering attacks (including through phishing attacks), malicious code (such as viruses and worms), malware (including as a result of advanced persistent threat intrusions), denial-of-service attacks (such as credential stuffing), credential harvesting, unavailable systems, unauthorized access or disclosure due to employee or other theft or misuse, denial-of-service attacks, sophisticated attacks by nation-state and nation-state supported actors, ransomware attacks, supply-chain attacks, software bugs, server malfunctions, software or hardware failures, loss of data or other information technology assets, adware, telecommunications failures, and other similar threats. Ransomware attacks, including by organized criminal threat actors, nation-states, nation-state-supported actors, and “hacktivists,”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 or the third-party information technology systems that support us and our services. Remote work has also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technology systems, or those of the third parties upon whom we rely. A security incident or other interruption could disrupt our ability (and that of third parties upon whom we rely) to provide our platform. Any actual or potential security breach of our C3 AI Software, our operational systems, our physical facilities, or the systems or facilities of our partners, or the perception that one has occurred, could result in adverse consequences, such as litigation, indemnity obligations, regulatory enforcement actions, investigations, fines, penalties, mitigation and remediation costs, disputes, reputational harm, diversion of management’s attention, and other liabilities and damage to our business. Even though we do not control the security measures of third parties, we may be perceived or asserted to be responsible for any breach of such measures or suffer reputational harm even where we do not have recourse to the third party that caused the breach. In addition, any failure by our partners to comply with applicable law or regulations could result in proceedings against us by governmental entities or others, with further financial, operational, and reputational damage. While we may be entitled to damages if our third-party service providers fail to satisfy their privacy or security-related obligations to us, any award may be insufficient to cover our damages, or we may be unable to recover such award.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 In addition, laws, regulations, government guidance, and industry standards and practices in the United States and elsewhere are rapidly evolving to combat these threats. We may face increased compliance burdens regarding such requirements from regulators and customers regarding our products and services and also incur additional costs for oversight and monitoring of security risks relating to our own supply chain. For example, we have contractual and legal obligations to notify relevant stakeholders of security breaches. Most jurisdictions have enacted laws requiring companies to notify individuals, regulatory authorities, and others of security breaches involving certain types of data. In addition, our agreements with certain customers and partners may require us to notify them in the event of a security breach involving customer or partner data on our systems or those of subcontractors Processing customer or partner data on our behalf.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breach may cause us to breach customer contracts. Our agreements with certain customers may require us to use industry-standard, reasonable, or other specified measures to safeguard sensitive personal information or confidential information, and any actual or perceived breach of such measures may increase the likelihood and frequency of customer audits under our agreements, which is likely to increase the costs of doing business. An actual or perceived security breach could lead to claims by our customers, or other relevant stakeholders that we have failed to comply with such legal or contractual obligations. As a result, we could be subject to legal action or our customers could end their relationships with us. There can be no assurance that any limitations of liability in our contracts, which we have in certain agreements, would be enforceable or adequate or would otherwise protect us from liabilities, damages, or claims related to our data privacy and security obligations.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and a number of our vendors and business partners have previously been, and may in the future become, the target of cyber-attacks by third parties seeking unauthorized access to our or our customers’ data or to disrupt our operations or ability to provide our services. While we have been successful in preventing such unauthorized access and disruption in the past, we may not continue to be successful against these or other attacks in the future. Despite our efforts to ensure the security, privacy, integrity, confidentiality, availability, and authenticity information technology networks and systems, processing and information, we may not be able to anticipate or to implement effective preventive and remedial measures against all data security and privacy threats. We cannot guarantee that the recovery systems, security protocols, network protection mechanisms and other security measures that we have integrated into our systems, networks and physical facilities, which are designed to protect against, detect and minimize security breaches, or those of our vendors and business partners, will be adequate to prevent or detect service interruption, system failure data loss or theft, or other material adverse consequences. No security solution, strategy, or measures can address all possible security threats or block all methods of penetrating a network or otherwise perpetrating a security incident. The risk of unauthorized circumvention of our security measures or those of our third-party providers, clients and partners has been heightened by advances in computer and software capabilities and the increasing sophistication of hackers who employ complex techniques, including without limitation, the theft or misuse of personal and financial information, counterfeiting, “phishing” or social engineering incidents, ransomware, extortion, publicly announcing security breaches, account takeover attacks, denial or degradation of service attacks, malware, fraudulent payment and identity theft. The techniques used to sabotage, disrupt or to obtain unauthorized access to our C3 AI Software, systems, networks, or physical facilities in which data is stored or through which data is transmitted change frequently, and we may be unable to implement adequate preventative measures or stop security breaches while they are occurring. Further, we may experience delays in developing and deploying remedial measures designed to address any such identified vulnerabilities.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Litigation resulting from security breaches may adversely affect our business. Unauthorized access to our C3 AI Software,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or modify our C3 AI Software capabilities in response to such litigation, which could have an adverse effect on our business. If a security breach were to occur, and the confidentiality, integrity or availability of our data or the data of our partners or our customers was disrupted, we could incur significant liability, or our C3 AI Software, systems, or networks may be perceived as less desirable, which could negatively affect our business and damage our reputation.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that our insurers will not deny coverage as to all or part of any future claim or loss. Our risks are likely to increase as we continue to expand our C3 AI Software, grow our customer base, and store, transmit, and otherwise Process increasingly large amounts of proprietary and sensitive data.</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could suffer disruptions, outages, defects, and other performance and quality problems with our C3 AI Software or with the public cloud and internet infrastructure on which it relies.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our C3 AI Software to be available without disruption. We have experienced, and may in the future experience, disruptions, outages, defects, and other performance and quality problems with our C3 AI Software. We have also experienced, and may in the future experience, disruptions, outages, defects, and other performance and quality problems with the public cloud and internet infrastructure on which our C3 AI Software relies. These problems can be caused by a variety of factors, including introductions of new functionality, vulnerabilities and defects in proprietary and open source software, human error or misconduct, capacity constraints, design limitations, as well as from internal and external security breaches, malware and viruses, ransomware, cyber events, denial or degradation of service attacks or other security-related incidents.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 if our contractual and other business relationships with our public cloud providers are terminated, suspended, or suffer a material change to which we are unable to adapt, such as the elimination of services or features on which we depend, we could be unable to provide our C3 AI Software and could experience significant delays and incur additional expense in transitioning customers to a different public cloud provider.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disruptions, outages, defects, and other security performance and quality problems with our C3 AI Software or with the public cloud and internet infrastructure on which it relies, or any material change in our contractual and other business relationships with our public cloud providers, could result in reduced use of our C3 AI Software, increased expenses, including significant, unplanned capital investments and/or service credit obligations, and harm to our brand and reputation, any of which could have a material adverse effect on our business, financial condition, reputation and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third-party service providers to host and deliver our C3 AI Software, and any interruptions or delays in these services could impair our C3 AI Software and harm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serve our customers from third-party data center hosting facilities located in the United States, Asia, and Europe. Our operations depend, in part, on our third-party facility providers’ ability to protect these facilities against damage or interruption from natural disasters, power or telecommunications failures, criminal acts, and similar events. In the event that our data center arrangements are terminated, or if there are any lapses of service or damage to a center, we could experience lengthy interruptions in our C3 AI Software as well as delays and additional expenses in making new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designed our system infrastructure and procure and own or lease the computer hardware used for our C3 AI Software. Design and mechanical errors, spikes in usage volume, and failure to follow system protocols and procedures could cause our systems to fail, resulting in interruptions in our C3 AI Software. Any interruptions or delays in our service, whether as a result of third-party error, our own error, natural disasters, or security breaches, whether accidental or willful, could harm our relationships with our customers and cause our revenue to decrease and/or our expenses to increase.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face exposure to foreign currency exchange rate fluctuations.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to customers globally and have international operations primarily in Europe.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years ended April 30, 2023 and 2022, 8% and 13% of our revenue, respectively, were denominated in currencies other than U.S. dollars. For the fiscal years ended April 30, 2023 and 2022, 5% and 5%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Therefore, increases in the value of the U.S. dollar and decreases in the value of foreign currencies could result in the dollar equivalent of our revenue being lower. We do not currently maintain a program to hedge exposures to non-U.S. dollar currencies.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Sales to government entities and highly regulated organizations are subject to a number of challenges and risks.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to U.S. federal, state, local, and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 consuming, often requiring significant upfront time and expense without any assurance that these efforts will generate a sale. Government contracting requirements may change and restrict our ability to sell into the government sector. Government demand and payment for our C3 AI Software is affected by public sector budgetary cycles and funding authorizations, with funding reductions or delays adversely affecting public sector demand for our C3 AI Software.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governmental and highly regulated entities may demand contract terms that differ from our standard arrangements and may be less favorable than terms agreed with other customers. In our experience, government entities often require shorter term subscriptions than our private sector customers due to budget cycles, making one-year subscriptions not uncommon. Government entities and highly regulated organizations typically have longer implementation cycles, sometimes require acceptance provisions that can lead to a delay in revenue recognition, can have more complex IT and data environments, and may expect greater payment flexibility from vendors.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Contracts with governmental entities may also include preferential pricing terms, such as “most favored customer” pricing. In the event that we are successful in being awarded a government contract, the award may be subject to appeals, disputes, or litigation, including but not limited to bid protests by unsuccessful bidders.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divert management time, or limit our ability to continue selling our products and services to our government customers. These laws and regulations may impose other added costs on our business, and failure to comply with these or other applicable regulations and requirements, including non-compliance in the past, could lead to claims for damages from our partners, downward contract price adjustments or refund obligations, civil or criminal penalties, and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results of operations, financial condition, public perception and growth prospects. </w:t>
      </w:r>
    </w:p>
    <w:p>
      <w:pPr>
        <w:pStyle w:val="TextBody"/>
        <w:bidi w:val="0"/>
        <w:spacing w:lineRule="auto" w:line="288" w:before="0" w:after="180"/>
        <w:jc w:val="both"/>
        <w:rPr/>
      </w:pPr>
      <w:r>
        <w:rPr>
          <w:rFonts w:ascii="Times New Roman;sans-serif" w:hAnsi="Times New Roman;sans-serif"/>
          <w:b w:val="false"/>
          <w:color w:val="000000"/>
          <w:sz w:val="20"/>
        </w:rPr>
        <w:t xml:space="preserve">Governmental and highly regulated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 </w:t>
      </w:r>
      <w:r>
        <w:rPr>
          <w:rFonts w:ascii="Times New Roman;sans-serif" w:hAnsi="Times New Roman;sans-serif"/>
          <w:b w:val="false"/>
          <w:color w:val="000000"/>
          <w:sz w:val="20"/>
          <w:shd w:fill="FFFFFF" w:val="clear"/>
        </w:rPr>
        <w:t>All these factors can add further risk to business conducted with these customers. If sales expected from a government entity or highly regulated organization for a particular period are not realized in that period or at all, our business, financial condition, results of operations, and growth prospects could be materially and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if our employees cannot obtain and maintain required security clearances, we cannot obtain and maintain a required facility security clearance, or we do not comply with legal and regulatory obligations regarding the safeguarding of classified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U.S. government contracts requires our employees to maintain security clearances, and also requires us to comply with the DoD security rules and regulations. The DoD has strict security clearance requirements for personnel who perform work in support of classified programs. In general, access to classified information, technology, facilities, or programs are subject to additional contract oversight and potential liability. In the event of a security incident involving classified information, technology, facilities, or programs, or personnel holding clearances, we may be subject to legal, financial, operational and reputational harm.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our existing contract (and any future contracts we may subsequently obtain) requiring a facility security clearance could be terminated.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are unable to achieve and sustain a level of liquidity sufficient to support our operations and fulfill our obligations, our business, operating results and financial position could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C3 AI Software, difficulties in executing our business plan and fulfilling our obligations, and other operational challenges. Any of these developments could adversely affect our business, operating results and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need additional capital, and we cannot be certain that additional financing will be available on favorable terms, or at all.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cannot assure you that additional financing will be available to us on favorable terms when required, or at all. If we are unable to obtain adequate financing or financing on terms satisfactory to us when we require it, our ability to continue to support our business growth, development efforts and to respond to business challenges could be significantly impaired, and our business, operating results and financial condition may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acquire other businesses or receive offers to be acquired, which could require significant management attention, disrupt our business or dilute stockholder value.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made, and may in the future make, acquisitions of other companies, products, and technologies. We have limited experience in acquisitions. We may not be able to find suitable acquisition candidates, and we may not be able to complete acquisitions on favorable terms, if at all. Any acquisitions we complete may not ultimately strengthen our competitive position or achieve our goals, and may be viewed negatively by customers,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Changes in accounting standards and subjective assumptions, estimates and judgments by management related to complex accounting matters could adversely affect our financial results or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GAAP and related accounting pronouncements, implementation guidelines and interpretations with regard to a wide range of matters that are relevant to our business, such as revenue recognition, impairment of intangible assets, lease obligations, vendor allowances, tax matters and litigation, are complex and involve many subjective assumptions, estimates and judgments. Changes in accounting standards or their interpretation or changes in underlying assumptions, estimates or judgments could significantly change our reported or expected financial performance or financial condition. The implementation of new accounting standards could also require certain systems, internal process and other changes that could increase our operating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Increased scrutiny regarding environmental, employment, social, and governance matters could adversely impact our reputation, our ability to retain employees, and the willingness of customers and others to do business with us.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is increasing focus from investors, regulators, and other corporate stakeholders on corporate policies addressing environmental, employment, social, and governance matters. Stakeholder expectations regarding appropriate corporate conduct on these matters are continually evolving, as are expectations regarding appropriate methods and types of related corporate disclosure. Investors, regulators, or other corporate stakeholders may not be satisfied with our existing environmental, employment, social, and governance practices or those of our customers, strategic partners, or vendors. These stakeholders may also be dissatisfied with the pace at which any revisions to our practices or the practices of our customers, strategic partners, or vendors are adopted and implemented. Further, investors and other stakeholders may object to the societal costs or ethical or other implications, or the perceived costs or implications, associated with the use of our products made by one or more of our customers. If any of these events were to occur, our reputation, our ability to retain employees, and the willingness of customers and others to do business with us may be materially and adversely impacted. We may also incur additional costs and require additional resources, which could be material, to monitor, report, and comply with related corporate disclosure obligations in the future, whether those obligations are imposed by law, regulation, or market expectation.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business, financial condition, results of operations, and prospects could be materially and adversely affected.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Our International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continuing to expand our operations outside the United States, where we may be subject to increased business and economic risks that could harm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Customer-Entities in more than 15 countries, and 21% of our revenue for the fiscal year ended April 30, 2023 was generated from customers outside of North America. As of April 30, 2023, we had ten international sales locations, and we plan to add local sales support in further select international markets over time. We expect to continue to expand our international operations, which may include opening offices in new jurisdictions and providing our C3 AI Software in additional languages. Any new markets or countries into which we attempt to sell subscriptions to our C3 AI Software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recruiting and retaining talented and capable employees outside the United States and maintaining our company culture across all of our offices;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potentially different pricing environments, longer sales cycles, and longer accounts receivable payment cycles and collections issues;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compliance with applicable international laws and regulations, including laws and regulations with respect to privacy, data protection, and consumer protection, and the risk of penalties to us and individual members of management or employees if our practices are deemed to be out of compliance;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management of an employee base in jurisdictions that may not give us the same employment and retention flexibility as does the United States;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operating in jurisdictions that do not protect intellectual property rights to the same extent as does the United States and the practical enforcement of such intellectual property rights outside of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foreign government interference with our intellectual property that resides outside of the United States, such as the risk of changes in foreign laws that could restrict our ability to use our intellectual property;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integration with partners outside of the United States;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securing our locally operated systems and our data and the data of our customers and partners accessible from such jurisdictions;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compliance by us and our business partners with anti-corruption laws, import and export control laws, tariffs, trade barriers, economic sanctions, anti-money laundering laws and other regulatory limitations on our ability to provide our C3 AI Software in certain international markets;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foreign exchange controls that might require significant lead time in setting up operations in certain geographic territories and might prevent us from repatriating cash earned outside the United States;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political and economic instability, including military actions affecting Russia, Ukraine and/or surrounding regions;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COVID-19 or any other pandemics or epidemics that could result in decreased economic activity in certain markets, decreased use of our C3 AI Software, or in our decreased ability to import, export, or sell our C3 AI Software to existing or new customers in international markets;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changes in diplomatic and trade relationships, including the imposition of new trade restrictions, trade protection measures, import or export requirements, trade embargoes, and other trade barriers;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generally longer payment cycles and greater difficulty in collecting accounts receivable;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double taxation of our international earnings and potentially adverse tax consequences due to changes in the income and other tax laws of the United States or the international jurisdictions in which we operate;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higher costs of doing business internationally, including increased accounting, travel, infrastructure, and legal compliance costs.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Political actions, including trade protection and national security policies of U.S. and foreign government bodies, such as tariffs, import or export regulations, including deemed export restrictions, trade and economic sanctions, quotas or other trade barriers and restrictions could affect our ability to provide our C3 AI Software to our Customers and generally fulfill our contractual obligations and have an adverse effect on our future business opportunities. For example, in response to Russian military actions related to Ukraine, the United States and certain allies have imposed economic sanctions and export control measures and may impose additional sanctions or export control measures, which have and could in the future result in, among other things, severe or complete restrictions on exports and other commerce and business dealings involving Russia, Belarus, certain regions of Ukraine, and/or particular entities and individuals. Such actions could limit or block the license of our C3 AI Software to persons or entities affiliated with Russia or countries acting in concert with Russia, and restrict access by C3 AI personnel located in Russia to our systems, negatively impacting future opportunities.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 due to political uncertainty and military actions involving Russia, Ukraine, and surrounding regions, we and the third parties upon which we rely may be vulnerable to a heightened risk of security breaches, computer malware, social-engineering attacks, supply-chain attacks, software bugs, server malfunctions, software or hardware failures, loss of data or other information technology assets, and other cyber-attacks, including attacks that could materially disrupt our systems and operations, supply chain, and ability to produce, sell and distribute our C3 AI Software. These attacks are expected to occur in the future.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that could impair our ability to compete in international markets or subject us to liability if we are not in compliance with applicable laws.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C3 AI Software is subject to various restrictions under U.S. export control and trade and economic sanctions laws and regulations, including the U.S. Department of Commerce’s Export Administration Regulations, or EAR, and various economic and trade sanctions regulations administered by the U.S. Department of the Treasury’s Office of Foreign Assets Control, or OFAC. U.S. export control and economic sanctions laws and regulations include restrictions or prohibitions on the sale or supply of certain AI platform and applications, services and technologies to U.S. embargoed or sanctioned countries, governments, persons, and entities. Further, U.S. export laws and regulations include broad licensing requirements, including requiring authorization for the export of certain items. In addition, various countries regulate the import of certain items, including through import permitting and licensing requirements and have enacted or could enact laws that could limit our ability to distribute our C3 AI Software or could limit our customers’ ability to implement our C3 AI Software in those countries.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our C3 AI Software and, if required, obtaining the necessary export license or other authorization for a particular sale, or changes in export, sanctions, and import laws, may result in the delay or loss of sales opportunities, delay the introduction and sale of subscriptions to our C3 AI Software in international markets, prevent our customers with international operations from using our C3 AI Software or, in some cases, prevent the access or use of our C3 AI Software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C3 AI Software or in our decreased ability to export or sell our C3 AI Software to existing or potential customers with international operations. Any decreased use of our C3 AI Software or limitation on our ability to export or sell our C3 AI Software would likely harm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our channel partners fail to obtain appropriate import, export, or re-export licenses or permits, we may also be adversely affected through reputational harm, as well as other negative consequences, including government investigations and penalties.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though we take precautions to ensure that we and our channel partners comply with all relevant regulations, any failure by us or our channel partners to comply with U.S. export control and economic sanctions laws and regulations or other laws could have negative consequences, including reputational harm, government investigations and substantial civil and criminal penalties (e.g., fines, incarceration for responsible employees and managers, and the possible loss of export or import privileges).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subject to the U.S. Foreign Corrupt Practices Act, or FCPA, and similar anti-corruption, anti-bribery, and similar laws, and non-compliance with such laws can subject us to criminal or civil liability and harm our business, financial condition and results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FCPA, U.S. domestic bribery laws, the UK Bribery Act, and other anti-corruption and similar laws in the countries in which we conduct activities. Anti-corruption and anti-bribery laws have been enforced aggressively in recent years and are interpreted broadly to generally prohibit companies, their employees, and their third-party business partners or intermediaries, representatives, and agents from authorizing, offering, or providing, directly or indirectly, improper payments or other benefits to government officials or others in the private sector in order to influence official action, direct business to any person, gain any improper advantage, or obtain or retain business. As we increase our international sales and business, our risks under these laws may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increase our international sales and business and sales to the public sector, we may engage with third-party business partners and intermediaries to market our C3 AI Software and to obtain necessary permits, licenses, and other regulatory approvals. In addition, we or our third-party business partners or intermediaries may have direct or indirect interactions with officials and employees of government agencies or state-owned or affiliated entities. We can be held liable for the corrupt or other illegal activities of our third-party business partners or intermediaries, our employees, representatives, contractors, and agents, even if we do not explicitly authorize such activities.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laws also require that we keep accurate books and records and maintain internal controls and compliance procedures designed to prevent any such actions. While we have policies and procedures to address compliance with such laws, our third-party business partners or intermediaries, employees, representatives, contractors, and agents may take actions in violation of our policies and applicable law, for which we may be ultimately held responsible.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Detecting, investigating, and resolving actual or alleged violations of anti-corruption laws can require a significant diversion of time, resources, and attention from senior management, as well as significant defense costs and other professional fees. In addition, noncompliance with anti-corruption, or anti-bribery laws could subject us to whistleblower complaints, investigations, sanctions, settlements, prosecution, enforcement actions, fines, damages, other civil or criminal penalties or injunctions against us, our officers, or our employees, disgorgement of profits, suspension or debarment from contracting with the U.S. government or other persons, reputational harm, adverse media coverage, and other collateral consequences. If any subpoenas or investigations are launched, or governmental or other sanctions are imposed, or if we do not prevail in any possible civil or criminal proceeding, our reputation, business, stock price, financial condition, prospects and results of operations could be harmed.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Taxes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may be harmed if we are required to collect sales or other related taxes for our subscriptions in jurisdictions where we have not historically done so.</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C3 AI Software due to the incremental cost of any such sales or other related taxes, or otherwise harm our business.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be subject to liabilities on past sales for taxes, surcharges, and fees.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collect and remit applicable sales tax in jurisdictions where we, through our employees, have a presence and where we have determined, based on legal precedents in the jurisdiction, that sales of our C3 AI Software are classified as taxable. We do not currently collect and remit other state and local excise, utility, user, and ad valorem taxes, fees or surcharges that may apply to our customers.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C3 AI Software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C3 AI Software as not taxable in certain jurisdictions will be accepted by state and local taxing authorities. Additionally, we have not historically collected value-added tax, or VAT, or goods and services tax, or GST, on sales of our C3 AI Software, generally, because we make almost all of our sales through our office in the United States, and we believe, based on information provided to us by our customers, that most of our sales are made to business customers.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Taxing authorities may challenge our position that we do not have sufficient nexus in a taxing jurisdiction or that our C3 AI Software is exempt from use, telecommunications, VAT, GST, and other taxes, which could result in increased tax liabilities for us or our customers, which could harm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pPr>
      <w:r>
        <w:rPr>
          <w:rFonts w:ascii="Times New Roman;sans-serif" w:hAnsi="Times New Roman;sans-serif"/>
          <w:b w:val="false"/>
          <w:color w:val="000000"/>
          <w:sz w:val="20"/>
        </w:rPr>
        <w:t xml:space="preserve">The application of indirect taxes (such as sales and use tax, VAT, GST, business tax, and gross receipt tax) to businesses that transact online, such as ours, is a complex and evolving area. Following the recent U.S. Supreme Court decision in </w:t>
      </w:r>
      <w:r>
        <w:rPr>
          <w:rFonts w:ascii="Times New Roman;sans-serif" w:hAnsi="Times New Roman;sans-serif"/>
          <w:b w:val="false"/>
          <w:i/>
          <w:color w:val="000000"/>
          <w:sz w:val="20"/>
        </w:rPr>
        <w:t>South Dakota v. Wayfair, Inc.</w:t>
      </w:r>
      <w:r>
        <w:rPr>
          <w:rFonts w:ascii="Times New Roman;sans-serif" w:hAnsi="Times New Roman;sans-serif"/>
          <w:b w:val="false"/>
          <w:color w:val="000000"/>
          <w:sz w:val="20"/>
        </w:rPr>
        <w:t xml:space="preserve">,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have exposure to greater than anticipated tax liabilities, which could harm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or other compensation, changes in the valuation of, or our ability to use, deferred tax assets and liabilities, the applicability of withholding taxes, and effects from acquisitions.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taxes on our financial statements could also be impacted by changes in accounting principles, changes in U.S. federal, state, or international tax laws applicable to corporate multinationals such as the recent legislation enacted in the United States, other fundamental changes in law currently being considered by many countries and changes in taxing jurisdictions’ administrative interpretations, decisions, policies and positions.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and certain other tax attributes to offset future taxable income or taxes may be subject to certain limitations.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we had net operating loss carryforwards, or NOLs, for U.S. federal and state purposes of $487.6 million and $187.8 million, respectively, which may be available to offset taxable income in the future, and portions of which expire in various years beginning in 2029. A lack of future taxable income would adversely affect our ability to utilize these NOLs before they expire. Under the Tax Cuts and Jobs Act of 2017, or the Tax Act, as modified by the CARES Act, federal NOLs incurred in tax years beginning after December 31, 2017 may be carried forward indefinitely, but the deductibility of such federal NOLs in tax years beginning after December 31, 2020 is limited to 80% of taxable income. It is uncertain if and to what extent various states will conform to the Tax Act or the CARES Act. In addition, under Section 382 of the Internal Revenue Code of 1986, as amended, or the Code, a corporation that undergoes an “ownership change” (as defined under Sections 382 and 383 of the Code and applicable Treasury Regulations) is subject to limitations on its ability to utilize its pre-change NOLs and certain other tax attributes to offset post-change taxable income or taxes. We may experience a future ownership change under Section 382 of the Code that could affect our ability to utilize our NOLs to offset our income. Furthermore, our ability to utilize NOLs of companies that we have acquired or may acquire in the future may be subject to limitations. In addition, at the state level, there may be periods during which the use of NOLs is suspended or otherwise limited, which could accelerate or permanently increase state taxes owed. For example, on June 29, 2020, the Governor of California signed into law the 2020 Budget Act which temporarily suspends the utilization of NOLs and limits the utilization of research credits to $5.0 million annually for 2020, 2021, and 2022.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currently, and may be in the future, party to intellectual property rights claims and other litigation matters, which, if resolved adversely, could harm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rely and expect to continue to rely on a combination of patent, patent licenses, trade secret, domain name protection, trademark, and copyright laws, as well as confidentiality and license agreements with our employees, consultants, and third parties, to protect our intellectual property and proprietary rights. From time to time, we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and may from time to time in the future become, a party to litigation and disputes related to our intellectual property, our business practices, and our C3 AI Software. While we intend to defend any lawsuit vigorously, litigation can be costly and time consuming, divert the attention of our management and key personnel from our business operations, and dissuade potential customers from subscribing to our C3 AI Software, which would harm our business. Furthermore, with respect to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customers or partners typically include certain provisions for indemnifying them against liabilities if our C3 AI Software infringes a third party’s intellectual property rights, including in the third-party open source software components included in our C3 AI Software, which indemnification obligations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Indemnity provisions in various agreements potentially expose us to substantial liability for intellectual property infringement and other losses.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agreements with customers and other third parties generally include indemnification provisions under which we agree to indemnify them for losses suffered or incurred as a result of claims of intellectual property infringement,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generally, those limitations may not be fully enforceable in all situations, and we may still incur substantial liability under those agreements. Any dispute with a customer with respect to such obligations could have adverse effects on our relationship with that customer and other existing customers and new customers and harm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failure to protect our intellectual property rights and proprietary information could diminish our brand and other intangible assets.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30, 2023, we have 16 issued patents in the United States, 12 issued counterpart patents in a number of international jurisdictions, over 37 patent applications pending in the United States, and 70 patent applications pending internationally. Our issued patents expire beginning in 2033 through 2039. The pending patent applications are presently undergoing examination or expected to undergo examination in the near future. These patents and patent applications seek to protect our proprietary inventions relevant to our business, in addition to other proprietary technologies which are maintained as trade secrets. We intend to pursue additional intellectual property protection to the extent we believe it would be beneficial and cost-effective.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C3 AI Software. In addition, we believe that the protection of our trademark rights is an important factor in AI platform and application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defend against or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unauthorized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C3 AI Software, brand, and other intangible assets may be diminished, and competitors may be able to more effectively replicate our C3 AI Software. Any of these events would harm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use of third-party open source software could negatively affect our ability to offer and sell subscriptions to our C3 AI Software and subject us to possible litigation.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technologies we use incorporates third-party open source software, and we may incorporate third-party open source software in our solutions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 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and we may be required to publicly release certain portions of our proprietary source code. We could also be required to expend substantial time and resources to re-engineer some of our software. Any of the foregoing could disrupt and harm our business.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C3 AI Software. Any of the foregoing could harm our business and could help our competitors develop platforms and applications that are similar to or better than ours.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Because of the characteristics of open source software, there may be fewer technology barriers to entry by new competitors and it may be relatively easy for new and existing competitors with greater resources than we have to compete with 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One of the characteristics of open source software is that the governing license terms generally allow liberal modifications of the code and distribution thereof to a wide group of companies and/or individuals. As a result, others could easily develop new platforms and applications based upon those open source programs that compete with existing open source software that we support and incorporate into our C3 AI Software. Such competition with use of the open source projects that we utilize can materialize without the same degree of overhead and lead time required by us, particularly if the customers do not value the differentiation of our proprietary components. It is possible for new and existing competitors with greater resources than ours to develop their own open source software or hybrid proprietary and open source software offerings, potentially reducing the demand for, and putting price pressure on, our C3 AI Software. In addition, some competitors make open source software available for free download and use or may position competing open source software as a loss leader. We cannot guarantee that we will be able to compete successfully against current and future competitors or that competitive pressure and/or the availability of open source software will not result in price reductions, reduced operating margins and loss of market share, any one of which could seriously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open source software programmers, many of whom we do not employ, or our own internal programmers do not continue to develop and enhance open source technologies, we may be unable to develop new technologies, adequately enhance our existing technologies or meet customer requirements for innovation, quality and price.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to a significant degree on a number of open source software programmers, or committers and contributors, to develop and enhance components of our C3 AI Software. Additionally, members of the corresponding Apache Software Foundation Project Management Committees, or PMCs, many of whom are not employed by us, are primarily responsible for the oversight and evolution of the codebases of important components of the open source data management ecosystem. If the open source data management committees and contributors fail to adequately further develop and enhance open source technologies, or if the PMCs fail to oversee and guide the evolution of open source data management technologies in the manner that we believe is appropriate to maximize the market potential of our solutions, then we would have to rely on other parties, or we would need to expend additional resources, to develop and enhance our C3 AI Software. We also must devote adequate resources to our own internal programmers to support their continued development and enhancement of open source technologies, and if we do not do so, we may have to turn to third parties or experience delays in developing or enhancing open source technologies. We cannot predict whether further developments and enhancements to these technologies would be available from reliable alternative sources. In either event, we may incur additional development expenses and experience delays in technology release and upgrade. Delays in developing, completing, or delivering new or enhanced components to our C3 AI Software could cause our offerings to be less competitive, impair customer acceptance of our solutions, and result in delayed or reduced revenue for our solutions.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software development and licensing model could be negatively impacted if the Apache License, Version 2.0 is not enforceable or is modified so as to become incompatible with other open source licenses.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our C3 AI Software have been provided under the Apache License 2.0. This license states that any work of authorship licensed under it, and any derivative work thereof, may be reproduced and distributed provided that certain conditions are met. It is possible that a court would hold this license to be unenforceable or that someone could assert a claim for proprietary rights in a program developed and distributed under it. Any ruling by a court that this license is not enforceable, or that we may not reproduce or distribute those open source software components as part of our C3 AI Software, may negatively impact our distribution or development of all or a portion of our solutions. In addition, at some time in the future it is possible that the license terms under which important components of the open source projects in our C3 AI Software is distributed may be modified, which could, among other consequences, negatively impact our continuing development or distribution of the software code subject to the new or modified license.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full utilization of our C3 AI Software may depend on software, applications, hardware and services from various third parties, and these items may not be compatible with our C3 AI Software and its development or may not be available to us or our customers on commercially reasonable terms, or at all, which could harm our business.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trading price of our Class A common stock may be volatile, and you could lose all or part of your investment.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price and volume fluctuations in the overall stock market from time to time;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high volume retail trading by participants connected in a social network;</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 xml:space="preserve">volatility in the trading prices and trading volumes of technology stocks;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changes in operating performance and stock market valuations of other technology companies generally, or those in our industry in particular;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sales of shares of our Class A common stock by us or our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failure of securities analysts to maintain coverage of us, changes in financial estimates by securities analysts who follow our company, or our failure to meet these estimates or the expectations of investors, particularly in light of the significant portion of our revenue derived from a limited number of customers;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announcements by us or our competitors of new products, applications, features, or services;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public’s reaction to our press releases, other public announcements, and filings with the SEC;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rumors and market speculation involving us or other companies in our industry, which may include short seller reports;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actual or anticipated changes in our results of operations or fluctuations in our results of operations;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actual or anticipated developments in our business, our competitors’ businesses or the competitive landscape generally;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litigation involving us, our industry, or both, or investigations by regulators into our operations or those of our competitors;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actual or perceived privacy or data security incidents;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developments or disputes concerning our intellectual property or other proprietary rights;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announced or completed acquisitions of businesses, applications, products, services, or technologies by us or our competitors;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new laws or regulations or new interpretations of existing laws or regulations applicable to our business;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changes in accounting standards, policies, guidelines, interpretations, or principles;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significant change in our management;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general political and economic conditions and slow or negative growth of our markets;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other technical trading factors.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we cannot assure you of the liquidity of an active trading market, your ability to sell your shares of our Class A common stock when desired, or the prices that you may obtain for your shares of our Class A common stock. An inactive market may also impair our ability to raise capital to continue to fund operations by selling shares of our Class A common stock and may impair our ability to acquire or make investments in complementary companies, products, or technologies by using shares of our common stock as consideration.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the past, following periods of volatility in the overall market and in the market price of a particular company’s securities, securities class action litigation has often been instituted against these companies. For example, in March 2022, we and certain of our current and former officers and directors were sued in a putative class action lawsuit alleging violations of the federal securities laws for allegedly making material misstatements or omissions about our partnership with Baker Hughes and other strategic alliances, our market potential, and the uptake of our products. Securities litigation against us could result in substantial costs and a diversion of our management’s attention and resources. We may be the target of additional litigation of this type in the future as well.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Short sellers may engage in manipulative activity intended to drive down the market price of our Class A common stock, which could also result in related regulatory and governmental scrutiny, among other effects.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A common stock for the price to decline. At any time, short sellers may publish, or arrange for the publication of, opinions or characterizations that are intended to create negative market momentum. Issuers, like us, whose securities have historically had limited trading history or volumes and/or have been susceptible to relatively high volatility levels can be vulnerable to such short seller attacks. Short selling reports can cause increased volatility in an issuer’s stock price, and result in regulatory and governmental inquiries. On April 4, 2023, a short seller report was published which contained certain allegations against us. Any inquiry or formal investigation from a governmental organization or other regulatory body, including any inquiry from the SEC or the U.S. Department of Justice, could result in a material diversion of our management’s time and could have a material adverse effect on our business and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has the effect of concentrating voting control with the holders of our Class B common stock, limiting your ability to influence corporate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B common stock has 50 votes per share, and our Class A common stock has one vote per share. As of April 30, 2023, Mr. Siebel and related entities beneficially owned approximately 87.8% of our Class B common stock and approximately 21.8% of our outstanding Class A common stock, resulting in beneficial ownership of capital stock representing approximately 56.2% of the voting power of our outstanding capital stock. Therefore, Mr. Siebel has control over our management and affairs and over all matters requiring stockholder approval, including election of directors and significant corporate transactions, such as a merger or other sale of us or our assets. This concentrated control will limit your ability to influence corporate matters for the foreseeable future, and, as a result, the market price of our Class A common stock could be adversely affected.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Class B common stock will be automatically converted into one share of Class A common stock upon the earliest of (1) the date that is six months following the death or incapacity of Mr. Siebel, (2) the date that is six months following the date that Mr. Siebel is no longer providing services to us as an officer, employee, director, or consultant, (3) December 11, 2040, and (4) the date specified by the holders of a majority of the then outstanding shares of Class B common stock, voting as a separate class.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Siebel retains a significant portion of his holdings of Class B common stock for an extended period of time, he could, in the future, control a majority of the combined voting power of our Class A and Class B common stock. As a board member, Mr. Siebel owes a fiduciary duty to our stockholders and must act in good faith in a manner he reasonably believes to be in the best interests of our stockholders. As a stockholder, even a controlling stockholder, Mr. Siebel is entitled to vote his shares in his own interests, which may not always be in the interests of our stockholders generally.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FTSE Russell and Standard &amp; Poor’s do not allow most newly public companies utilizing dual or multi-class capital structures to be included in their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dual class capital structure would make us ineligible for inclusion in certain indices, and as a result, mutual funds, exchange-traded funds and other investment vehicles that attempt to passively track these indices will not be investing in our stock. In addition, other stock indices may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Substantial future sales of shares of our Class A common stock and Class B common stock by existing holders in the public market could cause the market price of our Class A common stock to decline.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and Class B common stock (after automatically converting to Class A common stock) in the public market, particularly sales by our directors, executive officers, and principal stockholders, or the perception that these sales might occur, could depress the market price of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of April 30, 2023, there were 28,432,805 shares of Class A common stock subject to outstanding options under our Amended and Restated 2012 Equity Incentive Plan and 27,408,618 shares of Class A common stock subject to equity awards outstanding under our 2020 Equity Incentive Plan. We have registered all of the shares of Class A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any such equity awards are exercised or settled for shares of Class A common stock, subject to compliance with applicable securities laws. In addition, certain of our stockholders have registration rights that would require us to register shares owned by them for public sale in the United States.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Provisions in our constituent documents and Delaware law may prevent or frustrate attempts by our stockholders to change our management or hinder efforts to acquire a controlling interest in us, and the market price of our Class A common stock may be lower as a result.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provisions in our certificate of incorporation and bylaws that may make it difficult for a third party to acquire, or attempt to acquire, control of our company, even if a change in control was considered favorable by our stockholders. These include provisions: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establishing a classified board of directors so that not all members of our board of directors are elected at one time;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permitting our board of directors to establish the number of directors and fill any vacancies and newly created directorships;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providing that directors may only be removed for cause;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prohibiting cumulative voting for directors;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requiring super-majority voting to amend some provisions in our certificate of incorporation and bylaws;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authorizing the issuance of “blank check” preferred stock that our board of directors could use to implement a stockholder rights plan;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eliminating the ability of stockholders to call special meetings of stockholders;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prohibiting stockholder action by written consent, which requires all stockholder actions to be taken at a meeting of our stockholders;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dual class common stock structure as described above.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the Court of Chancery of the State of Delaware and, to the extent enforceable, the federal district courts of the United States of America as the exclusive forums for substantially all disputes between us and our stockholders, which could limit our stockholders’ ability to choose the judicial forum for disputes with us or our directors, officers or employees.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unless we consent in writing to the selection of an alternative forum,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under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In addition,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Furthermore, Section 22 of the Securities Act creates concurrent jurisdiction for federal and state courts over all suits brought to enforce any duty or liability created by the Securities Act. Accordingly, both state and federal courts have jurisdiction to entertain such claims.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will continue to incur costs and demands upon management as a result of complying with the laws and regulations affecting public companies in the United States, which may harm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listed in the United States, we have incurred and expect to continue to incur significant additional legal, accounting, and other expenses. In addition, changing laws, regulations, and standards relating to corporate governance and public disclosure, including regulations implemented by the SEC and the New York Stock Exchange,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reporting requirements of the Securities Exchange Act of 1934, as amended, or the Exchange Act, the Sarbanes-Oxley Act, and the rules and regulations of the applicable listing standards of the New York Stock Exchange. We expect that the requirements of these rules and regulations will continue to increase our legal, accounting, and financial compliance costs, make some activities more difficult, time consuming, and costly, and place significant strain on our personnel, systems, and resources.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to furnish a report by management on, among other things, the effectiveness of our internal control over financial reporting. This assessment includes disclosure of any material weaknesses identified by our management in our internal control over financial reporting. Our independent registered public accounting firm is also required to formally attest to the effectiveness of our internal control over financial reporting. Our compliance with Section 404 requires that we incur substantial accounting expense and expend significant management efforts. We currently have an external audit group and have hired additional accounting and financial staff. We may need to hire additional accounting and financial staff with appropriate public company experience and technical accounting knowledge and update the systems and process documentation necessary to perform the evaluation needed to comply with Section 404. Any failure to maintain effective disclosure controls and internal control over financial reporting could have an adverse effect on our business, financial condition and results of operations and could cause a decline in the market price of our Class A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be involved in legal proceedings that have a negative impact on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legal proceedings and claims that arise in the ordinary course of business, such as claims brought by our customers in connection with commercial or intellectual property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could be disrupted by catastrophic events.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Occurrence of any catastrophic event, including earthquake, fire, flood, tsunami, or other weather event (many of which are becoming more acute and frequent as a result of global climate change), power loss, telecommunications failure, software or hardware malfunctions, pandemics (such as the COVID-19 pandemic), political unrest, geopolitical instability, cyberattack, war, or terrorist attack, could result in lengthy interruptions in our service. In particular, our U.S. headquarters are located in the San Francisco Bay Area, a region known for seismic activity and wild fires,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our C3 AI Software to our customers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principal executive office is located in Redwood City, California, which consists of approximately 283,015 square feet of space under a lease that expires in March 2033. As of April 30, 2023, we have acquired 217,522 square feet of space under this lease in several phases. The lease commencement date of other phases of this lease will be determined when the landlord delivers the additional leased space to 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lease 14 other offices around the world for our employees, including in Tysons, Virginia; New York City, New York; Chicago, Illinois; Houston, Texas; Atlanta, Georgia; Sydney, Australia; Paris, France; Munich, Germany; Rome, Italy; Amsterdam, Netherlands; Singapore; London, UK; Guadalajara, Mexico; and Bengaluru, India.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legal proceedings and claims that arise in the ordinary course of our business. Although the outcome of these and other claims cannot be predicted with certainty, we do not believe the ultimate resolution of the current matters will have a material adverse effect on our business, financial condition, results of operations or cash flows. However, depending on the nature and timing of a given dispute, an unfavorable resolution could materially affect our current or future results of operations or cash flows. </w:t>
      </w:r>
    </w:p>
    <w:p>
      <w:pPr>
        <w:pStyle w:val="TextBody"/>
        <w:bidi w:val="0"/>
        <w:spacing w:lineRule="auto" w:line="288" w:before="0" w:after="180"/>
        <w:jc w:val="both"/>
        <w:rPr/>
      </w:pPr>
      <w:r>
        <w:rPr>
          <w:rFonts w:ascii="Times New Roman;sans-serif" w:hAnsi="Times New Roman;sans-serif"/>
          <w:b w:val="false"/>
          <w:color w:val="000000"/>
          <w:sz w:val="20"/>
        </w:rPr>
        <w:t xml:space="preserve">For a description of our legal proceedings, refer to </w:t>
      </w:r>
      <w:r>
        <w:rPr>
          <w:rFonts w:ascii="Times New Roman;sans-serif" w:hAnsi="Times New Roman;sans-serif"/>
          <w:b w:val="false"/>
          <w:i/>
          <w:color w:val="000000"/>
          <w:sz w:val="20"/>
        </w:rPr>
        <w:t>Note 7. Commitments and Contingencies—Legal Proceedings</w:t>
      </w:r>
      <w:r>
        <w:rPr>
          <w:color w:val="000000"/>
        </w:rPr>
        <w:t xml:space="preserve"> </w:t>
      </w:r>
      <w:r>
        <w:rPr>
          <w:rFonts w:ascii="Times New Roman;sans-serif" w:hAnsi="Times New Roman;sans-serif"/>
          <w:b w:val="false"/>
          <w:color w:val="000000"/>
          <w:sz w:val="20"/>
        </w:rPr>
        <w:t>in our consolidated financial statements included elsewhere in this Annual Report on Form 10-K.</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ISSUERS PURCHASES OF EQUITY SECURITIES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Market Information for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traded on The New York Stock Exchange (the “NYSE”) under the symbol “AI.” The shares of Class A common stock and Class B common stock are identical, except with respect to voting, conversion, and transfer rights. Each share of Class A common stock is entitled to one vote. Each share of Class B common stock is entitled to 50 votes. Class A and Class B common stock have a par value of $0.001 per share and are referred to as common stock throughout this Annual Report on Form 10-K, unless otherwise noted. Holders of common stock are entitled to receive any dividends as may be declared from time to time by the board of directors.</w:t>
      </w:r>
    </w:p>
    <w:p>
      <w:pPr>
        <w:pStyle w:val="TextBody"/>
        <w:bidi w:val="0"/>
        <w:spacing w:lineRule="auto" w:line="288" w:before="0" w:after="180"/>
        <w:jc w:val="both"/>
        <w:rPr/>
      </w:pPr>
      <w:r>
        <w:rPr>
          <w:rFonts w:ascii="Times New Roman;sans-serif" w:hAnsi="Times New Roman;sans-serif"/>
          <w:b w:val="false"/>
          <w:color w:val="000000"/>
          <w:sz w:val="20"/>
        </w:rPr>
        <w:t xml:space="preserve">Shares of Class B common stock may be converted to Class A common stock at any time at the option of the stockholder. Each share of Class B common stock will be automatically converted into one share of Class A common stock upon the earliest of the following: (i) the date that is six months following the death or incapacity of Mr. Siebel; (ii) the date that is six months following the date that Mr. Siebel is no longer providing services to the Company as an officer, employee, director, or consultant; (iii) December 11, 2040, which is the twentieth anniversary of the completion of the IPO; or (iv) the date specified by the holders of a majority of the then outstanding shares of Class B common stock, voting as a separate class. Future transfers by holders of Class B common stock will generally result in those shares converting to Class A common stock. Refer to </w:t>
      </w:r>
      <w:r>
        <w:rPr>
          <w:rFonts w:ascii="Times New Roman;sans-serif" w:hAnsi="Times New Roman;sans-serif"/>
          <w:b w:val="false"/>
          <w:i/>
          <w:color w:val="000000"/>
          <w:sz w:val="20"/>
        </w:rPr>
        <w:t>Note 9. Stockholders’ Equity</w:t>
      </w:r>
      <w:r>
        <w:rPr>
          <w:rFonts w:ascii="Times New Roman;sans-serif" w:hAnsi="Times New Roman;sans-serif"/>
          <w:b w:val="false"/>
          <w:color w:val="000000"/>
          <w:sz w:val="20"/>
        </w:rPr>
        <w:t xml:space="preserve">, in the Notes to Consolidated Financial Statements included in </w:t>
      </w:r>
      <w:r>
        <w:rPr>
          <w:rFonts w:ascii="Times New Roman;sans-serif" w:hAnsi="Times New Roman;sans-serif"/>
          <w:b w:val="false"/>
          <w:i/>
          <w:color w:val="000000"/>
          <w:sz w:val="20"/>
        </w:rPr>
        <w:t>Part II, Item 8, “Financial Statements and Supplementary Data”</w:t>
      </w:r>
      <w:r>
        <w:rPr>
          <w:rFonts w:ascii="Times New Roman;sans-serif" w:hAnsi="Times New Roman;sans-serif"/>
          <w:b w:val="false"/>
          <w:color w:val="000000"/>
          <w:sz w:val="20"/>
        </w:rPr>
        <w:t>, of this Form 10-K for a discussion of our conversion of Class B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Holders of Record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6, 2023, there were 140 stockholders of record of our Class A common stock. Because many of our shares of Class A common stock are held by brokers and other institutions on behalf of stockholders, we are unable to estimate the total number of stockholders represented by these record holders.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Performance Graph</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“soliciting material” or to be “filed” with the Securities Exchange Commission (“SEC”) for purposes of Section 18 of the Securities Exchange Act of 1934, as amended (“Exchange Act”), or otherwise subject to the liabilities under that Section, and shall not be deemed to be incorporated by reference into any of our filings under the Securities Act or the Exchange 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return to stockholders on our Class A common stock since December 9, 2020 (the date our Class A common stock commenced trading on the NYSE) relative to the cumulative total returns of the S&amp;P 500 Index and the S&amp;P 500 Information Technology Index over the same period. An investment of $100 (with reinvestment of all dividends) is assumed to have been made in our Class A common stock and in each index at the market close on December 9, 2020, and its relative performance is tracked through April 30, 2023. The initial public offering price of our Class A common stock, which had a closing stock price of $92.49 on December 9, 2020, was $42.00 per share.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returns shown are based on historical results and are not intended to suggest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before="0" w:after="180"/>
        <w:jc w:val="center"/>
        <w:rPr/>
      </w:pPr>
      <w:r>
        <w:rPr/>
        <w:drawing>
          <wp:inline distT="0" distB="0" distL="0" distR="0">
            <wp:extent cx="6286500" cy="3590925"/>
            <wp:effectExtent l="0" t="0" r="0" b="0"/>
            <wp:docPr id="6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 descr=""/>
                    <pic:cNvPicPr>
                      <a:picLocks noChangeAspect="1" noChangeArrowheads="1"/>
                    </pic:cNvPicPr>
                  </pic:nvPicPr>
                  <pic:blipFill>
                    <a:blip r:embed="rId2"/>
                    <a:stretch>
                      <a:fillRect/>
                    </a:stretch>
                  </pic:blipFill>
                  <pic:spPr bwMode="auto">
                    <a:xfrm>
                      <a:off x="0" y="0"/>
                      <a:ext cx="6286500" cy="3590925"/>
                    </a:xfrm>
                    <a:prstGeom prst="rect">
                      <a:avLst/>
                    </a:prstGeom>
                  </pic:spPr>
                </pic:pic>
              </a:graphicData>
            </a:graphic>
          </wp:inline>
        </w:drawing>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relating to the repurchases of our Class A common stock made by us in the three months ended April 30, 2023 (in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520"/>
        <w:gridCol w:w="457"/>
        <w:gridCol w:w="461"/>
        <w:gridCol w:w="582"/>
        <w:gridCol w:w="475"/>
        <w:gridCol w:w="477"/>
        <w:gridCol w:w="109"/>
        <w:gridCol w:w="109"/>
        <w:gridCol w:w="109"/>
        <w:gridCol w:w="317"/>
        <w:gridCol w:w="770"/>
        <w:gridCol w:w="164"/>
        <w:gridCol w:w="109"/>
        <w:gridCol w:w="109"/>
        <w:gridCol w:w="109"/>
        <w:gridCol w:w="768"/>
        <w:gridCol w:w="768"/>
        <w:gridCol w:w="771"/>
        <w:gridCol w:w="109"/>
        <w:gridCol w:w="109"/>
        <w:gridCol w:w="109"/>
        <w:gridCol w:w="520"/>
        <w:gridCol w:w="1783"/>
        <w:gridCol w:w="391"/>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 xml:space="preserve">Approximate Dollar Value of Shares that May Yet Be Purchased Under the Program </w:t>
            </w:r>
            <w:r>
              <w:rPr>
                <w:rFonts w:ascii="Times New Roman;sans-serif" w:hAnsi="Times New Roman;sans-serif"/>
                <w:b/>
                <w:color w:val="000000"/>
                <w:sz w:val="10"/>
              </w:rPr>
              <w:t>(2)</w:t>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February 28, 2023</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 March 31, 2023</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 April 30, 2023</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0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13,199 </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Includes shares of unvested Class A common stock that were repurchased by us from former employees upon termination of employment in accordance with the terms of the employees’ stock option agreements. We purchased the shares from the former employees at the respective original exercise prices.</w:t>
      </w:r>
    </w:p>
    <w:p>
      <w:pPr>
        <w:pStyle w:val="TextBody"/>
        <w:bidi w:val="0"/>
        <w:spacing w:before="0" w:after="0"/>
        <w:ind w:left="0" w:right="0" w:hanging="360"/>
        <w:jc w:val="left"/>
        <w:rPr/>
      </w:pPr>
      <w:r>
        <w:rPr/>
      </w:r>
    </w:p>
    <w:p>
      <w:pPr>
        <w:pStyle w:val="TextBody"/>
        <w:bidi w:val="0"/>
        <w:spacing w:lineRule="auto" w:line="288" w:before="0" w:after="180"/>
        <w:ind w:left="0" w:right="0" w:hanging="360"/>
        <w:jc w:val="both"/>
        <w:rPr/>
      </w:pPr>
      <w:r>
        <w:rPr>
          <w:rFonts w:ascii="Times New Roman;sans-serif" w:hAnsi="Times New Roman;sans-serif"/>
          <w:b w:val="false"/>
          <w:color w:val="000000"/>
          <w:sz w:val="16"/>
        </w:rPr>
        <w:t xml:space="preserve">(2)     In December 2021, our board of directors approved a stock repurchase program for the repurchase of up to $100.0 million of outstanding shares of Class A common stock over the course of 18 months. See </w:t>
      </w:r>
      <w:r>
        <w:rPr>
          <w:rFonts w:ascii="Times New Roman;sans-serif" w:hAnsi="Times New Roman;sans-serif"/>
          <w:b w:val="false"/>
          <w:i/>
          <w:color w:val="000000"/>
          <w:sz w:val="16"/>
        </w:rPr>
        <w:t>Note 9. Stockholders’ Equity</w:t>
      </w:r>
      <w:r>
        <w:rPr>
          <w:color w:val="000000"/>
        </w:rPr>
        <w:t xml:space="preserve"> </w:t>
      </w:r>
      <w:r>
        <w:rPr>
          <w:rFonts w:ascii="Times New Roman;sans-serif" w:hAnsi="Times New Roman;sans-serif"/>
          <w:b w:val="false"/>
          <w:color w:val="000000"/>
          <w:sz w:val="16"/>
        </w:rPr>
        <w:t>for further information. Under the program, we may purchase stock in the open market or through privately negotiated transactions in accordance with applicable securities laws. The timing and actual amount of the stock repurchases will depend on several factors including price, capital availability, regulatory requirements, alternative investment opportunities and other market conditions. As of April 30, 2023, $85.0 million remained available for future repurchases under the program.</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consolidated financial statements and related notes appearing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“Risk Factors" under Part I, Item 1A in this Annual Report on Form 10-K for a discussion of important factors that could cause our actual results to differ materially from those anticipated in these forward-looking statements. Unless the context otherwise requires, all references in this report to “C3.ai,” “C3 AI,” the “Company”, “we,” “our,” “us,” or similar terms refer to C3.ai, Inc. and its subsidiaries.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otherwise stated, references to particular years, quarters, months or periods refer to our fiscal years ended April 30 and the associated quarters, months and periods of those fiscal years.</w:t>
      </w:r>
    </w:p>
    <w:p>
      <w:pPr>
        <w:pStyle w:val="TextBody"/>
        <w:bidi w:val="0"/>
        <w:spacing w:lineRule="auto" w:line="288" w:before="0" w:after="180"/>
        <w:jc w:val="both"/>
        <w:rPr/>
      </w:pPr>
      <w:r>
        <w:rPr>
          <w:rFonts w:ascii="Times New Roman;sans-serif" w:hAnsi="Times New Roman;sans-serif"/>
          <w:b w:val="false"/>
          <w:i/>
          <w:color w:val="000000"/>
          <w:sz w:val="20"/>
        </w:rPr>
        <w:t xml:space="preserve">A discussion regarding our financial condition and results of operations for the fiscal year ended April 30, 2023 compared to the fiscal year ended April 30, 2022 is presented below. A discussion regarding our financial condition and results of operations for the fiscal year ended April 30, 2022 compared to the fiscal year ended April 30, 2021 can be found in “Management's Discussion and Analysis of Financial Condition and Results of Operations” in Part II, Item 7 of our </w:t>
      </w:r>
      <w:hyperlink r:id="rId3">
        <w:r>
          <w:rPr>
            <w:rStyle w:val="InternetLink"/>
            <w:rFonts w:ascii="Times New Roman;sans-serif" w:hAnsi="Times New Roman;sans-serif"/>
            <w:b w:val="false"/>
            <w:i/>
            <w:color w:val="0000FF"/>
            <w:sz w:val="20"/>
            <w:u w:val="single"/>
          </w:rPr>
          <w:t>Annual Report on Form 10-K</w:t>
        </w:r>
      </w:hyperlink>
      <w:r>
        <w:rPr>
          <w:color w:val="000000"/>
        </w:rPr>
        <w:t xml:space="preserve"> </w:t>
      </w:r>
      <w:r>
        <w:rPr>
          <w:rFonts w:ascii="Times New Roman;sans-serif" w:hAnsi="Times New Roman;sans-serif"/>
          <w:b w:val="false"/>
          <w:i/>
          <w:color w:val="000000"/>
          <w:sz w:val="20"/>
        </w:rPr>
        <w:t>for the fiscal year ended April 30, 2022, filed with the Securities and Exchange Commission, or SEC, on June 23,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C3 AI is an Enterprise AI application software company.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built an integrated family of software applications that enables our customers to rapidly develop, deploy, and operate large-scale Enterprise AI applications across any infrastructure. Customers can deploy C3 AI solutions on all major public cloud infrastructures, private cloud or hybrid environments, or directly on their servers and processors. We provide four primary families of software solutions, which we collectively refer to as our C3 AI Software: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Platform,</w:t>
      </w:r>
      <w:r>
        <w:rPr>
          <w:color w:val="000000"/>
        </w:rPr>
        <w:t xml:space="preserve"> </w:t>
      </w:r>
      <w:r>
        <w:rPr>
          <w:rFonts w:ascii="Times New Roman;sans-serif" w:hAnsi="Times New Roman;sans-serif"/>
          <w:b w:val="false"/>
          <w:color w:val="000000"/>
          <w:sz w:val="20"/>
        </w:rPr>
        <w:t xml:space="preserve">our core technology, is a comprehensive, end-to-end application development and runtime environment that is designed to allow our customers to rapidly design, develop, and deploy Enterprise AI applications of any type.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Applications,</w:t>
      </w:r>
      <w:r>
        <w:rPr>
          <w:color w:val="000000"/>
        </w:rPr>
        <w:t xml:space="preserve"> </w:t>
      </w:r>
      <w:r>
        <w:rPr>
          <w:rFonts w:ascii="Times New Roman;sans-serif" w:hAnsi="Times New Roman;sans-serif"/>
          <w:b w:val="false"/>
          <w:color w:val="000000"/>
          <w:sz w:val="20"/>
        </w:rPr>
        <w:t xml:space="preserve">built using the C3 AI Platform, is a portfolio of pre-built, extensible, industry-specific and application-specific SaaS Enterprise AI applications that can be rapidly installed and deployed.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Generative AI Product Suite</w:t>
      </w:r>
      <w:r>
        <w:rPr>
          <w:rFonts w:ascii="Times New Roman;sans-serif" w:hAnsi="Times New Roman;sans-serif"/>
          <w:b w:val="false"/>
          <w:color w:val="000000"/>
          <w:sz w:val="20"/>
        </w:rPr>
        <w:t>, our latest innovation, combines the utility of LLMs, generative AI, reinforcement learning, natural language processing, and the C3 AI Platform to rapidly locate, retrieve, and present information, disparate data stores, applications, and enterprise information systems.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C3 AI Ex Machina</w:t>
      </w:r>
      <w:r>
        <w:rPr>
          <w:color w:val="000000"/>
        </w:rPr>
        <w:t xml:space="preserve"> </w:t>
      </w:r>
      <w:r>
        <w:rPr>
          <w:rFonts w:ascii="Times New Roman;sans-serif" w:hAnsi="Times New Roman;sans-serif"/>
          <w:b w:val="false"/>
          <w:color w:val="000000"/>
          <w:sz w:val="20"/>
        </w:rPr>
        <w:t>is a no-code, ML solution that empowers citizen data scientists with cloud-native, complete end-to-end capabilities, connecting to diverse data sources and types, enabling business analysts to rapidly perform data science tasks such as building, configuring, training, and visualizing AI models.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solutions, and our patented model-driven architecture, enable organizations to simplify and accelerate Enterprise AI application development, deployment, and administration. We significantly reduce the effort and complexity of the AI software engineering problem.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How We Generate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from the sale of software subscriptions, which accounted for 86%, 82% and 86% of our total revenue in the fiscal years ended April 30, 2023, 2022 and 2021, respectively. Our cloud-native software offerings allow us to manage, update, and monitor the software regardless of whether the software is deployed in our public cloud environment, in our customers’ self-managed private or public cloud environments, or in a hybrid environment. Our subscription contracts are generally non-cancellable and non-refundable.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primarily recognize revenue from subscriptions on a ratable basis over the contract term or on a usage basis for consumption-based arrangements. In addition, customers typically pay a usage-based runtime fee for production use of our C3 AI Software for specified levels of capacity. Customers who choose to run the software in our cloud environment pay the hosting costs charged by our cloud providers. We announced a new consumption-based pricing model, beginning with a pilot phase which includes unlimited developer access to the C3 AI Platform, one C3 AI Application and COE support services. After the pilot phase ends, the customer has an option to convert to a month-to-month contract for C3 AI Software with a minimum fee and overages charged if the customer utilizes greater than a specified number of vCPU or vGPU hours in a month. Customers have the option to commit to a one-year, two-year or three-year term. Our subscriptions also include our maintenance and support services. Additionally, we offer premium stand-ready support services through our C3 AI COE which is included as part of the subscription when purchased.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also generate revenue from professional services, which primarily include implementation services, training and prioritized engineering services. Professional services revenue represented 14%, 18% and 14% for the fiscal years ended April 30, 2023, 2022 and 2021, respectively. Our professional services are provided both onsite and remotely, and can include training, application design, project management, system design, data modeling, data integration, application design, development support, data science, and application and C3 AI Software administration support. Professional services fees are based on the level of effort required to perform the specified tasks and the services are typically provided under a fixed-fee engagement with defined deliverables and a duration of less than 12 months. We recognize revenue from our professional services over the period of delivery as services are performed.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total revenue grew to $266.8 million for the fiscal year ended April 30, 2023, representing a 6% increase compared to the prior fiscal year. Our subscription revenue grew to $230.4 million for the fiscal year ended April 30, 2023, representing a 11% increase compared to the prior fiscal year.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Go-to-Market Strategy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go-to-market strategy has been historically focused on large organizations recognized as leaders in their respective industries or public sectors, and who are attempting to solve complicated business problems by digitally transforming their operations. These large organizations, or lighthouse customers, include companies and public agencies within the oil and gas, power and utilities, aerospace and defense, industrial products, life sciences, and financial services industries, among others. This has resulted in C3 AI powering some of the largest and most complex Enterprise AI applications worldwide. These lighthouse customers serve as proof points for other potential customers in their particular industries. As a result, we have a customer base of a relatively small number of large organizations that generate high average total subscription contract value, but we expect that, over time, as more customers adopt our technology based on the proof points provided by these lighthouse customers, the revenue represented by these customers will decrease as a percentage of total revenue. As our C3 AI Platform and much of our other C3 AI Software is industry agnostic, we also expect to expand into other industries as we grow.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fiscal year 2023, we announced a change to our go-to-market strategy including a way for new customers to utilize our products at a smaller initial contract size and pay for services based on their monthly consumption of vCPU and vGPU hours. Customers generally begin with a two-quarter-long pilot which includes the necessary resources required to introduce the C3 AI Platform, C3 AI Applications and a desired product into their environment and receive necessary training to operate and maintain the product in production. Following the pilot period, customers pay a monthly fee and overage charges on a metered basis using vCPU and vGPU hours utilized as the metric to calculate payment. Customers are able to realize business value immediately after the conclusion of the pilot and grow at their pace over subsequent quarters.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Acquiring new customers and expanding our business with our existing customers is the intent of our go-to-market effort and drives our growth. Making new and existing customers successful is critical to our long-term success. After we help our customers solve their initial use cases, they typically identify incremental opportunities within their operations and expand their use of our products. The increased engagement is measured by a combination of increased vCPU usage, increased C3 AI Software subscriptions and subscriptions to the C3 AI Platform for in-house AI application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size and sophistication of our customers’ businesses demonstrate the flexibility, speed, and scale of our products, and maximize the potential value to our customers. To be a credible partner to our customers, who often are industry leaders, we deploy a motivated and highly educated team of C3 AI personnel and partners. We go-to-market primarily leveraging our direct sales force. We also complement and supplement our sales force with a number of go-to-market partners.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Industry Partners.</w:t>
      </w:r>
      <w:r>
        <w:rPr>
          <w:color w:val="000000"/>
        </w:rPr>
        <w:t xml:space="preserve"> </w:t>
      </w:r>
      <w:r>
        <w:rPr>
          <w:rFonts w:ascii="Times New Roman;sans-serif" w:hAnsi="Times New Roman;sans-serif"/>
          <w:b w:val="false"/>
          <w:color w:val="000000"/>
          <w:sz w:val="20"/>
        </w:rPr>
        <w:t xml:space="preserve">We have developed an alliance program to partner with recognized leaders in their respective industries, such as Baker Hughes, Fidelity National Information Services, or FIS, and Raytheon, to develop, market, and sell solutions that are natively built on or tightly integrated with the C3 AI Platform.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Hyperscale Cloud and Infrastructure.</w:t>
      </w:r>
      <w:r>
        <w:rPr>
          <w:color w:val="000000"/>
        </w:rPr>
        <w:t xml:space="preserve"> </w:t>
      </w:r>
      <w:r>
        <w:rPr>
          <w:rFonts w:ascii="Times New Roman;sans-serif" w:hAnsi="Times New Roman;sans-serif"/>
          <w:b w:val="false"/>
          <w:color w:val="000000"/>
          <w:sz w:val="20"/>
        </w:rPr>
        <w:t>We have formed global strategic go-to-market alliances with hyperscale cloud providers including Amazon Web Services, Microsoft Azure and Google Cloud. In addition, we have strategic alliances with leading hardware infrastructure providers to deliver our software optimized for their technology. These partners include Hewlett Packard Enterprise and Intel. These partners supply infrastructure solutions, data management and processing services, or hardware and networking devices (e.g., IoT gateways) to support C3.ai product implementations and complement C3 AI’s products.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Consulting and Services Partners.</w:t>
      </w:r>
      <w:r>
        <w:rPr>
          <w:color w:val="000000"/>
        </w:rPr>
        <w:t xml:space="preserve"> </w:t>
      </w:r>
      <w:r>
        <w:rPr>
          <w:rFonts w:ascii="Times New Roman;sans-serif" w:hAnsi="Times New Roman;sans-serif"/>
          <w:b w:val="false"/>
          <w:color w:val="000000"/>
          <w:sz w:val="20"/>
        </w:rPr>
        <w:t>We partner with a number of systems integrators specializing in Enterprise AI implementations.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Independent Software Vendors.</w:t>
      </w:r>
      <w:r>
        <w:rPr>
          <w:color w:val="000000"/>
        </w:rPr>
        <w:t xml:space="preserve"> </w:t>
      </w:r>
      <w:r>
        <w:rPr>
          <w:rFonts w:ascii="Times New Roman;sans-serif" w:hAnsi="Times New Roman;sans-serif"/>
          <w:b w:val="false"/>
          <w:color w:val="000000"/>
          <w:sz w:val="20"/>
        </w:rPr>
        <w:t>We partner with Independent Software Vendors who develop, market, and sell application solutions that are natively built on or tightly integrated with the C3 AI Platform.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Customer Count and Product Adoption</w:t>
      </w:r>
    </w:p>
    <w:p>
      <w:pPr>
        <w:pStyle w:val="TextBody"/>
        <w:bidi w:val="0"/>
        <w:spacing w:lineRule="auto" w:line="288" w:before="0" w:after="180"/>
        <w:jc w:val="both"/>
        <w:rPr/>
      </w:pPr>
      <w:r>
        <w:rPr>
          <w:rFonts w:ascii="Times New Roman;sans-serif" w:hAnsi="Times New Roman;sans-serif"/>
          <w:b w:val="false"/>
          <w:color w:val="000000"/>
          <w:sz w:val="20"/>
        </w:rPr>
        <w:t xml:space="preserve">We define a Customer-Entity as each entity that is the ultimate parent of a party contracting with us. </w:t>
      </w:r>
      <w:r>
        <w:rPr>
          <w:rFonts w:ascii="Times New Roman;sans-serif" w:hAnsi="Times New Roman;sans-serif"/>
          <w:b w:val="false"/>
          <w:color w:val="000000"/>
          <w:sz w:val="20"/>
          <w:shd w:fill="FFFFFF" w:val="clear"/>
        </w:rPr>
        <w:t xml:space="preserve">We commonly enter into enterprise-wide agreements with Customer-Entities that include multiple operating units or divisions. </w:t>
      </w:r>
      <w:r>
        <w:rPr>
          <w:rFonts w:ascii="Times New Roman;sans-serif" w:hAnsi="Times New Roman;sans-serif"/>
          <w:b w:val="false"/>
          <w:color w:val="000000"/>
          <w:sz w:val="20"/>
        </w:rPr>
        <w:t xml:space="preserve">Our customer composition is diverse and includes various customer segments with different purchasing decisions and pricing models. We offer a wide range of products and services, which results in a complex sales tapestry.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course of our history, we have continued to innovate our product offerings, expand our market reach, and evolve our business model to better serve the needs and use cases of our ever-growing customers. Today, our relationships with customers take a myriad of different forms, ranging from $25 licenses of C3 AI Ex Machina to individual data scientists, to enterprise-level limited time trials and pilots, to multi-million-dollar long-term enterprise-wide agreements for C3 AI Applications and/or the C3 AI Platform. Furthermore, the number of individual departments and divisions within our customer base using our applications and/or applications they have built on our platform has also expanded. The move to our new consumption-based pricing model, while being the right model for our business evolution, adds yet another permutation to our customer relations. While the bulk of our new business volume consists of product trials followed by consumption-based pricing, we continue to employ our historic pricing models in certain circumstances, including the expansion of existing agreements and renewals. We also have strong reseller relationships, who sell our solutions to their end customers.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this may seem inordinately complex, it is in fact appropriately complex. Our flexibility in customer arrangements speaks to our agility in working with our customers and providing value-add products and solutions through those contractual agreements and pricing arrangements most convenient to our customers, while also enabling profitability and growth for C3 AI.</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Over time, we have done our best to provide a quarterly customer count as a proxy to highlight the adoption and acceptance of our products and services by customers.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That being said, there is so much variety in the C3 AI sales tapestry, the types of customers, the broad range of products and solutions, the disparity in contract terms, our relations with resellers, and the range of prices that, to add them together into numbers that are meaningful to compare from one quarter to the next does not fully articulate the depth and breadth of the use cases and the value-add our products and solutions provide.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help us better articulate the growth in our customer base and use cases, we retained external consultants to recommend a best-practice customer count methodology that is consistent and relies on system data and is reproducible. As a result of that review, we have decided to change our definition to better reflect the number and level of activity of our customers, which we now define as Customer Engagement: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1.For products and services including paid trials, one-time, subscription, and professional service offerings, we count unique contacting customers by SKU that generate revenue in a given period (i.e. if a contracting customer generates revenue across four SKUs in a period, that would be counted as four Customer Engagements).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2.For products that are priced based on unique assets to which the customer is applying our solutions, we count distinct production applications by customer asset for which the product is used.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3.For resellers and federal customers, we count the number of reseller end customers and the number of federal departments utilizing our solutions.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new approach, our best estimate of Customer Engagement is as follows:</w:t>
      </w:r>
    </w:p>
    <w:tbl>
      <w:tblPr>
        <w:tblW w:w="9389" w:type="dxa"/>
        <w:jc w:val="left"/>
        <w:tblInd w:w="0" w:type="dxa"/>
        <w:tblLayout w:type="fixed"/>
        <w:tblCellMar>
          <w:top w:w="28" w:type="dxa"/>
          <w:left w:w="28" w:type="dxa"/>
          <w:bottom w:w="28" w:type="dxa"/>
          <w:right w:w="28" w:type="dxa"/>
        </w:tblCellMar>
      </w:tblPr>
      <w:tblGrid>
        <w:gridCol w:w="630"/>
        <w:gridCol w:w="554"/>
        <w:gridCol w:w="556"/>
        <w:gridCol w:w="394"/>
        <w:gridCol w:w="394"/>
        <w:gridCol w:w="396"/>
        <w:gridCol w:w="109"/>
        <w:gridCol w:w="109"/>
        <w:gridCol w:w="109"/>
        <w:gridCol w:w="369"/>
        <w:gridCol w:w="369"/>
        <w:gridCol w:w="372"/>
        <w:gridCol w:w="109"/>
        <w:gridCol w:w="109"/>
        <w:gridCol w:w="109"/>
        <w:gridCol w:w="464"/>
        <w:gridCol w:w="464"/>
        <w:gridCol w:w="466"/>
        <w:gridCol w:w="109"/>
        <w:gridCol w:w="109"/>
        <w:gridCol w:w="109"/>
        <w:gridCol w:w="474"/>
        <w:gridCol w:w="474"/>
        <w:gridCol w:w="476"/>
        <w:gridCol w:w="109"/>
        <w:gridCol w:w="109"/>
        <w:gridCol w:w="109"/>
        <w:gridCol w:w="358"/>
        <w:gridCol w:w="358"/>
        <w:gridCol w:w="513"/>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July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October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30, 2023</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Revised calculation</w:t>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287</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prior calculation methodology, our historical Customer count is as follows:</w:t>
      </w:r>
    </w:p>
    <w:tbl>
      <w:tblPr>
        <w:tblW w:w="9118" w:type="dxa"/>
        <w:jc w:val="left"/>
        <w:tblInd w:w="0" w:type="dxa"/>
        <w:tblLayout w:type="fixed"/>
        <w:tblCellMar>
          <w:top w:w="28" w:type="dxa"/>
          <w:left w:w="28" w:type="dxa"/>
          <w:bottom w:w="28" w:type="dxa"/>
          <w:right w:w="28" w:type="dxa"/>
        </w:tblCellMar>
      </w:tblPr>
      <w:tblGrid>
        <w:gridCol w:w="532"/>
        <w:gridCol w:w="468"/>
        <w:gridCol w:w="469"/>
        <w:gridCol w:w="394"/>
        <w:gridCol w:w="394"/>
        <w:gridCol w:w="396"/>
        <w:gridCol w:w="109"/>
        <w:gridCol w:w="109"/>
        <w:gridCol w:w="109"/>
        <w:gridCol w:w="369"/>
        <w:gridCol w:w="369"/>
        <w:gridCol w:w="372"/>
        <w:gridCol w:w="109"/>
        <w:gridCol w:w="109"/>
        <w:gridCol w:w="109"/>
        <w:gridCol w:w="464"/>
        <w:gridCol w:w="464"/>
        <w:gridCol w:w="466"/>
        <w:gridCol w:w="109"/>
        <w:gridCol w:w="109"/>
        <w:gridCol w:w="109"/>
        <w:gridCol w:w="474"/>
        <w:gridCol w:w="474"/>
        <w:gridCol w:w="476"/>
        <w:gridCol w:w="109"/>
        <w:gridCol w:w="109"/>
        <w:gridCol w:w="109"/>
        <w:gridCol w:w="358"/>
        <w:gridCol w:w="358"/>
        <w:gridCol w:w="513"/>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July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October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30, 2023</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calculation</w:t>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Business Metric</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remaining performance obligations, or RPO, as a key metric to help us evaluate the health of our business, identify trends affecting our growth, formulate goals and objectives, and make strategic decisions. RPO is not necessarily indicative of future revenue growth because it does not account for the timing of customers’ consumption or their consumption of more than their contracted capacity. Moreover, RPO is influenced by several factors, including the timing of renewals, the timing of purchases of additional capacity, average contract terms, and seasonality. Due to these factors, it is important to review RPO in conjunction with revenue and other financial metrics disclosed elsewhere in this Annual Report on Form 10-K. RPO was $381.4 million and $477.4 million as of April 30, 2023 and 2022, respectively. We transitioned our go-to market strategy from a subscription-based pricing model to a consumption-based pricing model generally for new customers. While the immediate-term effect of this transition lowers revenue growth and decreases RPO, we believe the medium and long term effect provides a substantial accelerator to revenue growth and RPO.</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RPO represents the amount of our contracted future revenue that has not yet been recognized, including both deferred revenue and non-cancellable contracted amounts that will be invoiced and recognized as revenue in future periods. Our RPO as of April 30, 2023 is comprised of $47.9 million related to deferred revenue and $333.5 million of commitments from non-cancellable contracts. Our RPO as of April 30, 2022 was comprised of $49.1 million related to deferred revenue and $428.3 million of commitments from non-cancellable contracts.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RPO excludes amounts related to performance obligations and usage-based royalties that are billed and recognized as they are delivered. This primarily consists of monthly usage-based runtime and hosting charges in the duration of some revenue contracts. RPO also excludes any future resale commitments by our strategic partners until those end customer contracts are signed. Cancellable backlog, not included in RPO, was $40.2 million and $39.4 million as of April 30, 2023 and April 30,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Factors Affecting Our Performance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and financial performance depend on a number of factors that present significant opportunities for our business but also pose risks and challenges, including those discussed below and in the section of this Annual Report on Form 10-K titled “Risk Factors” Part I, Item 1A, that we must successfully address to sustain our growth, improve our results of operations, and establish and maintain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Customer Acquisition, Retention, and Expansion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continuing to grow our customer base, retaining existing customers and expanding customers’ usage of our C3 AI Software by addressing new use cases across multiple departments and divisions, adding users, and developing and deploying additional applications. All of these factors increase the adoption and relevance of our C3 AI Software to our customers’ business and, as an outcome, increases their runtime usage.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built a customer-focused culture and have implemented proactive programs and processes designed to drive customer success. These include a robust customer support and success function. For example, as part of our subscription offerings, we provide our customers with the ability to establish a COE, accessing our experienced and specialized resources in key technical areas like application development, data integration, and data science to accelerate and ensure our customers’ success developing applications on our C3 AI Platform. We closely monitor the health and status of every customer account through multiple activities, including real-time monitoring, daily and weekly reports to management, as well as quarterly reviews with our customers.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also intend to attract new customers across multiple industries where we have limited meaningful presence today, yet represent very large market opportunities such as telecommunications, pharmaceuticals, smart cities, transportation, and healthcare, among others.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had a relatively small number of customers with large total subscription contract values. As a result, revenue growth can vary significantly based on the timing of customer acquisition, changes in product mix, and contract durations, renewals, or terminations. We expect the number of customers to increase compared to prior fiscal years as organizations address the importance of digital transformation. The average total subscription contract value as well as the revenue represented by our lighthouse customers as a percentage of total revenue is decreasing and we expect them to continue to decrease as we have restructured our sales organization and expanded our market-partner ecosystem to effectively address small, medium, and large enterprise sales opportunities.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Going forward, we expect we will attract new customers who prefer to subscribe to the C3 AI Platform and C3 AI Applications with our consumption-based pricing model. For further discussion, see the section titled “Overview—Go-to-Market Strategy” included in Part II, Item 7 of this Annual Report on Form 10-K.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Technology Innovation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invest in our research and development capabilities to extend our C3 AI Software, to expand within existing accounts, and to gain new customers. Our investments in research and development drive core technology innovation and bring new products to market. Our model-driven architecture enables us and our customers to rapidly address new use cases by building new applications and extending and enhancing the features and functionality of current C3 AI Software. By investing to make it easier to develop applications on our C3 AI Platform, our customers have become active developers. With our support, our customers have developed and deployed almost two-thirds of the applications currently in production and running on the C3 AI Platform. Research and development spending has fueled enhancements to our existing C3 AI Platform.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maintain high levels of investment in product innovation over the coming years as we continue to introduce new applications which address new industry use cases, and new features and functionality for the C3 AI Software. As our business scales over a longer-term horizon, we anticipate research and development spend as a percent of total revenue to decline.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Brand Awareness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are in the early stages of a large and expanding market for AI enabled digital transformation. While we spent significantly on brand awareness over the past few years, we have recently reduced our spend on brand awareness, but continue to invest in market education, strategic paid media, and thought leadership. We engage the market through digital, radio, outdoor, airport, and print advertising; virtual and physical events, including our C3 Transform annual user conference; and C3 AI Live, a series of livestreamed events featuring C3 AI customers, C3 AI partners, and C3 AI experts in AI, ML, and data science.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near term, we expect marketing spend to decline as a percent of total revenue as we make ongoing progress in establishing C3 AI’s brand and reputation and as our business scales.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Grow Our Go-to-Market and Partnership Ecosystem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activities of our field sales organization, our success in attracting new customers will depend on our ability to expand our ecosystem of strategic partners and the number of industry verticals that they serve. Our strategic go-to-market alliances vastly extend our reach globally. Some of our most notable partners include Baker Hughes, FIS, Microsoft, and Google. Each strategic partner is a leader in its industry, with a substantial installed customer base and extensive marketing, sales, and services resources that we can leverage to engage and serve customers anywhere in the world. Using our C3 AI Platform as the development suite, we leverage our model-driven architecture to efficiently build new cross-industry and industry-specific applications based on identifying requirements across our customer base of industry leaders and through our industry partners. Our strategy with strategic partners is to establish a significant use case and prove the value of our C3 AI Platform with a flagship customer in each industry in which we participate. We have done this with our strategic vertical industry partner in oil and gas, Baker Hughes, as well as with our iconic global customers, some of whom are deploying C3 AI technology to optimize thousands of critical assets globally across their upstream, midstream, and downstream operations. We establish formal sales and marketing plans with each partner, including specific sales goals and dedicated budgets, and we work closely with these partners to identify specific target accounts. We intend to grow the business we do with each partner and to add more partners as we expand the vertical markets we serve. We also offer revenue generating pilots of our applications as part of our customer acquisition strategy.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2019, we entered into a three-year arrangement with Baker Hughes as both a leading customer and as a partner in the oil and gas industry. This arrangement included a subscription to our C3 AI Platform for their own operations (which we refer to below as direct subscription fees), the exclusive right for Baker Hughes to resell our offerings worldwide in the oil and gas industry, and the non-exclusive right to resell our offerings in other industries. Under the arrangement, Baker Hughes made minimum, non-cancellable, total revenue commitments to us of $50.0 million, $100.0 million, and $170.0 million, for each of the fiscal years ending April 30, 2020, 2021, and 2022, respectively. Baker Hughes’ revenue commitments were inclusive of their direct subscription fees of $39.5 million per year with the remainder to be generated from the resale of our solutions by the Baker Hughes sales organization. During the fiscal year ended April 30, 2020, we recognized as revenue the full value of the first year of the direct subscription agreement and the value of deals brought in by Baker Hughes through the reseller arrangement. This arrangement was revised in June 2020 to extend the term by an additional two years, for a total of five years, with an expiration date in the fiscal year ending April 30, 2024 and to modify the annual amount of Baker Hughes’ commitments to $53.3 million, $75.0 million, $125.0 million, and $150.0 million, over the fiscal years ending April 30, 2021, 2022, 2023, and 2024, respectively. We are obligated to pay Baker Hughes a sales commission on subscriptions to our products and services offerings it resells in excess of these minimum revenue commitments.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and Baker Hughes revised this arrangement in October 2021 to extend the term by an additional year, for a total of six years, with an expiration date in the fiscal year ending April 30, 2025, to modify the amount of Baker Hughes’ annual commitments to $85.0 million in the fiscal year ending April 30, 2023, $110.0 million in the fiscal year ending April 30, 2024, and $125.0 million in the fiscal year ending April 30, 2025, and to revise the structure of the arrangement to incentivize Baker Hughes’ sales of our products and services. Beginning in the fiscal year ending April 30, 2023 and until the Baker Hughes arrangement were further revised in January 2023 as described below, Baker Hughes’ annual commitments were reduced by any revenue we generated from certain customers between October 2021 and January 2023. We acknowledged that Baker Hughes had met its minimum annual revenue commitment for the fiscal year ended April 30, 2022 and recognized $16.0 million of sales commission as deferred costs during the fiscal quarter ended October 31, 2021 related to this arrangement, which will be amortized over an expected period of five years.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and Baker Hughes further revised and expanded this arrangement in January 2023. Pursuant to this revised arrangement, the frequency of payments due from Baker Hughes to us is accelerated, Baker Hughes obtained expanded reseller rights and we will provide additional products and services. This results in an increase of $32.5 million in the overall transaction price of the arrangement by eliminating potential variable consideration attributable to any revenue we generated from certain customers (the variable consideration was $49.3 million as of April 30, 2022). The amount of consideration may increase if Baker Hughes exceeds certain thresholds. We also provided Baker Hughes the option to extend the subscription term upon payment of a renewal fee.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RPO related to Baker Hughes, which includes both direct subscriptions and reseller arrangements, is comprised of $0.2 million related to deferred revenue and $161.9 million of commitments from non-cancellable contracts as of April 30, 2023 and $2.3 million related to deferred revenue and $212.9 million from non-cancellable contracts as of April 30, 2022.</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services from Baker Hughes from time to time to support our end customers in relation to our contracts with those customers. These costs are recorded as cost of subscription revenue in the consolidated statement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International Expansion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international market opportunity for Enterprise AI software is large and growing, and we believe there is a significant opportunity to continue to grow our international customer base. We believe that the demand for our C3 AI Software will continue growing as international awareness of the benefits of digital transformation and Enterprise AI software grows. We plan to continue to make investments to expand geographically by increasing our direct sales team in international markets and supplementing the direct sales effort with strategic partners to significantly expand our reach and market coverage. We derived approximately 21%, 22% and 35% of our total revenue for the fiscal years ended April 30, 2023, 2022 and 2021, respectively, from international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Impact of Macroeconomic Conditions and COVID-19 Pandemic</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financial condition have been, and may continue to be, impacted by adverse macroeconomic conditions and uncertainties, including labor shortages, supply chain disruptions, inflation, higher interest rates, and fluctuations or volatility in capital markets, which are causing customers to optimize consumption, rationalize budgets, and prioritize cash flow management.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caused general business disruption worldwide beginning in January 2020. The full extent to which the COVID-19 pandemic, including any new variants, may continue to directly or indirectly impact general market conditions or our business, results of operations, cash flows, and financial condition depends on future developments that are uncertain. As a result of global business disruption, the COVID-19 pandemic had a significant adverse impact on our conclusion of new and additional business agreements in 2022, 2021 and 2020 and may continue to pose challenges as the effects of the pandemic continue to abate.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evaluate the nature and extent of the impact of general macroeconomic conditions and the COVID-19 pandemic on our business. For further discussion, see the section titled “Risk Factors” included in Part I, Item 1A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both"/>
        <w:rPr/>
      </w:pPr>
      <w:r>
        <w:rPr>
          <w:rFonts w:ascii="Times New Roman;sans-serif" w:hAnsi="Times New Roman;sans-serif"/>
          <w:b w:val="false"/>
          <w:i/>
          <w:color w:val="000000"/>
          <w:sz w:val="20"/>
        </w:rPr>
        <w:t xml:space="preserve">Subscription Revenue. </w:t>
      </w:r>
      <w:r>
        <w:rPr>
          <w:rFonts w:ascii="Times New Roman;sans-serif" w:hAnsi="Times New Roman;sans-serif"/>
          <w:b w:val="false"/>
          <w:color w:val="000000"/>
          <w:sz w:val="20"/>
        </w:rPr>
        <w:t>Our subscription revenue is primarily comprised of term licenses, stand-ready COE support services, trials and pilots of our applications, and software-as-a-service offerings. Sales of our term licenses grant our customers the right to use our software, either on their own cloud instance or their internal hardware infrastructure, over the contractual term. We also offer a premium stand-ready service through our COE. Sales of our software-as-a-service offerings include a right to use our software over the contractual term. Our subscription contracts are generally non-cancellable and non-refundable, and we recognize revenue over the contract term on a ratable basis. In addition, customers pay a usage-based runtime fee for our C3 AI Software for specified levels of capacity. Our subscriptions also include our maintenance and support services, which include critical and continuous updates to the software that are integral to maintaining the intended utility of the software over the contractual term. Our software subscriptions and maintenance and support services are highly interdependent and interrelated and represent a single distinct performance obligation within the context of the contract. We currently have a small number of public utility customers that license our offerings under a perpetual license model, and we expect that may continue for the foreseeable future for certain customers due to their specific contracting requirements.</w:t>
      </w:r>
    </w:p>
    <w:p>
      <w:pPr>
        <w:pStyle w:val="TextBody"/>
        <w:bidi w:val="0"/>
        <w:spacing w:lineRule="auto" w:line="288" w:before="0" w:after="180"/>
        <w:jc w:val="both"/>
        <w:rPr/>
      </w:pPr>
      <w:r>
        <w:rPr>
          <w:rFonts w:ascii="Times New Roman;sans-serif" w:hAnsi="Times New Roman;sans-serif"/>
          <w:b w:val="false"/>
          <w:i/>
          <w:color w:val="000000"/>
          <w:sz w:val="20"/>
        </w:rPr>
        <w:t>Professional Services Revenue.</w:t>
      </w:r>
      <w:r>
        <w:rPr>
          <w:color w:val="000000"/>
        </w:rPr>
        <w:t xml:space="preserve"> </w:t>
      </w:r>
      <w:r>
        <w:rPr>
          <w:rFonts w:ascii="Times New Roman;sans-serif" w:hAnsi="Times New Roman;sans-serif"/>
          <w:b w:val="false"/>
          <w:color w:val="000000"/>
          <w:sz w:val="20"/>
        </w:rPr>
        <w:t>Our professional services revenue primarily includes implementation services, training and prioritized engineering services. We offer a complete range of professional service support both onsite and remotely, including training, application design, project management, system design, data modeling, data integration, application design, development support, data science, and application and C3 AI Software administration support. Professional services fees are based on the level of effort required to perform the specified tasks and are typically a fixed-fee engagement with defined deliverables and a duration of less than 12 months. In certain cases, customers seeking increased utility from their C3 AI Suite or C3 AI Application subscriptions and engineering services are prioritized to develop and modify software features, which are typically part of our product roadmap, but on an accelerated basis.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0" w:after="180"/>
        <w:jc w:val="both"/>
        <w:rPr/>
      </w:pPr>
      <w:r>
        <w:rPr>
          <w:rFonts w:ascii="Times New Roman;sans-serif" w:hAnsi="Times New Roman;sans-serif"/>
          <w:b w:val="false"/>
          <w:i/>
          <w:color w:val="000000"/>
          <w:sz w:val="20"/>
        </w:rPr>
        <w:t xml:space="preserve">Cost of Subscription Revenue. </w:t>
      </w:r>
      <w:r>
        <w:rPr>
          <w:rFonts w:ascii="Times New Roman;sans-serif" w:hAnsi="Times New Roman;sans-serif"/>
          <w:b w:val="false"/>
          <w:color w:val="000000"/>
          <w:sz w:val="20"/>
        </w:rPr>
        <w:t>Cost of subscription revenue consists primarily of costs related to compensation, including salaries, bonuses, benefits, stock-based compensation and other related expenses for the production environment, support and COE staff, hosting of our C3 AI Software, including payments to outside cloud service providers, and allocated overhead and depreciation for facilities.</w:t>
      </w:r>
    </w:p>
    <w:p>
      <w:pPr>
        <w:pStyle w:val="TextBody"/>
        <w:bidi w:val="0"/>
        <w:spacing w:lineRule="auto" w:line="288" w:before="0" w:after="180"/>
        <w:jc w:val="both"/>
        <w:rPr/>
      </w:pPr>
      <w:r>
        <w:rPr>
          <w:rFonts w:ascii="Times New Roman;sans-serif" w:hAnsi="Times New Roman;sans-serif"/>
          <w:b w:val="false"/>
          <w:i/>
          <w:color w:val="000000"/>
          <w:sz w:val="20"/>
        </w:rPr>
        <w:t xml:space="preserve">Cost of Professional Services Revenue. </w:t>
      </w:r>
      <w:r>
        <w:rPr>
          <w:rFonts w:ascii="Times New Roman;sans-serif" w:hAnsi="Times New Roman;sans-serif"/>
          <w:b w:val="false"/>
          <w:color w:val="000000"/>
          <w:sz w:val="20"/>
        </w:rPr>
        <w:t>Cost of professional services revenue consists primarily of compensation, including salaries, bonuses, benefits, stock-based compensation and other related costs associated with our professional service personnel, third-party system integration partners, and allocated overhead and depreciation for facilities.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is total revenue less total cost of revenue. Gross margin is gross profit expressed as a percentage of total revenue. Our gross margin has fluctuated historically and may continue to fluctuate from period to period based on a number of factors, including the timing and mix of the product offerings we sell as well as the geographies into which we sell, in any given period. Our subscription gross margin may experience variability over time as we continue to invest and continue to scale our business. Our professional services gross margin may also experience variability from period to period due to the use of our own resources and third-party system integration partners in connection with the performance of our fixed price agreements.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sales and marketing, research and development, and general and administrative expenses. We expect our operating expenses as a percentage of total revenue to increase as we continue to invest to grow our business. Over the long-term, we expect those percentages to stabilize and then move lower as our business matures.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expenses consist of expenditures related to advertising, media, marketing, promotional events, brand awareness activities, business development, customer success and corporate partnerships. Sales and marketing expenses also include employee-related costs, including salaries, bonuses, benefits, stock-based compensation, and commissions for our employees engaged in sales and marketing activities, and allocated overhead and depreciation for facilities.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sales and marketing expenses will increase in absolute dollar amounts as we expect to hire additional sales personnel to increase sales coverage of target industry vertical and geographic markets. We have reduced our spend on brand awareness, but continue to invest in market education, strategic paid media, and thought leadership. Consequently, we anticipate that sales and marketing expense as a percent of total revenue to decline over time.</w:t>
      </w:r>
    </w:p>
    <w:p>
      <w:pPr>
        <w:pStyle w:val="TextBody"/>
        <w:bidi w:val="0"/>
        <w:spacing w:lineRule="auto" w:line="288" w:before="0" w:after="180"/>
        <w:jc w:val="both"/>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Our research and development efforts are aimed at continuing to develop and refine our C3 AI Software, including adding new features and modules, increasing functionality and speed, and enhancing the usability of our C3 AI Software. Research and development expenses consist primarily of employee-related costs, including salaries, bonuses, benefits, and stock-based compensation for our employees associated with research and development related activities. Research and development expenses also include cloud infrastructure costs related to our research and development efforts, and allocated overhead and depreciation for facilities. Research and development costs are expensed as incurred.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research and development expense to increase in absolute dollars as we continue to invest in our existing and future product offerings. We may experience variations from period to period with our total research and development expense as a percentage of revenue as we develop and deploy new applications targeting new use cases and new industries. Over a longer horizon, we anticipate that research and development expense as a percent of total revenue to decline.</w:t>
      </w:r>
    </w:p>
    <w:p>
      <w:pPr>
        <w:pStyle w:val="TextBody"/>
        <w:bidi w:val="0"/>
        <w:spacing w:lineRule="auto" w:line="288" w:before="0" w:after="180"/>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 consists primarily of employee-related costs, including salaries, bonuses, benefits, stock-based compensation and other related costs associated with administrative services such as executive management and administration, legal, human resources, accounting, and finance. General and administrative expense also includes facilities costs, such as depreciation and rent expense, professional fees, and other general corporate costs, including allocated overhead and depreciation for facilities.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general and administrative expense to increase in absolute dollars as we continue to grow our business. We have incurred, and expect to continue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 We expect that general and administrative expense as a percent of total revenue will decline over the long-term as we benefit from the scale of our business infrastructure.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income earned on our cash, cash equivalents, and available-for-sale marketable securities. It also includes amortization of premiums and accretion of discount related to our available-for-sale marketable securities. Interest income varies each reporting period based on our average balance of cash, cash equivalents, and available-for-sale marketable securities during the period and market interest rates.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foreign currency exchange gains and losses, gains from legal settlements, losses from impairment of investments, and realized gains and losses on sales of available-for-sale marketable securities.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consists of an estimate of federal, state, and foreign income taxes based on enacted federal, state, and foreign tax rates, as adjusted for allowable credits, deductions, uncertain tax positions, changes in the valuation of our deferred tax assets and liabilities, and changes in tax laws. We maintain a full valuation allowance on our federal and state deferred tax assets as we have concluded that it is not more likely than not that the deferred tax assets will be realized.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consolidated statements of operations for the periods presented:</w:t>
      </w:r>
    </w:p>
    <w:tbl>
      <w:tblPr>
        <w:tblW w:w="7812" w:type="dxa"/>
        <w:jc w:val="left"/>
        <w:tblInd w:w="0" w:type="dxa"/>
        <w:tblLayout w:type="fixed"/>
        <w:tblCellMar>
          <w:top w:w="28" w:type="dxa"/>
          <w:left w:w="28" w:type="dxa"/>
          <w:bottom w:w="28" w:type="dxa"/>
          <w:right w:w="28" w:type="dxa"/>
        </w:tblCellMar>
      </w:tblPr>
      <w:tblGrid>
        <w:gridCol w:w="1271"/>
        <w:gridCol w:w="1121"/>
        <w:gridCol w:w="1133"/>
        <w:gridCol w:w="211"/>
        <w:gridCol w:w="901"/>
        <w:gridCol w:w="109"/>
        <w:gridCol w:w="109"/>
        <w:gridCol w:w="109"/>
        <w:gridCol w:w="109"/>
        <w:gridCol w:w="211"/>
        <w:gridCol w:w="901"/>
        <w:gridCol w:w="109"/>
        <w:gridCol w:w="109"/>
        <w:gridCol w:w="109"/>
        <w:gridCol w:w="109"/>
        <w:gridCol w:w="211"/>
        <w:gridCol w:w="82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183,217 </w:t>
            </w:r>
          </w:p>
        </w:tc>
        <w:tc>
          <w:tcPr>
            <w:tcW w:w="154"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Subscription</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Professional services</w:t>
            </w:r>
            <w:r>
              <w:rPr>
                <w:rFonts w:ascii="Times New Roman;sans-serif" w:hAnsi="Times New Roman;sans-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44,519 </w:t>
            </w:r>
          </w:p>
        </w:tc>
        <w:tc>
          <w:tcPr>
            <w:tcW w:w="154"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138,698 </w:t>
            </w:r>
          </w:p>
        </w:tc>
        <w:tc>
          <w:tcPr>
            <w:tcW w:w="154"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198,956 </w:t>
            </w:r>
          </w:p>
        </w:tc>
        <w:tc>
          <w:tcPr>
            <w:tcW w:w="154"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(60,258)</w:t>
            </w:r>
          </w:p>
        </w:tc>
        <w:tc>
          <w:tcPr>
            <w:tcW w:w="154"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provision for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(54,992)</w:t>
            </w:r>
          </w:p>
        </w:tc>
        <w:tc>
          <w:tcPr>
            <w:tcW w:w="154"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expense as follows:</w:t>
      </w:r>
    </w:p>
    <w:tbl>
      <w:tblPr>
        <w:tblW w:w="7481" w:type="dxa"/>
        <w:jc w:val="left"/>
        <w:tblInd w:w="0" w:type="dxa"/>
        <w:tblLayout w:type="fixed"/>
        <w:tblCellMar>
          <w:top w:w="28" w:type="dxa"/>
          <w:left w:w="28" w:type="dxa"/>
          <w:bottom w:w="28" w:type="dxa"/>
          <w:right w:w="28" w:type="dxa"/>
        </w:tblCellMar>
      </w:tblPr>
      <w:tblGrid>
        <w:gridCol w:w="1250"/>
        <w:gridCol w:w="1096"/>
        <w:gridCol w:w="1103"/>
        <w:gridCol w:w="211"/>
        <w:gridCol w:w="826"/>
        <w:gridCol w:w="109"/>
        <w:gridCol w:w="109"/>
        <w:gridCol w:w="109"/>
        <w:gridCol w:w="109"/>
        <w:gridCol w:w="211"/>
        <w:gridCol w:w="826"/>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consolidated statements of operations data expressed as a percentage of revenue for the periods presented:</w:t>
      </w:r>
    </w:p>
    <w:tbl>
      <w:tblPr>
        <w:tblW w:w="6508" w:type="dxa"/>
        <w:jc w:val="left"/>
        <w:tblInd w:w="0" w:type="dxa"/>
        <w:tblLayout w:type="fixed"/>
        <w:tblCellMar>
          <w:top w:w="28" w:type="dxa"/>
          <w:left w:w="28" w:type="dxa"/>
          <w:bottom w:w="28" w:type="dxa"/>
          <w:right w:w="28" w:type="dxa"/>
        </w:tblCellMar>
      </w:tblPr>
      <w:tblGrid>
        <w:gridCol w:w="1271"/>
        <w:gridCol w:w="1122"/>
        <w:gridCol w:w="1131"/>
        <w:gridCol w:w="268"/>
        <w:gridCol w:w="272"/>
        <w:gridCol w:w="271"/>
        <w:gridCol w:w="109"/>
        <w:gridCol w:w="109"/>
        <w:gridCol w:w="109"/>
        <w:gridCol w:w="232"/>
        <w:gridCol w:w="234"/>
        <w:gridCol w:w="271"/>
        <w:gridCol w:w="109"/>
        <w:gridCol w:w="109"/>
        <w:gridCol w:w="109"/>
        <w:gridCol w:w="232"/>
        <w:gridCol w:w="234"/>
        <w:gridCol w:w="316"/>
      </w:tblGrid>
      <w:tr>
        <w:trPr/>
        <w:tc>
          <w:tcPr>
            <w:tcW w:w="127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6"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6"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16"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provision for income taxes</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Comparison of the Fiscal Years Ended April 30, 2023 and 2022</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7094" w:type="dxa"/>
        <w:jc w:val="left"/>
        <w:tblInd w:w="0" w:type="dxa"/>
        <w:tblLayout w:type="fixed"/>
        <w:tblCellMar>
          <w:top w:w="28" w:type="dxa"/>
          <w:left w:w="28" w:type="dxa"/>
          <w:bottom w:w="28" w:type="dxa"/>
          <w:right w:w="28" w:type="dxa"/>
        </w:tblCellMar>
      </w:tblPr>
      <w:tblGrid>
        <w:gridCol w:w="649"/>
        <w:gridCol w:w="573"/>
        <w:gridCol w:w="57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8"/>
        <w:gridCol w:w="218"/>
        <w:gridCol w:w="544"/>
      </w:tblGrid>
      <w:tr>
        <w:trPr/>
        <w:tc>
          <w:tcPr>
            <w:tcW w:w="64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accounted for 86% and 82% of our total revenue for the fiscal years ended April 30, 2023 and 2022, respectively. Subscription revenue increased by $23.5 million, or 11%, for the fiscal year ended April 30, 2023, compared to the prior fiscal year. Approximately 9% and 7%, respectively, of the total subscription revenue was attributable to revenue from new customers, and the remaining 91% and 93%, respectively, was attributable to revenue related to net growth from existing customers for the fiscal year ended April 30, 2023 and 2022, respectively. The revenue from existing customers included an increase in revenue of $15.1 million related to the Baker Hughes arrangement for the fiscal year ended April 30, 2023, compared to the prior fiscal year.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 decreased by $9.5 million, or (21)%, for the fiscal year ended April 30, 2023, compared to the prior fiscal year, predominantly due to a decrease in other professional services by $10.4 million due to fewer service projects for C3 AI Platform and C3 AI Applications customers compared to the prior fiscal year, partially offset by an increase in prioritized engineering services by $1.5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tbl>
      <w:tblPr>
        <w:tblW w:w="6913" w:type="dxa"/>
        <w:jc w:val="left"/>
        <w:tblInd w:w="0" w:type="dxa"/>
        <w:tblLayout w:type="fixed"/>
        <w:tblCellMar>
          <w:top w:w="28" w:type="dxa"/>
          <w:left w:w="28" w:type="dxa"/>
          <w:bottom w:w="28" w:type="dxa"/>
          <w:right w:w="28" w:type="dxa"/>
        </w:tblCellMar>
      </w:tblPr>
      <w:tblGrid>
        <w:gridCol w:w="662"/>
        <w:gridCol w:w="582"/>
        <w:gridCol w:w="58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8"/>
        <w:gridCol w:w="218"/>
        <w:gridCol w:w="54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subscription revenue for the fiscal year ended April 30, 2023 compared to the prior fiscal year was primarily due to higher personnel related costs of $20.1 million as a result of increased headcount and overall costs to support the growth in our business, and increased stock-based compensation primarily related to additional equity awards granted to current and new employees, higher data center costs of $4.0 million, higher third-party outsourcing costs of $3.5 million, higher overhead costs of $1.9 million, and higher facilities costs of $1.8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cost of professional services revenue for the fiscal year ended April 30, 2023 compared to the prior fiscal year was primarily due to lower personnel-related costs of $4.8 million due to a decrease in the number of service projects, lower third-party outsourcing costs of $2.9 million, and lower overhead costs of $2.3 million.</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Profit and Gross Margin</w:t>
      </w:r>
    </w:p>
    <w:tbl>
      <w:tblPr>
        <w:tblW w:w="6988" w:type="dxa"/>
        <w:jc w:val="left"/>
        <w:tblInd w:w="0" w:type="dxa"/>
        <w:tblLayout w:type="fixed"/>
        <w:tblCellMar>
          <w:top w:w="28" w:type="dxa"/>
          <w:left w:w="28" w:type="dxa"/>
          <w:bottom w:w="28" w:type="dxa"/>
          <w:right w:w="28" w:type="dxa"/>
        </w:tblCellMar>
      </w:tblPr>
      <w:tblGrid>
        <w:gridCol w:w="653"/>
        <w:gridCol w:w="569"/>
        <w:gridCol w:w="577"/>
        <w:gridCol w:w="295"/>
        <w:gridCol w:w="224"/>
        <w:gridCol w:w="557"/>
        <w:gridCol w:w="152"/>
        <w:gridCol w:w="152"/>
        <w:gridCol w:w="152"/>
        <w:gridCol w:w="295"/>
        <w:gridCol w:w="224"/>
        <w:gridCol w:w="557"/>
        <w:gridCol w:w="109"/>
        <w:gridCol w:w="109"/>
        <w:gridCol w:w="109"/>
        <w:gridCol w:w="211"/>
        <w:gridCol w:w="691"/>
        <w:gridCol w:w="109"/>
        <w:gridCol w:w="109"/>
        <w:gridCol w:w="109"/>
        <w:gridCol w:w="109"/>
        <w:gridCol w:w="186"/>
        <w:gridCol w:w="186"/>
        <w:gridCol w:w="544"/>
      </w:tblGrid>
      <w:tr>
        <w:trPr/>
        <w:tc>
          <w:tcPr>
            <w:tcW w:w="65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180,458</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margin</w:t>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gross profit in the fiscal year ended April 30, 2023 was primarily driven by a decline in subscription margin, offset by an increase in professional services margin.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subscription margin for the fiscal year ended April 30, 2023 decreased due to higher personnel-related costs as a result of increased headcount and overall costs to support the growth in our business, and increased stock-based compensation primarily related to additional equity awards granted to current and new employees, compared to the prior fiscal year.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professional services margin for the fiscal year ended April 30, 2023 increased primarily due to the mix of professional services provided, including an increase in prioritized engineering services, which generally have higher margins, offset by lower personnel-related costs due to a decrease in the number of service projects, compared to the prior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bl>
      <w:tblPr>
        <w:tblW w:w="7540" w:type="dxa"/>
        <w:jc w:val="left"/>
        <w:tblInd w:w="0" w:type="dxa"/>
        <w:tblLayout w:type="fixed"/>
        <w:tblCellMar>
          <w:top w:w="28" w:type="dxa"/>
          <w:left w:w="28" w:type="dxa"/>
          <w:bottom w:w="28" w:type="dxa"/>
          <w:right w:w="28" w:type="dxa"/>
        </w:tblCellMar>
      </w:tblPr>
      <w:tblGrid>
        <w:gridCol w:w="837"/>
        <w:gridCol w:w="733"/>
        <w:gridCol w:w="74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both"/>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The increase in sales and marketing expense for the fiscal year ended April 30, 2023 compared to the prior fiscal year was primarily due to higher personnel-related costs of $39.8 million as a result of increased headcount and overall costs to support the growth in our business, and increased stock-based compensation primarily related to additional equity awards granted to current and new employees, higher marketing costs of $4.4 million, higher marketing events costs of $3.8 million, higher travel and entertainment costs of $2.8 million, higher overhead costs of $2.3 million and higher commission expense of $1.6 million, partially offset by lower advertising spend of $45.1 million.</w:t>
      </w:r>
    </w:p>
    <w:p>
      <w:pPr>
        <w:pStyle w:val="TextBody"/>
        <w:bidi w:val="0"/>
        <w:spacing w:lineRule="auto" w:line="288" w:before="0" w:after="180"/>
        <w:jc w:val="both"/>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The increase in research and development expense for the fiscal year ended April 30, 2023 compared to the prior fiscal year was primarily due to higher personnel-related costs of $58.0 million as a result of increased headcount and overall costs to support the growth in our business, and increased stock-based compensation primarily related to additional equity awards granted to current and new employees, higher cloud computing costs of $7.9 million and higher facilities costs of $3.6 million, partially offset by lower C3.ai DTI contributions of $11.5 million.</w:t>
      </w:r>
    </w:p>
    <w:p>
      <w:pPr>
        <w:pStyle w:val="TextBody"/>
        <w:bidi w:val="0"/>
        <w:spacing w:lineRule="auto" w:line="288" w:before="0" w:after="180"/>
        <w:jc w:val="both"/>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The increase in general and administrative expense for the fiscal year ended April 30, 2023 compared to the prior fiscal year was primarily due to higher personnel-related costs of $11.0 million as a result of increased headcount and overall costs to support the growth in our business, and increased stock-based compensation primarily related to additional equity awards granted to current and new employees, higher professional services costs of $3.5 million, and higher facilities costs of $2.4 million.</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Income </w:t>
      </w:r>
    </w:p>
    <w:tbl>
      <w:tblPr>
        <w:tblW w:w="6478" w:type="dxa"/>
        <w:jc w:val="left"/>
        <w:tblInd w:w="0" w:type="dxa"/>
        <w:tblLayout w:type="fixed"/>
        <w:tblCellMar>
          <w:top w:w="28" w:type="dxa"/>
          <w:left w:w="28" w:type="dxa"/>
          <w:bottom w:w="28" w:type="dxa"/>
          <w:right w:w="28" w:type="dxa"/>
        </w:tblCellMar>
      </w:tblPr>
      <w:tblGrid>
        <w:gridCol w:w="494"/>
        <w:gridCol w:w="433"/>
        <w:gridCol w:w="43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85"/>
        <w:gridCol w:w="286"/>
        <w:gridCol w:w="54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for the fiscal year ended April 30, 2023 compared to the prior fiscal year was primarily due to an increase in volume of investments and investments in higher expected returns securities such as corporate debt securities.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tbl>
      <w:tblPr>
        <w:tblW w:w="7141" w:type="dxa"/>
        <w:jc w:val="left"/>
        <w:tblInd w:w="0" w:type="dxa"/>
        <w:tblLayout w:type="fixed"/>
        <w:tblCellMar>
          <w:top w:w="28" w:type="dxa"/>
          <w:left w:w="28" w:type="dxa"/>
          <w:bottom w:w="28" w:type="dxa"/>
          <w:right w:w="28" w:type="dxa"/>
        </w:tblCellMar>
      </w:tblPr>
      <w:tblGrid>
        <w:gridCol w:w="863"/>
        <w:gridCol w:w="760"/>
        <w:gridCol w:w="762"/>
        <w:gridCol w:w="217"/>
        <w:gridCol w:w="481"/>
        <w:gridCol w:w="112"/>
        <w:gridCol w:w="112"/>
        <w:gridCol w:w="112"/>
        <w:gridCol w:w="112"/>
        <w:gridCol w:w="217"/>
        <w:gridCol w:w="636"/>
        <w:gridCol w:w="112"/>
        <w:gridCol w:w="109"/>
        <w:gridCol w:w="109"/>
        <w:gridCol w:w="109"/>
        <w:gridCol w:w="211"/>
        <w:gridCol w:w="691"/>
        <w:gridCol w:w="109"/>
        <w:gridCol w:w="109"/>
        <w:gridCol w:w="109"/>
        <w:gridCol w:w="109"/>
        <w:gridCol w:w="218"/>
        <w:gridCol w:w="218"/>
        <w:gridCol w:w="54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other income (expense), net for the fiscal year ended April 30, 2023 compared to the prior fiscal year was due to foreign currency losses on the remeasurement of Euro-denominated cash and accounts receivable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tbl>
      <w:tblPr>
        <w:tblW w:w="6888" w:type="dxa"/>
        <w:jc w:val="left"/>
        <w:tblInd w:w="0" w:type="dxa"/>
        <w:tblLayout w:type="fixed"/>
        <w:tblCellMar>
          <w:top w:w="28" w:type="dxa"/>
          <w:left w:w="28" w:type="dxa"/>
          <w:bottom w:w="28" w:type="dxa"/>
          <w:right w:w="28" w:type="dxa"/>
        </w:tblCellMar>
      </w:tblPr>
      <w:tblGrid>
        <w:gridCol w:w="825"/>
        <w:gridCol w:w="726"/>
        <w:gridCol w:w="729"/>
        <w:gridCol w:w="235"/>
        <w:gridCol w:w="519"/>
        <w:gridCol w:w="121"/>
        <w:gridCol w:w="121"/>
        <w:gridCol w:w="121"/>
        <w:gridCol w:w="121"/>
        <w:gridCol w:w="235"/>
        <w:gridCol w:w="519"/>
        <w:gridCol w:w="121"/>
        <w:gridCol w:w="109"/>
        <w:gridCol w:w="109"/>
        <w:gridCol w:w="109"/>
        <w:gridCol w:w="211"/>
        <w:gridCol w:w="541"/>
        <w:gridCol w:w="109"/>
        <w:gridCol w:w="109"/>
        <w:gridCol w:w="109"/>
        <w:gridCol w:w="109"/>
        <w:gridCol w:w="218"/>
        <w:gridCol w:w="218"/>
        <w:gridCol w:w="54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provision for income taxes was primarily related to foreign and state tax expense.</w:t>
      </w:r>
    </w:p>
    <w:p>
      <w:pPr>
        <w:pStyle w:val="TextBody"/>
        <w:bidi w:val="0"/>
        <w:spacing w:lineRule="auto" w:line="288" w:before="0" w:after="180"/>
        <w:jc w:val="left"/>
        <w:rPr/>
      </w:pPr>
      <w:r>
        <w:rPr>
          <w:rFonts w:ascii="Times New Roman;sans-serif" w:hAnsi="Times New Roman;sans-serif"/>
          <w:b/>
          <w:color w:val="000000"/>
          <w:sz w:val="20"/>
        </w:rPr>
        <w:t>Non-GAAP Financial Measure</w:t>
      </w:r>
      <w:r>
        <w:rPr>
          <w:color w:val="000000"/>
        </w:rPr>
        <w:t xml:space="preserv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financial results determined in accordance with generally accepted accounting principles in the United States, or GAAP, we believe free cash flow, a non-GAAP financial measure, is useful in evaluating liquidity and provides information to management and investors about our ability to fund future operating needs and strategic initiatives. We calculate free cash flow as net cash used in operating activities less purchases of property and equipment and capitalized software development costs. Free cash flow has limitations as an analytical tool, and it should not be considered in isolation or as a substitute for analysis of other GAAP financial measures, such as net cash used in operating activities. This non-GAAP financial measure may be different than similarly titled measures used by other companies. Additionally, the utility of free cash flow is further limited as it does not represent the total increase or decrease in our cash balances for a given period. The following table below provides a reconciliation of free cash flow to the GAAP measure of net cash used in operating activities for the periods presented:</w:t>
      </w:r>
    </w:p>
    <w:tbl>
      <w:tblPr>
        <w:tblW w:w="6204" w:type="dxa"/>
        <w:jc w:val="left"/>
        <w:tblInd w:w="0" w:type="dxa"/>
        <w:tblLayout w:type="fixed"/>
        <w:tblCellMar>
          <w:top w:w="28" w:type="dxa"/>
          <w:left w:w="28" w:type="dxa"/>
          <w:bottom w:w="28" w:type="dxa"/>
          <w:right w:w="28" w:type="dxa"/>
        </w:tblCellMar>
      </w:tblPr>
      <w:tblGrid>
        <w:gridCol w:w="1254"/>
        <w:gridCol w:w="1104"/>
        <w:gridCol w:w="1107"/>
        <w:gridCol w:w="211"/>
        <w:gridCol w:w="901"/>
        <w:gridCol w:w="109"/>
        <w:gridCol w:w="109"/>
        <w:gridCol w:w="109"/>
        <w:gridCol w:w="109"/>
        <w:gridCol w:w="211"/>
        <w:gridCol w:w="8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operations primarily through sales generated from our customers and sales of equity securities. As of April 30, 2023 and 2022, we had $284.8 million and $339.5 million of cash and cash equivalents and $527.6 million and $652.7 million of investments, respectively, which were held for working capital purposes. Our short-term and long-term investments generally consist of high-grade U.S. treasury securities, certificates of deposit, U.S. government agency securities, commercial paper and corporate debt securities. We have generated operating losses from our operations as reflected in our accumulated deficit of $810.2 million as of April 30, 2023 and negative cash flows from operations. We expect to continue to incur operating losses and generate negative cash flows from operations in the next few quarters due to the investments we intend to make in our business, and as a result we may require additional capital to execute on our strategic initiatives to grow the business, but continue on-track with our plan for profitability, with the goal of achieving a sustainable non-GAAP profitable business by the end of fiscal year 2024. We are substantially reducing spending that does not directly impact revenue to accelerate our path to profitability and to increase our significant cash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existing cash and cash equivalents and investments will be sufficient to support working capital and capital expenditure requirements for at least the next 12 months. We believe we will meet longer-term expected future cash requirements and obligations through a combination of cash flows from operating activities and available cash balances. Our principal uses of cash in recent periods have been funding our operations and investing in capital expenditures. Our future capital requirements will depend on many factors, including our revenue growth rate, the timing and the amount of cash received from customers, the expansion of sales and marketing activities, the timing and extent of spending to support development efforts, expenses associated with our international expansion, the introduction of C3 AI Software enhancements, and the continuing market adoption of our C3 AI Software. In the future, we may enter into arrangements to acquire or invest in complementary businesses, products, and technologies. We may be required to seek additional equity or debt financing. If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7494" w:type="dxa"/>
        <w:jc w:val="left"/>
        <w:tblInd w:w="0" w:type="dxa"/>
        <w:tblLayout w:type="fixed"/>
        <w:tblCellMar>
          <w:top w:w="28" w:type="dxa"/>
          <w:left w:w="28" w:type="dxa"/>
          <w:bottom w:w="28" w:type="dxa"/>
          <w:right w:w="28" w:type="dxa"/>
        </w:tblCellMar>
      </w:tblPr>
      <w:tblGrid>
        <w:gridCol w:w="1721"/>
        <w:gridCol w:w="1515"/>
        <w:gridCol w:w="1519"/>
        <w:gridCol w:w="211"/>
        <w:gridCol w:w="901"/>
        <w:gridCol w:w="109"/>
        <w:gridCol w:w="109"/>
        <w:gridCol w:w="109"/>
        <w:gridCol w:w="109"/>
        <w:gridCol w:w="211"/>
        <w:gridCol w:w="826"/>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475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i/>
          <w:color w:val="000000"/>
          <w:sz w:val="20"/>
        </w:rPr>
        <w:t xml:space="preserve">Operating Activities. </w:t>
      </w:r>
      <w:r>
        <w:rPr>
          <w:rFonts w:ascii="Times New Roman;sans-serif" w:hAnsi="Times New Roman;sans-serif"/>
          <w:b w:val="false"/>
          <w:color w:val="000000"/>
          <w:sz w:val="20"/>
        </w:rPr>
        <w:t>Net cash used in operating activities of $115.7 million for the fiscal year ended April 30, 2023 was due to our net loss of $268.8 million adjusted for certain non-cash items, primarily consisting of stock-based compensation of $216.5 million, depreciation and amortization of $6.1 million, and non-cash operating lease cost of $7.0 million. The $72.2 million cash outflow related to changes in operating assets and liabilities was primarily attributable to an increase in accounts receivable of $54.5 million inclusive of an increase in related party balances of $38.8 million, a decrease in accounts payable of $22.0 million inclusive of a decrease in related party balances of $16.3 million, a decrease in other liabilities of $10.6 million inclusive of a decrease in related party balances of $2.5 million, a decrease to deferred revenue of $1.3 million inclusive of an increase in related party balances of $0.1 million and an increase in prepaid expenses, other current assets and other assets of $0.6 million inclusive of an increase in related party balances of $4.7 million. This was partially offset by cash inflows related to an increase in lease liabilities of $13.6 million and an increase to accrued compensation and employee benefits of $3.2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$86.5 million for the fiscal year ended April 30, 2022 was due to our net loss of $192.1 million adjusted for certain non-cash items, primarily consisting of stock-based compensation of $113.4 million, depreciation and amortization of $5.2 million, and non-cash operating lease cost of $4.2 million. The $18.8 million cash outflow related to changes in operating assets and liabilities was primarily attributable to a decrease to deferred revenue of $26.1 million inclusive of a decrease in related party balances of $7.6 million, an increase in prepaid expenses, other current assets and other assets of $14.6 million inclusive of an increase in related party balances of $12.7 million, an increase in accounts receivable of $14.2 million inclusive of an increase in related party balances of $20.7 million, a decrease in other liabilities of $5.6 million inclusive of an increase in related party balances of $3.4 million and a decrease in lease liabilities of $3.3 million. This was partially offset by cash inflows related to an increase in accounts payable of $34.5 million inclusive of an increase in related party balances of $18.5 million and an increase to accrued compensation and employee benefits of $10.4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both"/>
        <w:rPr/>
      </w:pPr>
      <w:r>
        <w:rPr>
          <w:rFonts w:ascii="Times New Roman;sans-serif" w:hAnsi="Times New Roman;sans-serif"/>
          <w:b w:val="false"/>
          <w:i/>
          <w:color w:val="000000"/>
          <w:sz w:val="20"/>
        </w:rPr>
        <w:t xml:space="preserve">Investing Activities. </w:t>
      </w:r>
      <w:r>
        <w:rPr>
          <w:rFonts w:ascii="Times New Roman;sans-serif" w:hAnsi="Times New Roman;sans-serif"/>
          <w:b w:val="false"/>
          <w:color w:val="000000"/>
          <w:sz w:val="20"/>
        </w:rPr>
        <w:t>Net cash provided by investing activities of $59.9 million for the fiscal year ended April 30, 2023 was primarily attributable to the maturities and sales of investments of $876.7 million, partially offset by purchases of investments of $745.2 million and capital expenditures of $71.5 million mainly related to the leasehold improvements associated with the additional leased space.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of $317.0 million for the fiscal year ended April 30, 2022 was primarily attributable to the maturities and sales of investments of $1,117.8 million, partially offset by purchases of investments of $796.5 million and capital expenditures of $4.3 million. </w:t>
      </w:r>
    </w:p>
    <w:p>
      <w:pPr>
        <w:pStyle w:val="TextBody"/>
        <w:bidi w:val="0"/>
        <w:spacing w:lineRule="auto" w:line="288" w:before="0" w:after="180"/>
        <w:jc w:val="both"/>
        <w:rPr/>
      </w:pPr>
      <w:r>
        <w:rPr>
          <w:rFonts w:ascii="Times New Roman;sans-serif" w:hAnsi="Times New Roman;sans-serif"/>
          <w:b w:val="false"/>
          <w:i/>
          <w:color w:val="000000"/>
          <w:sz w:val="20"/>
        </w:rPr>
        <w:t xml:space="preserve">Financing Activities. </w:t>
      </w:r>
      <w:r>
        <w:rPr>
          <w:rFonts w:ascii="Times New Roman;sans-serif" w:hAnsi="Times New Roman;sans-serif"/>
          <w:b w:val="false"/>
          <w:color w:val="000000"/>
          <w:sz w:val="20"/>
        </w:rPr>
        <w:t>Net cash provided by financing activities of $0.6 million for the fiscal year ended April 30, 2023 was due to $4.5 million of proceeds from the exercise of stock options for Class A common stock and $3.1 million of proceeds from the issuance of Class A common stock under the Employee Stock Purchase Plan (“ESPP”), partially offset by $6.9 million of taxes paid related to net share settlement of equity awards.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$5.7 million for the fiscal year ended April 30, 2022 was primarily due to $20.8 million of proceeds from the exercise of stock options for Class A common stock, partially offset by repurchase and retirement of Class A common stock of $15.0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and commitments primarily consist of operating lease commitments for our facilities and non-cancellable purchase commitments related to third-party cloud hosting services.</w:t>
      </w:r>
    </w:p>
    <w:p>
      <w:pPr>
        <w:pStyle w:val="TextBody"/>
        <w:bidi w:val="0"/>
        <w:spacing w:lineRule="auto" w:line="288" w:before="0" w:after="180"/>
        <w:jc w:val="both"/>
        <w:rPr/>
      </w:pPr>
      <w:r>
        <w:rPr>
          <w:rFonts w:ascii="Times New Roman;sans-serif" w:hAnsi="Times New Roman;sans-serif"/>
          <w:b w:val="false"/>
          <w:color w:val="000000"/>
          <w:sz w:val="20"/>
        </w:rPr>
        <w:t xml:space="preserve">For additional information, refer to </w:t>
      </w:r>
      <w:r>
        <w:rPr>
          <w:rFonts w:ascii="Times New Roman;sans-serif" w:hAnsi="Times New Roman;sans-serif"/>
          <w:b w:val="false"/>
          <w:i/>
          <w:color w:val="000000"/>
          <w:sz w:val="20"/>
        </w:rPr>
        <w:t xml:space="preserve">Note 6. Leases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Note 7. Commitments and Contingencies</w:t>
      </w:r>
      <w:r>
        <w:rPr>
          <w:color w:val="000000"/>
        </w:rPr>
        <w:t xml:space="preserve"> </w:t>
      </w:r>
      <w:r>
        <w:rPr>
          <w:rFonts w:ascii="Times New Roman;sans-serif" w:hAnsi="Times New Roman;sans-serif"/>
          <w:b w:val="false"/>
          <w:color w:val="000000"/>
          <w:sz w:val="20"/>
        </w:rPr>
        <w:t xml:space="preserve">to our consolidated financial statements included elsewhere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the accompanying notes thereto included elsewhere in this Annual Report on Form 10-K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lineRule="auto" w:line="288" w:before="0" w:after="180"/>
        <w:jc w:val="both"/>
        <w:rPr/>
      </w:pPr>
      <w:r>
        <w:rPr>
          <w:rFonts w:ascii="Times New Roman;sans-serif" w:hAnsi="Times New Roman;sans-serif"/>
          <w:b w:val="false"/>
          <w:color w:val="000000"/>
          <w:sz w:val="20"/>
        </w:rPr>
        <w:t xml:space="preserve">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w:t>
      </w:r>
      <w:r>
        <w:rPr>
          <w:rFonts w:ascii="Times New Roman;sans-serif" w:hAnsi="Times New Roman;sans-serif"/>
          <w:b w:val="false"/>
          <w:i/>
          <w:color w:val="000000"/>
          <w:sz w:val="20"/>
        </w:rPr>
        <w:t>Note 1. Summary of Business and Significant Accounting Policies</w:t>
      </w:r>
      <w:r>
        <w:rPr>
          <w:color w:val="000000"/>
        </w:rPr>
        <w:t xml:space="preserve"> </w:t>
      </w:r>
      <w:r>
        <w:rPr>
          <w:rFonts w:ascii="Times New Roman;sans-serif" w:hAnsi="Times New Roman;sans-serif"/>
          <w:b w:val="false"/>
          <w:color w:val="000000"/>
          <w:sz w:val="20"/>
        </w:rPr>
        <w:t>to our consolidated financial statements appearing elsewhere in this Annual Report on Form 10-K for a description of our other significant accounting policies. The preparation of our consolidated financial statements in 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 The critical accounting estimates, assumptions and judgments that we believe have the most significant impact on our consolidated financial statements are described below.</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promised goods or services are transferred to customers in an amount that reflects the consideration to which we expect to be entitled in exchange for those goods or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revenue recognition through the following steps: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recognition of revenue when, or as, we satisfy a performance obligation.</w:t>
      </w:r>
    </w:p>
    <w:p>
      <w:pPr>
        <w:pStyle w:val="TextBody"/>
        <w:bidi w:val="0"/>
        <w:spacing w:lineRule="auto" w:line="288" w:before="0" w:after="180"/>
        <w:jc w:val="both"/>
        <w:rPr/>
      </w:pPr>
      <w:r>
        <w:rPr>
          <w:rFonts w:ascii="Times New Roman;sans-serif" w:hAnsi="Times New Roman;sans-serif"/>
          <w:b w:val="false"/>
          <w:i/>
          <w:color w:val="000000"/>
          <w:sz w:val="20"/>
        </w:rPr>
        <w:t>Subscription Revenue.</w:t>
      </w:r>
      <w:r>
        <w:rPr>
          <w:color w:val="000000"/>
        </w:rPr>
        <w:t xml:space="preserve"> </w:t>
      </w:r>
      <w:r>
        <w:rPr>
          <w:rFonts w:ascii="Times New Roman;sans-serif" w:hAnsi="Times New Roman;sans-serif"/>
          <w:b w:val="false"/>
          <w:color w:val="000000"/>
          <w:sz w:val="20"/>
        </w:rPr>
        <w:t>Our subscription revenue is primarily comprised of term licenses, stand-ready COE support services, trials and pilots of our applications, and software-as-a-service offerings. Sales of our term licenses grant customers the right to use our functional intellectual property, either on their own cloud instance or internal hardware infrastructure, over the contractual term. We also sell premium stand-ready COE support services, hosting services, and trials of our applications as part of our customer acquisition strategy. Sales of our software-as-a-service offerings include the right to use our software in a hosted environment over the contractual term. Our subscriptions include our software and our maintenance and support services. Our maintenance and support services include critical and continuous updates to the software that are integral to maintaining the intended utility of the software over the contractual term. Our software subscriptions and maintenance and support services are highly interdependent and interrelated and represent a single distinct performance obligation within the context of the contract. We have a small number of customers who have perpetual licenses, which we recognize ratably given the critical nature of the required continuous maintenance and support provided.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additional runtime subscription fees for the use of our C3 AI Platform, a type of consumption billing based on computing and storage resources required to run our software. We typically recognize the consumption or usage-based revenue upon occurrence and invoice in arrears, although customers may purchase blocks of runtime in advance.</w:t>
      </w:r>
    </w:p>
    <w:p>
      <w:pPr>
        <w:pStyle w:val="TextBody"/>
        <w:bidi w:val="0"/>
        <w:spacing w:lineRule="auto" w:line="288" w:before="0" w:after="180"/>
        <w:jc w:val="both"/>
        <w:rPr/>
      </w:pPr>
      <w:r>
        <w:rPr>
          <w:rFonts w:ascii="Times New Roman;sans-serif" w:hAnsi="Times New Roman;sans-serif"/>
          <w:b w:val="false"/>
          <w:i/>
          <w:color w:val="000000"/>
          <w:sz w:val="20"/>
        </w:rPr>
        <w:t xml:space="preserve">Professional Services Revenue. </w:t>
      </w:r>
      <w:r>
        <w:rPr>
          <w:rFonts w:ascii="Times New Roman;sans-serif" w:hAnsi="Times New Roman;sans-serif"/>
          <w:b w:val="false"/>
          <w:color w:val="000000"/>
          <w:sz w:val="20"/>
        </w:rPr>
        <w:t>Professional services revenue primarily consists of implementation services and training. These services are distinct from our subscription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 services fees are based on the level of effort required to perform such tasks and are typically a fixed-fee engagement with a duration of less than 12 months. We recognize revenue for our professional services over time on an input or output basis as the performance obligations are satisfied. </w:t>
      </w:r>
    </w:p>
    <w:p>
      <w:pPr>
        <w:pStyle w:val="TextBody"/>
        <w:bidi w:val="0"/>
        <w:spacing w:lineRule="auto" w:line="288" w:before="0" w:after="180"/>
        <w:jc w:val="both"/>
        <w:rPr/>
      </w:pPr>
      <w:r>
        <w:rPr>
          <w:rFonts w:ascii="Times New Roman;sans-serif" w:hAnsi="Times New Roman;sans-serif"/>
          <w:b w:val="false"/>
          <w:i/>
          <w:color w:val="000000"/>
          <w:sz w:val="20"/>
        </w:rPr>
        <w:t>Contracts with Multiple Performance Obligations</w:t>
      </w:r>
      <w:r>
        <w:rPr>
          <w:rFonts w:ascii="Times New Roman;sans-serif" w:hAnsi="Times New Roman;sans-serif"/>
          <w:b w:val="false"/>
          <w:color w:val="000000"/>
          <w:sz w:val="20"/>
        </w:rPr>
        <w:t>. Most of our contracts with customers contain multiple performance obligations. Our subscriptions are sold for a broad range of amounts and a representative standalone selling price, or SSP, is not always discernible from past transactions or other observable evidence. When appropriate, we determine SSP based on the price at which the performance obligation has previously been sold through past transactions, taking into account internally approved pricing guidelines related to the performance obligations. When the SSP of a license or subscription and bundled maintenance and support services is highly variable and the contract also includes additional performance obligations with observable SSP, we first allocate the transaction price to the performance obligations with established SSPs and then apply the residual approach to allocate the remaining transaction price to the license or subscription and bundled maintenance and support services. If applying the residual approach results in zero or very little consideration being allocated to the combined performance obligation, or to a bundle of goods or services, we will consider all reasonably available data to determine an appropriate allocation of the transaction price. If the contract contains a single performance obligation, the entire transaction price is allocated to the single performance obligation.</w:t>
      </w:r>
    </w:p>
    <w:p>
      <w:pPr>
        <w:pStyle w:val="TextBody"/>
        <w:bidi w:val="0"/>
        <w:spacing w:lineRule="auto" w:line="288" w:before="0" w:after="180"/>
        <w:jc w:val="both"/>
        <w:rPr/>
      </w:pPr>
      <w:r>
        <w:rPr>
          <w:rFonts w:ascii="Times New Roman;sans-serif" w:hAnsi="Times New Roman;sans-serif"/>
          <w:b w:val="false"/>
          <w:i/>
          <w:color w:val="000000"/>
          <w:sz w:val="20"/>
        </w:rPr>
        <w:t>Areas of Judgment and Estimates</w:t>
      </w:r>
      <w:r>
        <w:rPr>
          <w:rFonts w:ascii="Times New Roman;sans-serif" w:hAnsi="Times New Roman;sans-serif"/>
          <w:b w:val="false"/>
          <w:color w:val="000000"/>
          <w:sz w:val="20"/>
        </w:rPr>
        <w:t>. Determining whether the software subscriptions and the related support are considered distinct performance obligations that should be accounted for separately or as a single performance obligation requires significant judgment. In reaching our conclusion, we considered the nature of our promise to provide the customer real time analytics and ML algorithms that require regular re-training to maintain and improve prediction accuracy. As these updates to the software subscription are integral to maintaining the utility that is derived from the software subscription by customers, we determined that the software subscription and related updates fulfill a single promise to the customer under the contract.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the relative SSP for contracts that contain multiple performance obligations requires significant judgement. We determine SSP using observable pricing when available, which takes into consideration market conditions and customer specific factors. When observable pricing is not available, we first allocate the transaction price to the performance obligations with established SSPs and then apply the residual approach to allocate the remaining transaction price to the subscription and bundled maintenance and support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We do not hold or issue financial instruments for trading purposes.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we had cash, cash equivalents, and investments of $812.4 million. As of April 30, 2022, we had cash, cash equivalents, and short-term investments of $992.2 million. Interest-earning instruments carry a degree of interest rate risk. We do not enter into investments for trading or speculative purposes and have not used any derivative financial instruments to manage our interest rate risk exposure. As of April 30, 2023, a hypothetical 10% relative change in interest rates would not have had a material impact on the value of our cash equivalents or investment portfolio. Any realized gains or losses resulting from such interest rate changes would only occur if we sold the investments prior to maturity.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functional currency is the U.S. dollar. For the fiscal years ended April 30, 2023, 2022 and 2021, approximately 8%, 13%, and 25% of our sales were denominated in euros, respectively, and therefore our revenue, accounts receivable, and cash deposits are subject to foreign currency risk. Our foreign operating expenses are denominated in the local currencies of the countries in which we operate. Our consolidated results of operations and cash flows are, therefore, subject to fluctuations due to changes in foreign currency exchange rates and may be adversely affected in the future due to changes in foreign exchange rates. A hypothetical 10% change in foreign currency exchange rates may result in a material impact on our consolidated financial statements. To date, we have not had a formal hedging program with respect to foreign currencies, but we may do so in the future if our exposure to foreign currencies should become more significant. As our international operations grow, we will continue to reassess our approach to manage our risk relating to fluctuations in currency rates.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results of operations, or financial condition. If our costs were to become subject to significant inflationary pressures, including higher employee compensation costs, we may not be able to fully offset such higher costs through price increases. Our inability or failure to do so could harm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601"/>
        <w:gridCol w:w="3106"/>
        <w:gridCol w:w="3124"/>
        <w:gridCol w:w="109"/>
        <w:gridCol w:w="109"/>
        <w:gridCol w:w="156"/>
      </w:tblGrid>
      <w:tr>
        <w:trPr/>
        <w:tc>
          <w:tcPr>
            <w:tcW w:w="3601"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c384f66f3b44349b886d7e9ac408dc_94">
              <w:r>
                <w:rPr>
                  <w:rStyle w:val="InternetLink"/>
                  <w:rFonts w:ascii="Times New Roman;sans-serif" w:hAnsi="Times New Roman;sans-serif"/>
                  <w:b w:val="false"/>
                  <w:color w:val="000080"/>
                  <w:sz w:val="20"/>
                  <w:u w:val="single"/>
                </w:rPr>
                <w:t>Report of Independent Registered Public Accounting Firm</w:t>
              </w:r>
            </w:hyperlink>
            <w:r>
              <w:rPr>
                <w:rFonts w:ascii="Times New Roman;sans-serif" w:hAnsi="Times New Roman;sans-serif"/>
                <w:b w:val="false"/>
                <w:color w:val="0E32E1"/>
                <w:sz w:val="20"/>
                <w:u w:val="single"/>
              </w:rPr>
              <w:t xml:space="preserve"> (PCAOB ID: 34)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c384f66f3b44349b886d7e9ac408dc_97">
              <w:r>
                <w:rPr>
                  <w:rStyle w:val="InternetLink"/>
                  <w:rFonts w:ascii="Times New Roman;sans-serif" w:hAnsi="Times New Roman;sans-serif"/>
                  <w:b w:val="false"/>
                  <w:color w:val="0E32E1"/>
                  <w:sz w:val="20"/>
                  <w:u w:val="single"/>
                </w:rPr>
                <w:t>Consolidated Balance Sheets</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c384f66f3b44349b886d7e9ac408dc_103">
              <w:r>
                <w:rPr>
                  <w:rStyle w:val="InternetLink"/>
                  <w:rFonts w:ascii="Times New Roman;sans-serif" w:hAnsi="Times New Roman;sans-serif"/>
                  <w:b w:val="false"/>
                  <w:color w:val="0E32E1"/>
                  <w:sz w:val="20"/>
                  <w:u w:val="single"/>
                </w:rPr>
                <w:t>Consolidated Statements of Operations</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c384f66f3b44349b886d7e9ac408dc_106">
              <w:r>
                <w:rPr>
                  <w:rStyle w:val="InternetLink"/>
                  <w:rFonts w:ascii="Times New Roman;sans-serif" w:hAnsi="Times New Roman;sans-serif"/>
                  <w:b w:val="false"/>
                  <w:color w:val="0E32E1"/>
                  <w:sz w:val="20"/>
                  <w:u w:val="single"/>
                </w:rPr>
                <w:t>Consolidated Statements of Comprehensive Loss</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c384f66f3b44349b886d7e9ac408dc_109">
              <w:r>
                <w:rPr>
                  <w:rStyle w:val="InternetLink"/>
                  <w:rFonts w:ascii="Times New Roman;sans-serif" w:hAnsi="Times New Roman;sans-serif"/>
                  <w:b w:val="false"/>
                  <w:color w:val="000080"/>
                  <w:sz w:val="20"/>
                  <w:u w:val="single"/>
                </w:rPr>
                <w:t>Consolidated Statements of Redeemable Convertible Preferred Stock, Redeemable Convertible Class A-1 Common Stock and Stockholders’</w:t>
              </w:r>
            </w:hyperlink>
            <w:hyperlink w:anchor="ifbc384f66f3b44349b886d7e9ac408dc_109">
              <w:r>
                <w:rPr>
                  <w:rStyle w:val="InternetLink"/>
                  <w:rFonts w:ascii="Times New Roman;sans-serif" w:hAnsi="Times New Roman;sans-serif"/>
                  <w:b w:val="false"/>
                  <w:color w:val="000080"/>
                  <w:sz w:val="20"/>
                  <w:u w:val="single"/>
                </w:rPr>
                <w:t xml:space="preserve"> Equity (Deficit</w:t>
              </w:r>
            </w:hyperlink>
            <w:r>
              <w:rPr>
                <w:rFonts w:ascii="Times New Roman;sans-serif" w:hAnsi="Times New Roman;sans-serif"/>
                <w:b w:val="false"/>
                <w:color w:val="0E32E1"/>
                <w:sz w:val="20"/>
                <w:u w:val="single"/>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c384f66f3b44349b886d7e9ac408dc_115">
              <w:r>
                <w:rPr>
                  <w:rStyle w:val="InternetLink"/>
                  <w:rFonts w:ascii="Times New Roman;sans-serif" w:hAnsi="Times New Roman;sans-serif"/>
                  <w:b w:val="false"/>
                  <w:color w:val="0E32E1"/>
                  <w:sz w:val="20"/>
                  <w:u w:val="single"/>
                </w:rPr>
                <w:t>Consolidated Statements of Cash Flows</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c384f66f3b44349b886d7e9ac408dc_118">
              <w:r>
                <w:rPr>
                  <w:rStyle w:val="InternetLink"/>
                  <w:rFonts w:ascii="Times New Roman;sans-serif" w:hAnsi="Times New Roman;sans-serif"/>
                  <w:b w:val="false"/>
                  <w:color w:val="0E32E1"/>
                  <w:sz w:val="20"/>
                  <w:u w:val="single"/>
                </w:rPr>
                <w:t>Notes to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C3.ai, Inc.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C3.ai and subsidiaries (the "Company") as of April 30, 2023 and 2022, the related consolidated statements of operations, comprehensive loss, redeemable convertible preferred stock, redeemable convertible class A-1 common stock and stockholders' equity (deficit), and cash flows, for each of the three fiscal years in the period ended April 30, 2023, and the related notes (collectively referred to as the "financial statements"). In our opinion, the financial statements present fairly, in all material respects, the financial position of the Company as of April 30, 2023 and 2022, and the results of its operations and its cash flows for each of the three years in the period ended April 30, 2023, in conformity with accounting principles generally accepted in the United States of America.</w:t>
      </w:r>
    </w:p>
    <w:p>
      <w:pPr>
        <w:pStyle w:val="TextBody"/>
        <w:bidi w:val="0"/>
        <w:spacing w:lineRule="auto" w:line="288" w:before="0" w:after="18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April 30,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June 21, 2023, expressed an unqualified opinion on the Company's internal control over financial reporting.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Revenue — Refer to Notes 1 and 2 to the financial statements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revenue is generated from subscriptions to its C3 AI Platform license and related maintenance and support services. Licenses represent a contractual right for a customer to take possession of the software and it is feasible for the customer to host the software independently. Maintenance and support services comprise critical and continuous updates to the software that are integral to maintaining the intended utility of the software over the contractual term.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applies significant judgment in determining whether the Company’s C3 AI Platform license and the related maintenance and support services are considered distinct performance obligations that should be accounted for separately or combined as a single performance obligation. Management has concluded that the Company’s C3 AI Platform license and the related maintenance and support services are highly interdependent and interrelated and represent a single distinct performance obligation within the context of the contract satisfied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determination that the Company’s C3 AI Platform license and related maintenance and support services should be accounted for as a single performance obligation as a critical audit matter. This required a high degree of auditor judgement and increased the extent of effort.</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evaluating whether the Company’s C3 AI Platform license and related maintenance and support services should be accounted for as a single performance obligation included the following, among others: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tested the effectiveness of internal controls over the Company’s process related to the identification of performance obligations with respect to the Company’s software licenses and maintenance and support services.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gained detailed understanding of the nature of the Company’s software licenses and maintenance and support, how it is marketed to customers, and confirming our understanding with personnel outside of accounting.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evaluated management’s key assumptions and analysis of its performance obligations, including their assessment of the nature, interdependency, and level of integration between the Company’s software licenses and maintenance and support services, which included, among other procedures, observing data within a customer environment, such as: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Inspecting the number of machine learning predictions per day.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Inspecting the number of inputs ingested by the system.</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Related Party Transactions – Revenue Transactions with Baker Hughes Company — Refer to Note 13 to the financial statements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previously entered into multiple agreements with Baker Hughes in 2019, 2020, and 2021. The Company further revised their agreements with Baker Hughes in January 2023. Pursuant to this revised arrangement, the frequency of payments due from Baker Hughes was accelerated, Baker Hughes obtained expanded reseller rights and the Company will provide additional products and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accounting treatment of the revised arrangement as a critical audit matter because of the judgments required by management in evaluating the impact of the revised arrangement on the Company’s revenue recognition policy. This required a high degree of auditor judgment and an increased extent of effort, including the need to involve professionals with expertise in the accounting for revenue from contracts with customers, when performing audit procedures to evaluate the appropriateness of the accounting treatment.</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Company’s evaluation of the accounting treatment of the revised arrangement and its impact on the Company’s revenue recognition policy included the following, among others: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tested the effectiveness of internal controls related to the review of the revised arrangement and determination of the appropriate accounting treatment.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obtained and read contract source documents for the previous and the revised arrangements and evaluated management’s accounting conclusions for reasonableness and compliance with generally accepted accounting principles.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compared the amounts reported in the financial statements and footnotes and agreed to the contract source documents.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With the assistance of professionals in our firm having expertise in accounting for revenue from contracts with customers, we evaluated management’s accounting conclusions related to certain aspects of the revised arrangement for reasonableness and compliance with generally accepted accounting principles.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DELOITTE &amp; TOUCHE LLP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June 21,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data)</w:t>
      </w:r>
    </w:p>
    <w:p>
      <w:pPr>
        <w:pStyle w:val="TextBody"/>
        <w:bidi w:val="0"/>
        <w:spacing w:before="0" w:after="180"/>
        <w:jc w:val="both"/>
        <w:rPr/>
      </w:pPr>
      <w:r>
        <w:rPr/>
      </w:r>
    </w:p>
    <w:tbl>
      <w:tblPr>
        <w:tblW w:w="10205" w:type="dxa"/>
        <w:jc w:val="center"/>
        <w:tblInd w:w="0" w:type="dxa"/>
        <w:tblLayout w:type="fixed"/>
        <w:tblCellMar>
          <w:top w:w="28" w:type="dxa"/>
          <w:left w:w="28" w:type="dxa"/>
          <w:bottom w:w="28" w:type="dxa"/>
          <w:right w:w="28" w:type="dxa"/>
        </w:tblCellMar>
      </w:tblPr>
      <w:tblGrid>
        <w:gridCol w:w="2828"/>
        <w:gridCol w:w="2338"/>
        <w:gridCol w:w="2313"/>
        <w:gridCol w:w="196"/>
        <w:gridCol w:w="871"/>
        <w:gridCol w:w="109"/>
        <w:gridCol w:w="109"/>
        <w:gridCol w:w="109"/>
        <w:gridCol w:w="109"/>
        <w:gridCol w:w="196"/>
        <w:gridCol w:w="871"/>
        <w:gridCol w:w="156"/>
      </w:tblGrid>
      <w:tr>
        <w:trPr/>
        <w:tc>
          <w:tcPr>
            <w:tcW w:w="2828"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620,633 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17"/>
              </w:rPr>
              <w:t>Accounts receivable, net of allowance of $359 and $157 as of April 30, 2023 and 2022, respectively</w:t>
            </w:r>
            <w:r>
              <w:rPr>
                <w:rFonts w:ascii="Times New Roman;sans-serif" w:hAnsi="Times New Roman;sans-serif"/>
                <w:b w:val="false"/>
                <w:color w:val="000000"/>
                <w:sz w:val="11"/>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80,271 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7"/>
              </w:rPr>
              <w:t>Prepaid expenses and other current assets</w:t>
            </w:r>
            <w:r>
              <w:rPr>
                <w:rFonts w:ascii="Times New Roman;sans-serif" w:hAnsi="Times New Roman;sans-serif"/>
                <w:b w:val="false"/>
                <w:color w:val="000000"/>
                <w:sz w:val="11"/>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888,879 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1,060,436 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Long-term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7"/>
              </w:rPr>
              <w:t>Other assets, non-current</w:t>
            </w:r>
            <w:r>
              <w:rPr>
                <w:rFonts w:ascii="Times New Roman;sans-serif" w:hAnsi="Times New Roman;sans-serif"/>
                <w:b w:val="false"/>
                <w:color w:val="000000"/>
                <w:sz w:val="11"/>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1,103,028 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1,170,882 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7"/>
              </w:rPr>
              <w:t>Accounts payable</w:t>
            </w:r>
            <w:r>
              <w:rPr>
                <w:rFonts w:ascii="Times New Roman;sans-serif" w:hAnsi="Times New Roman;sans-serif"/>
                <w:b w:val="false"/>
                <w:color w:val="000000"/>
                <w:sz w:val="11"/>
              </w:rPr>
              <w:t>(4)</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compensation and employee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7"/>
              </w:rPr>
              <w:t>Deferred revenue, current</w:t>
            </w:r>
            <w:r>
              <w:rPr>
                <w:rFonts w:ascii="Times New Roman;sans-serif" w:hAnsi="Times New Roman;sans-serif"/>
                <w:b w:val="false"/>
                <w:color w:val="000000"/>
                <w:sz w:val="11"/>
              </w:rPr>
              <w:t>(5)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7"/>
              </w:rPr>
              <w:t>Accrued and other current liabilities</w:t>
            </w:r>
            <w:r>
              <w:rPr>
                <w:rFonts w:ascii="Times New Roman;sans-serif" w:hAnsi="Times New Roman;sans-serif"/>
                <w:b w:val="false"/>
                <w:color w:val="000000"/>
                <w:sz w:val="11"/>
              </w:rPr>
              <w:t>(6)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150,169 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revenue,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7"/>
              </w:rPr>
              <w:t>Other long-term liabilities</w:t>
            </w:r>
            <w:r>
              <w:rPr>
                <w:rFonts w:ascii="Times New Roman;sans-serif" w:hAnsi="Times New Roman;sans-serif"/>
                <w:b w:val="false"/>
                <w:color w:val="000000"/>
                <w:sz w:val="11"/>
              </w:rPr>
              <w:t>(7)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181,405 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7)</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7"/>
              </w:rPr>
            </w:pPr>
            <w:r>
              <w:rPr>
                <w:rFonts w:ascii="Times New Roman;sans-serif" w:hAnsi="Times New Roman;sans-serif"/>
                <w:b w:val="false"/>
                <w:color w:val="000000"/>
                <w:sz w:val="17"/>
              </w:rPr>
              <w:t>Class A common stock, $0.001 par value. 1,000,000,000 shares authorized as of April 30, 2023 and 2022, respectively; 110,442,569 and 102,725,041 shares issued and outstanding as of April 30, 2023 and 2022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7"/>
              </w:rPr>
            </w:pPr>
            <w:r>
              <w:rPr>
                <w:rFonts w:ascii="Times New Roman;sans-serif" w:hAnsi="Times New Roman;sans-serif"/>
                <w:b w:val="false"/>
                <w:color w:val="000000"/>
                <w:sz w:val="17"/>
              </w:rPr>
              <w:t>Class B common stock, $0.001 par value; 3,500,000 shares authorized as of April 30, 2023 and 2022, respectively; 3,499,992 and 3,499,992 shares issued and outstanding as of April 30, 2023 and 2022,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1,740,174 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1,532,917 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(810,237)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(541,398)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929,665 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989,477 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1,103,028 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1,170,882 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Including amounts from a related party of $74,620 and $35,848 as of April 30, 2023 and 2022, respectively.</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 Including amounts from a related party of $4,983 and $4,862 as of April 30, 2023 and 2022, respectively.</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(3) Including amounts from a related party of $11,279 and $16,141 as of April 30, 2023 and 2022, respectively.</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(4) Including amounts from a related party of $2,200 and $18,549 as of April 30, 2023 and 2022, respectively.</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(5) Including amounts from a related party of $249 and $132 as of April 30, 2023 and 2022, respectively.</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(6) Including amounts from a related party of $2,448 and $2,510 as of April 30, 2023 and 2022, respectively.</w:t>
      </w:r>
    </w:p>
    <w:p>
      <w:pPr>
        <w:pStyle w:val="TextBody"/>
        <w:bidi w:val="0"/>
        <w:spacing w:lineRule="auto" w:line="288" w:before="0" w:after="180"/>
        <w:jc w:val="both"/>
        <w:rPr>
          <w:rFonts w:ascii="Times New Roman;sans-serif" w:hAnsi="Times New Roman;sans-serif"/>
          <w:b w:val="false"/>
          <w:color w:val="000000"/>
          <w:sz w:val="16"/>
        </w:rPr>
      </w:pPr>
      <w:r>
        <w:rPr>
          <w:rFonts w:ascii="Times New Roman;sans-serif" w:hAnsi="Times New Roman;sans-serif"/>
          <w:b w:val="false"/>
          <w:color w:val="000000"/>
          <w:sz w:val="16"/>
        </w:rPr>
        <w:t>(7) Including amounts from a related party of nil and $2,448 as of April 30, 2023 and 2022, respectively.</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2291"/>
        <w:gridCol w:w="1837"/>
        <w:gridCol w:w="1849"/>
        <w:gridCol w:w="211"/>
        <w:gridCol w:w="870"/>
        <w:gridCol w:w="109"/>
        <w:gridCol w:w="109"/>
        <w:gridCol w:w="109"/>
        <w:gridCol w:w="109"/>
        <w:gridCol w:w="211"/>
        <w:gridCol w:w="870"/>
        <w:gridCol w:w="109"/>
        <w:gridCol w:w="109"/>
        <w:gridCol w:w="109"/>
        <w:gridCol w:w="109"/>
        <w:gridCol w:w="211"/>
        <w:gridCol w:w="826"/>
        <w:gridCol w:w="157"/>
      </w:tblGrid>
      <w:tr>
        <w:trPr/>
        <w:tc>
          <w:tcPr>
            <w:tcW w:w="229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Subscription</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Professional services</w:t>
            </w:r>
            <w:r>
              <w:rPr>
                <w:rFonts w:ascii="Times New Roman;sans-serif" w:hAnsi="Times New Roman;sans-serif"/>
                <w:b w:val="false"/>
                <w:color w:val="000000"/>
                <w:sz w:val="13"/>
              </w:rPr>
              <w:t>(2)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Subscription</w:t>
            </w:r>
            <w:r>
              <w:rPr>
                <w:rFonts w:ascii="Times New Roman;sans-serif" w:hAnsi="Times New Roman;sans-serif"/>
                <w:b w:val="false"/>
                <w:color w:val="000000"/>
                <w:sz w:val="13"/>
              </w:rPr>
              <w:t>(3)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provision for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common stockholders, basic and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A-1 common stockholders,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B common stockholders, basic and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Class A common stockholders, basic and 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56,678 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Class A-1 common stockholders, basic and 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Class B common stockholders, basic and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(1)Including related party revenue of $75,452, $60,425, and $30,557 for the fiscal years ended April 30, 2023, 2022 and 2021, respectively.</w:t>
      </w:r>
    </w:p>
    <w:p>
      <w:pPr>
        <w:pStyle w:val="TextBody"/>
        <w:bidi w:val="0"/>
        <w:spacing w:lineRule="auto" w:line="288" w:before="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(2)Including related party revenue of $16,774, $16,872, and $4,825 for the fiscal years ended April 30, 2023, 2022 and 2021,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(3)Including purchases from related party included in cost of revenue of nil, $578 and $56 for the fiscal years ended April 30, 2023, 2022 and 2021,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(4)Including related party sales and marketing expense of $13,962, $8,229 and $44 for the fiscal years ended April 30, 2023, 2022 and 2021, respectively.</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180"/>
        <w:jc w:val="both"/>
        <w:rPr/>
      </w:pPr>
      <w:r>
        <w:rPr/>
      </w:r>
    </w:p>
    <w:tbl>
      <w:tblPr>
        <w:tblW w:w="9011" w:type="dxa"/>
        <w:jc w:val="left"/>
        <w:tblInd w:w="0" w:type="dxa"/>
        <w:tblLayout w:type="fixed"/>
        <w:tblCellMar>
          <w:top w:w="28" w:type="dxa"/>
          <w:left w:w="28" w:type="dxa"/>
          <w:bottom w:w="28" w:type="dxa"/>
          <w:right w:w="28" w:type="dxa"/>
        </w:tblCellMar>
      </w:tblPr>
      <w:tblGrid>
        <w:gridCol w:w="1721"/>
        <w:gridCol w:w="1503"/>
        <w:gridCol w:w="1530"/>
        <w:gridCol w:w="211"/>
        <w:gridCol w:w="901"/>
        <w:gridCol w:w="109"/>
        <w:gridCol w:w="109"/>
        <w:gridCol w:w="109"/>
        <w:gridCol w:w="109"/>
        <w:gridCol w:w="211"/>
        <w:gridCol w:w="901"/>
        <w:gridCol w:w="109"/>
        <w:gridCol w:w="109"/>
        <w:gridCol w:w="109"/>
        <w:gridCol w:w="109"/>
        <w:gridCol w:w="211"/>
        <w:gridCol w:w="796"/>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 securities, net of tax</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C3.AI,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REDEEMABLE CONVERTIBLE PREFERRED STOCK,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REDEEMABLE CONVERTIBLE CLASS A-1 COMMON STOCK AND STOCKHOLDERS’ EQUITY (DEFICIT)</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4316" w:type="dxa"/>
        <w:jc w:val="left"/>
        <w:tblInd w:w="0" w:type="dxa"/>
        <w:tblLayout w:type="fixed"/>
        <w:tblCellMar>
          <w:top w:w="28" w:type="dxa"/>
          <w:left w:w="28" w:type="dxa"/>
          <w:bottom w:w="28" w:type="dxa"/>
          <w:right w:w="28" w:type="dxa"/>
        </w:tblCellMar>
      </w:tblPr>
      <w:tblGrid>
        <w:gridCol w:w="730"/>
        <w:gridCol w:w="220"/>
        <w:gridCol w:w="221"/>
        <w:gridCol w:w="330"/>
        <w:gridCol w:w="331"/>
        <w:gridCol w:w="192"/>
        <w:gridCol w:w="109"/>
        <w:gridCol w:w="109"/>
        <w:gridCol w:w="109"/>
        <w:gridCol w:w="196"/>
        <w:gridCol w:w="736"/>
        <w:gridCol w:w="109"/>
        <w:gridCol w:w="109"/>
        <w:gridCol w:w="109"/>
        <w:gridCol w:w="109"/>
        <w:gridCol w:w="285"/>
        <w:gridCol w:w="286"/>
        <w:gridCol w:w="132"/>
        <w:gridCol w:w="109"/>
        <w:gridCol w:w="109"/>
        <w:gridCol w:w="109"/>
        <w:gridCol w:w="196"/>
        <w:gridCol w:w="646"/>
        <w:gridCol w:w="109"/>
        <w:gridCol w:w="109"/>
        <w:gridCol w:w="109"/>
        <w:gridCol w:w="109"/>
        <w:gridCol w:w="109"/>
        <w:gridCol w:w="109"/>
        <w:gridCol w:w="109"/>
        <w:gridCol w:w="368"/>
        <w:gridCol w:w="368"/>
        <w:gridCol w:w="196"/>
        <w:gridCol w:w="109"/>
        <w:gridCol w:w="109"/>
        <w:gridCol w:w="109"/>
        <w:gridCol w:w="196"/>
        <w:gridCol w:w="421"/>
        <w:gridCol w:w="109"/>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196"/>
        <w:gridCol w:w="871"/>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 A-1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April 30, 2020</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37,129 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375,207 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6,667 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31,210 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(182,697)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 of Shareholder Loan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 of redeemable convertible preferred stock to common stock upon initial public offering</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(37,129)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(6,667)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418,553 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upon initial public offering and private placements, net of underwriting discounts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844,554 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844,575 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Class A common stock upon 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early exercised Class A common stock options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(55,696)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April 30, 2021</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102,167 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1,410,325 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(349,333)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1,061,175 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Class A common stock upon 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early exercised Class A common stock options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restricted stock units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 and retirement of Class A common stock</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April 30, 2022</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106,225 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1,532,917 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(2,148)</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989,477 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C3.AI,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REDEEMABLE CONVERTIBLE PREFERRED STOCK,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REDEEMABLE CONVERTIBLE CLASS A-1 COMMON STOCK AND STOCKHOLDERS’ EQUITY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851"/>
        <w:gridCol w:w="372"/>
        <w:gridCol w:w="374"/>
        <w:gridCol w:w="109"/>
        <w:gridCol w:w="109"/>
        <w:gridCol w:w="109"/>
        <w:gridCol w:w="368"/>
        <w:gridCol w:w="368"/>
        <w:gridCol w:w="196"/>
        <w:gridCol w:w="109"/>
        <w:gridCol w:w="109"/>
        <w:gridCol w:w="109"/>
        <w:gridCol w:w="196"/>
        <w:gridCol w:w="421"/>
        <w:gridCol w:w="109"/>
        <w:gridCol w:w="109"/>
        <w:gridCol w:w="109"/>
        <w:gridCol w:w="109"/>
        <w:gridCol w:w="211"/>
        <w:gridCol w:w="940"/>
        <w:gridCol w:w="117"/>
        <w:gridCol w:w="109"/>
        <w:gridCol w:w="109"/>
        <w:gridCol w:w="109"/>
        <w:gridCol w:w="316"/>
        <w:gridCol w:w="921"/>
        <w:gridCol w:w="176"/>
        <w:gridCol w:w="109"/>
        <w:gridCol w:w="109"/>
        <w:gridCol w:w="109"/>
        <w:gridCol w:w="204"/>
        <w:gridCol w:w="793"/>
        <w:gridCol w:w="113"/>
        <w:gridCol w:w="109"/>
        <w:gridCol w:w="109"/>
        <w:gridCol w:w="109"/>
        <w:gridCol w:w="213"/>
        <w:gridCol w:w="805"/>
        <w:gridCol w:w="179"/>
      </w:tblGrid>
      <w:tr>
        <w:trPr/>
        <w:tc>
          <w:tcPr>
            <w:tcW w:w="85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April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106,225 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1,532,917 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(541,398)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989,477 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Class A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early exercised Class A common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withholding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(6,939)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(6,940)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Class A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181,522 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181,522 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(268,839)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(268,839)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113,943 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1,740,174 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(385)</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(810,237)</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929,665 </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2268"/>
        <w:gridCol w:w="1972"/>
        <w:gridCol w:w="1986"/>
        <w:gridCol w:w="196"/>
        <w:gridCol w:w="807"/>
        <w:gridCol w:w="109"/>
        <w:gridCol w:w="109"/>
        <w:gridCol w:w="109"/>
        <w:gridCol w:w="109"/>
        <w:gridCol w:w="196"/>
        <w:gridCol w:w="807"/>
        <w:gridCol w:w="109"/>
        <w:gridCol w:w="109"/>
        <w:gridCol w:w="109"/>
        <w:gridCol w:w="109"/>
        <w:gridCol w:w="197"/>
        <w:gridCol w:w="746"/>
        <w:gridCol w:w="158"/>
      </w:tblGrid>
      <w:tr>
        <w:trPr/>
        <w:tc>
          <w:tcPr>
            <w:tcW w:w="2268"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6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2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Accounts receivable</w:t>
            </w:r>
            <w:r>
              <w:rPr>
                <w:rFonts w:ascii="Times New Roman;sans-serif" w:hAnsi="Times New Roman;sans-serif"/>
                <w:b w:val="false"/>
                <w:color w:val="000000"/>
                <w:sz w:val="12"/>
              </w:rPr>
              <w:t>(1)</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Prepaid expenses, other current assets and other assets</w:t>
            </w:r>
            <w:r>
              <w:rPr>
                <w:rFonts w:ascii="Times New Roman;sans-serif" w:hAnsi="Times New Roman;sans-serif"/>
                <w:b w:val="false"/>
                <w:color w:val="000000"/>
                <w:sz w:val="12"/>
              </w:rPr>
              <w:t>(2)</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Accounts payable</w:t>
            </w:r>
            <w:r>
              <w:rPr>
                <w:rFonts w:ascii="Times New Roman;sans-serif" w:hAnsi="Times New Roman;sans-serif"/>
                <w:b w:val="false"/>
                <w:color w:val="000000"/>
                <w:sz w:val="12"/>
              </w:rPr>
              <w:t>(3)</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employee benefits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Other liabilities</w:t>
            </w:r>
            <w:r>
              <w:rPr>
                <w:rFonts w:ascii="Times New Roman;sans-serif" w:hAnsi="Times New Roman;sans-serif"/>
                <w:b w:val="false"/>
                <w:color w:val="000000"/>
                <w:sz w:val="12"/>
              </w:rPr>
              <w:t>(4)</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Deferred revenue</w:t>
            </w:r>
            <w:r>
              <w:rPr>
                <w:rFonts w:ascii="Times New Roman;sans-serif" w:hAnsi="Times New Roman;sans-serif"/>
                <w:b w:val="false"/>
                <w:color w:val="000000"/>
                <w:sz w:val="12"/>
              </w:rPr>
              <w:t>(5)</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(37,553)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non-marketable equity security</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and sales of investments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(767,152)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initial public offering and private placements, net of underwriting discounts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851,859 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repayment of shareholder loan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Class A Common stock</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deferred offering costs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Class A common stock under employee stock purchase plan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Class A common stock options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887,356 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0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339,528 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115,355 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assets, non-current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116,255 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180"/>
        <w:jc w:val="left"/>
        <w:rPr/>
      </w:pPr>
      <w:hyperlink w:anchor="ifbc384f66f3b44349b886d7e9ac408dc_10">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39"/>
        <w:gridCol w:w="2146"/>
        <w:gridCol w:w="2157"/>
        <w:gridCol w:w="196"/>
        <w:gridCol w:w="646"/>
        <w:gridCol w:w="109"/>
        <w:gridCol w:w="109"/>
        <w:gridCol w:w="109"/>
        <w:gridCol w:w="109"/>
        <w:gridCol w:w="196"/>
        <w:gridCol w:w="646"/>
        <w:gridCol w:w="109"/>
        <w:gridCol w:w="109"/>
        <w:gridCol w:w="109"/>
        <w:gridCol w:w="109"/>
        <w:gridCol w:w="196"/>
        <w:gridCol w:w="556"/>
        <w:gridCol w:w="155"/>
      </w:tblGrid>
      <w:tr>
        <w:trPr/>
        <w:tc>
          <w:tcPr>
            <w:tcW w:w="243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6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information—cash paid for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included in 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lease obligations (including remeasurement of right-of-use assets and lease liabilities due to changes in the timing of receipt of lease incentives)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lease obligations arising from lease modifications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Unpaid liabilities related to intangible purchases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from exercise of stock options included in prepaid expenses, other current assets and other 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offering costs included in accounts payable and accrued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2,869 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(1)Including changes in related party balances of $38,772, $20,668, and $(14,930) for the fiscal years ended April 30, 2023, 2022 and 2021,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(2)Including changes in related party balances of $(4,741), $12,739 and $8,264 for the fiscal years ended April 30, 2023, 2022 and 2021,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(3)Including changes in related party balances of $(16,349), $18,493 and $56 for the fiscal years ended April 30, 2023, 2022 and 2021,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(4)Including changes in related party balances of $(2,510), $(3,350) and $8,308 for the fiscal years ended April 30, 2023, 2022 and 2021,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(5)Including changes in related party balances of $117, $(7,565), and $6,198 for the fiscal years ended April 30, 2023, 2022 and 2021, respectively.</w:t>
      </w:r>
    </w:p>
    <w:p>
      <w:pPr>
        <w:pStyle w:val="TextBody"/>
        <w:bidi w:val="0"/>
        <w:spacing w:before="0" w:after="180"/>
        <w:jc w:val="both"/>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1.Summary of Business and Significant Accounting Policies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C3.ai, Inc. (including its subsidiaries, “C3 AI” or “the Company”) is an enterprise artificial intelligence (“AI”) software provider. The Company’s C3 AI Platform supports accelerating digital transformation in various industries with prebuilt and configurable C3 AI Applications for business use cases including predictive maintenance, fraud detection, sensor network health, supply network optimization, energy management, anti-money laundering, and customer engagement. The Company supports customers in the United States, Europe, and the rest of the world. The Company was initially formed as a limited liability company in Delaware on January 8, 2009 and converted to a Delaware corporation in June 2012.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Reclassification and Reverse Stock Split</w:t>
      </w:r>
    </w:p>
    <w:p>
      <w:pPr>
        <w:pStyle w:val="TextBody"/>
        <w:bidi w:val="0"/>
        <w:spacing w:lineRule="auto" w:line="288" w:before="0" w:after="180"/>
        <w:jc w:val="both"/>
        <w:rPr/>
      </w:pPr>
      <w:r>
        <w:rPr>
          <w:rFonts w:ascii="Times New Roman;sans-serif" w:hAnsi="Times New Roman;sans-serif"/>
          <w:b w:val="false"/>
          <w:color w:val="000000"/>
          <w:sz w:val="20"/>
        </w:rPr>
        <w:t>In November 2020, the Company amended and restated its certificate of incorporation to effect a reclassification of the Company’s prior Class B common stock and Class C common stock into Class A common stock and redeemable convertible Class B-1 common stock into a new redeemable convertible Class A-1 common stock. The rights, including the liquidation, dividend, and voting rights, are substantially identical for each class of common stock reclassified. All references to prior Class B common stock and Class C common stock have been recast to Class A common stock, and all references to redeemable convertible Class B-1 common stock have been recast to redeemable convertible Class A-1 common stock in these consolidated financial statements to give retrospective effect to the reclassification for all periods presented. The Company also authorized a new Class B common stock. The rights, including the liquidation and dividend rights, of the Class A common stock and the new Class B common stock are substantially identical, other than the voting rights and conversion rights upon transfer of the Class B common stock. See</w:t>
      </w:r>
      <w:r>
        <w:rPr>
          <w:color w:val="000000"/>
        </w:rPr>
        <w:t xml:space="preserve"> </w:t>
      </w:r>
      <w:r>
        <w:rPr>
          <w:rFonts w:ascii="Times New Roman;sans-serif" w:hAnsi="Times New Roman;sans-serif"/>
          <w:b w:val="false"/>
          <w:i/>
          <w:color w:val="000000"/>
          <w:sz w:val="20"/>
        </w:rPr>
        <w:t>Note 9. Stockholders’ Equity</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effected a 6-for-1 reverse stock split of the Company’s outstanding common stock, preferred stock, and stock option awards. The par value of the common stock and preferred stock was not adjusted as a result of the reverse stock split. The authorized shares of the Class A common stock, new Class A-1 common stock, new Class B common stock and preferred stock were also adjusted to 390,000,000 shares, 6,666,667 shares, 21,000,000 shares, and 233,107,379 shares, respectively. All authorized, issued, and outstanding shares of common stock, preferred stock, stock option awards, and per share data included in these consolidated financial statements have been recast to give retrospective effect to the adjusted authorized shares and reverse stock split for all periods presented.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Initial Public Offering and Concurrent Private Placements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completed its initial public offering (“IPO”), in which the Company issued and sold 17,825,000 shares of its Class A common stock at $42.00 per share, which included 2,325,000 shares issued upon the exercise of the underwriters’ over-allotment option to purchase additional shares. The Company received net proceeds of $694.6 million after deducting underwriting discounts and other offering expenses. In connection with the IPO: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33,628,776 shares of the Company’s outstanding redeemable convertible preferred stock, except the Series A* preferred stock, automatically converted into an equivalent number of shares of Class A common stock on a one-to-one basis;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3,499,992 shares of the Company’s outstanding redeemable convertible Series A* preferred stock automatically converted into an equivalent number of shares of Class B common stock on a one-to-one basis;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6,666,665 shares of the Company’s outstanding redeemable convertible Class A-1 common stock automatically converted into an equivalent number of shares of Class A common stock on a one-to-one basis;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Company amended and restated its certificate of incorporation which became effective upon completion of the IPO.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Deferred offering costs consist primarily of direct and incremental accounting, legal and other fees related to the Company’s IPO. Prior to the IPO, all deferred offering costs incurred were capitalized and included in other assets on the consolidated balance sheet. Upon completion of the IPO, $7.2 million of deferred offering costs were reclassified into stockholders’ equity as a reduction of the IPO proceeds.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completed a concurrent private placement immediately subsequent to the closing of the IPO, in which the Company issued and sold 2,380,952 and 1,190,476 shares, respectively, of its Class A common stock at $42.00 per share to Spring Creek Capital LLC, an affiliate of Koch Industries, Inc., and Microsoft Corporation, respectively (the “Concurrent Private Placement”). The Company received aggregate proceeds of $150.0 million and did not pay underwriting discounts with respect to the shares of Class A common stock that were sold in the Concurrent Private Placement.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prepares its consolidated financial statements in accordance with generally accepted accounting principles in the United States (“GAAP”). The consolidated financial statements include the accounts of C3.ai, Inc. and its wholly owned subsidiaries. All intercompany balances and transactions have been eliminated in consolidation.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accompanying consolidated financial statements in conformity with GAAP requires management to make estimates and assumptions about future events. These estimates and the underlying assumptions affect the amounts of assets and liabilities reported, disclosures about contingent assets and liabilities, and reported amounts of revenue and expenses. Actual results and outcomes could differ significantly from the Company’s estimates, judgments, and assumptions. Significant estimates include determining standalone selling price for performance obligations in contracts with customers and estimating variable consideration, the estimated expected benefit period for deferred contract acquisition costs, the useful lives of long-lived assets, the incremental borrowing rate for operating leases, other assumptions used to measure stock-based compensation, and the valuation of deferred income tax assets and uncertain tax positions.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on April 30. References to fiscal 2023, 2022 and 2021 relate to the fiscal years ended April 30, 2023, 2022 and 2021,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Concentration of Risk</w:t>
      </w:r>
    </w:p>
    <w:p>
      <w:pPr>
        <w:pStyle w:val="TextBody"/>
        <w:bidi w:val="0"/>
        <w:spacing w:lineRule="auto" w:line="288" w:before="0" w:after="180"/>
        <w:jc w:val="both"/>
        <w:rPr/>
      </w:pPr>
      <w:r>
        <w:rPr>
          <w:rFonts w:ascii="Times New Roman;sans-serif" w:hAnsi="Times New Roman;sans-serif"/>
          <w:b w:val="false"/>
          <w:color w:val="000000"/>
          <w:sz w:val="20"/>
        </w:rPr>
        <w:t xml:space="preserve">Financial instruments that potentially subject the Company to concentration of credit risk consist of cash and cash equivalents, investments and accounts receivable. The majority of the Company’s cash and cash equivalents are held by one financial institution. The Company is exposed to that financial institution to the extent that its cash balance with that financial institution is in excess of Federal Deposit Insurance Company (“FDIC”) insurance limits. The Company’s investment policy is to invest in securities with a minimum rating of P-2 by Moody’s, A-2 by Standard &amp; Poor’s, F2 by Fitch’s or higher for short-term investments, and minimum rating of BBB by Moody’s, Standard &amp; Poor’s, Fitch’s or higher for long-term investments. For accounts receivable, the Company is exposed to credit risk in the event of nonpayment by customers up to the amounts recorded on the consolidated balance sheets. The Company manages its accounts receivable credit risk through ongoing credit evaluation of its customers' financial conditions. The Company generally does not require collateral from its customers. For information regarding the Company’s significant customers, see </w:t>
      </w:r>
      <w:r>
        <w:rPr>
          <w:rFonts w:ascii="Times New Roman;sans-serif" w:hAnsi="Times New Roman;sans-serif"/>
          <w:b w:val="false"/>
          <w:i/>
          <w:color w:val="000000"/>
          <w:sz w:val="20"/>
        </w:rPr>
        <w:t>Note 2. Revenue</w:t>
      </w:r>
      <w:r>
        <w:rPr>
          <w:color w:val="000000"/>
        </w:rPr>
        <w:t xml:space="preserve"> </w:t>
      </w:r>
      <w:r>
        <w:rPr>
          <w:rFonts w:ascii="Times New Roman;sans-serif" w:hAnsi="Times New Roman;sans-serif"/>
          <w:b w:val="false"/>
          <w:color w:val="000000"/>
          <w:sz w:val="20"/>
        </w:rPr>
        <w:t>to our consolidated financial statements included elsewhere in this Annual Report on Form 10-K.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with an original maturity of three months or less at the time of purchase to be cash equivalents. The Company’s cash equivalents consisted of investments in money market funds, commercial paper and corporate debt securities as of April 30,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restricted cash pledged as security deposits at April 30, 2023 and 2022 of $12.6 million and $12.6 million, respectively, primarily representing a security deposit required by certain leases. The balance of restricted cash as of April 30, 2023 and 2022 was recorded in other assets, non-current and prepaid expenses and other current assets on the consolidated balance sheets.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marketable debt securities have been classified and accounted for as available-for-sale and are recorded at estimated fair value. The Company’s available-for-sale marketable securities comprised of money market funds, U.S. treasury securities, certificates of deposit, U.S. government agency securities, commercial paper and corporate debt securities, are classified as available-for-sale marketable securities. The Company classifies its available-for-sale marketable securities as either short-term or long-term at each balance sheet date based on each instrument’s underlying contractual maturity date. The Company determines the appropriate classification of investments at the time of purchase and reevaluates such determination at each period-end. Purchase premiums and discounts are amortized or accreted using the effective interest method over the life of the related security and such amortization and accretion are included in interest income in the consolidated statements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available-for-sale marketable securities in an unrealized loss position, the Company first assesses whether it intends to sell or it is more likely than not that the Company will be required to sell the security before the recovery of its entire amortized cost basis. If either of these criteria is met, the security’s amortized cost basis is written down to fair value through other income (expense), net in the consolidated statements of operations. If neither of these criteria is met, the Company further assesses whether the decline in fair value below amortized cost is due to credit or non-credit related factors. In making this assessment, the Company considers the extent to which fair value is less than amortized cost, any changes to the rating of the security by a rating agency, and any adverse conditions specifically related to the security, among other factors. Credit related unrealized losses are recognized as an allowance on the consolidated balance sheets with a corresponding charge in the other income (expense), net in the consolidated statements of operations. Non-credit related unrealized losses and unrealized gains on available-for-sale marketable securities are reported in other comprehensive income (loss) as a separate component on the consolidated statements of comprehensive loss. Realized gains and losses are determined based on the specific-identification method and are reported in interest income on the consolidated statements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includes billed and unbilled receivables, net of allowance of doubtful accounts. Trade accounts receivable are recorded at invoiced amounts and do not bear interest. The expectation of collectability is based on a review of credit profiles of customers, contractual terms and conditions, current economic trends, and historical payment experience. The Company regularly reviews the adequacy of the allowance for doubtful accounts by considering the age of each outstanding invoice and the collection history of each customer to determine the appropriate amount of allowance for doubtful accounts. An allowance for doubtful accounts balance of $0.4 million and $0.2 million was recorded as of April 30, 2023 and 2022, respectively. Accounts receivable included unbilled receivables of as of April 30, 2023 and April 30, 2022 of $77.6 million and $19.9 million respectively.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Level 1—Quoted prices in active markets for identical assets or liabilities that the Company has the ability to access at the measurement date.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Level 2—Inputs other than quoted prices in active markets that are observable for the asset or liability, either directly or indirectly.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Level 3—Inputs that are unobservable for the asset or liability.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are comprised primarily of prepaid cloud subscriptions, other receivables, costs to obtain and fulfill a contract, loans to non-executive employees, prepaid software subscriptions, prepaid rent, and prepaid insurance premiums.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Assets are depreciated using the straight-line method over useful lives of three to five years. Leasehold improvements and certain furniture and fixtures are amortized using the straight-line method over the lesser of the remaining respective lease term or useful lives.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April 30, 2023, 2022 and 2021.</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the amount by which the cost of acquired net assets in a business combination exceeds the fair value of the net identifiable assets on the date of purchase and is carried at its historical cost. The Company tests goodwill for impairment on an annual basis or more frequently if events or changes in circumstances indicate that the asset might be impaired. The Company performs its annual impairment test of goodwill as of February 1, and whenever events or circumstances indicate that the asset might be impaired. The tests did not result in an impairment to goodwill during the fiscal years ended April 30, 2023, 2022 and 2021.</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jc w:val="both"/>
        <w:rPr/>
      </w:pPr>
      <w:r>
        <w:rPr>
          <w:rFonts w:ascii="Times New Roman;sans-serif" w:hAnsi="Times New Roman;sans-serif"/>
          <w:b w:val="false"/>
          <w:color w:val="000000"/>
          <w:sz w:val="20"/>
        </w:rPr>
        <w:t xml:space="preserve">The Company has lease arrangements that include lease and non-lease components. The Company has elected to not account for the lease and non-lease components separately. For leases that commenced before the Company’s adoption date of Accounting Standards Codification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the Company elected the practical expedient to not reassess the following: (1) whether any expired or existing contracts contain leases; (2) the lease classification for any expired or existing leases; and (3) initial direct costs for any existing leases. For short-term leases, defined as leases with a lease term of 12 months or less, the Company elected to not recognize an associated lease liability and right-of-use (“ROU”), asset. Lease payments for short-term leases are expensed on a straight-line basis over the lease term.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subleases certain of its unoccupied facilities to third parties. Any impairment to the associated right-of-use assets, leasehold improvements, or other assets as a result of a sublease is recognized in the period the sublease is executed and recorded in the consolidated statements of operations. The Company recognizes sublease income on a straight-line basis over the sublease term. Sublease income is recorded as a reduction to the Company’s operating lease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financing leases. Operating lease ROU assets represent the Company’s right to use an underlying asset for the lease term and lease liabilities represent its obligation to make lease payments arising from the lease. Operating lease ROU assets and liabilities are recognized at the commencement date based on the present value of remaining lease payments over the lease term. The Company uses the rate implicit in the lease when readily determinable at lease inception. If the implicit rate is not readily determinable, the Company uses its incremental borrowing rate based on the information available at the adoption date for leases that commenced prior to the adoption date and the commencement date for leases that commenced after the adoption date. The incremental borrowing rate assumptions include the lease term and the Company’s credit risk. The operating lease ROU asset also includes any advance lease payments made and excludes lease incentives. The Company’s lease terms include options to extend or terminate the lease when it is reasonably certain that the Company will exercise that option. Lease expense for lease payments is recognized on a straight-line basis as operating expense in the consolidated statements of operations over the lease term.</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Software Development Costs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software development costs subsequent to the establishment of technological feasibility. Based on the Company’s product development process and substantial development risks, the Company’s products are made available for general release as soon as technological feasibility is reached.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the cost of purchased software that is to be sold, leased, or otherwise marketed as part of a product until the technological feasibility of the product has been established or where the software has an alternative future use. Once the technological feasibility of the product, to be externally marketed, has been established or where the software has an alternative future use, the Company capitalizes the cost of purchased software until the associated product is available for general release to customers, at which point the capitalized cost is amortized on a product-by-product basis the greater of the ratio of current gross revenues to the total of current and anticipated future gross revenues or over the remaining estimated economic life of the product.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capitalized software costs of $3.0 million and $3.0 million, respectively, during the fiscal years ended April 30, 2023 and 2022, respectively, and included in other assets, non-current in the consolidated balance sheets. The Company amortized capitalized software costs of $1.1 million and $0.7 million, respectively, during the fiscal years ended April 30, 2023 and 2022, respectively, and included in cost of subscription revenue in the consolidated statements of operations. The Company did not capitalize any software costs during the fiscal year ended April 30, 2021.</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consists of billings or cash received for services in advance of revenue recognition and is recognized as revenue when all of the Company’s revenue recognition criteria are met. The portion of deferred revenue that is anticipated to be recognized as revenue during the succeeding twelve-month period is recorded as deferred revenue, current and the remaining portion is recorded as deferred revenue, non-current. The Company’s contract liabilities are classified as deferred revenue upon the right to invoice or when payments have been received for undelivered products or services.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jc w:val="both"/>
        <w:rPr/>
      </w:pPr>
      <w:r>
        <w:rPr>
          <w:rFonts w:ascii="Times New Roman;sans-serif" w:hAnsi="Times New Roman;sans-serif"/>
          <w:b w:val="false"/>
          <w:color w:val="000000"/>
          <w:sz w:val="20"/>
        </w:rPr>
        <w:t xml:space="preserve">The Company accounts for revenue in accordance with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for all periods presented. The core principle of ASC 606 is to recognize revenue for the transfer of promised goods or services to customers in an amount that reflects the consideration the Company expects to be entitled to in exchange for those goods or services. This principle is achieved by applying the following five-step approach:</w:t>
      </w:r>
    </w:p>
    <w:p>
      <w:pPr>
        <w:pStyle w:val="TextBody"/>
        <w:bidi w:val="0"/>
        <w:spacing w:lineRule="auto" w:line="288" w:before="0" w:after="180"/>
        <w:jc w:val="both"/>
        <w:rPr/>
      </w:pPr>
      <w:r>
        <w:rPr>
          <w:rFonts w:ascii="Times New Roman;sans-serif" w:hAnsi="Times New Roman;sans-serif"/>
          <w:b w:val="false"/>
          <w:i/>
          <w:color w:val="000000"/>
          <w:sz w:val="20"/>
        </w:rPr>
        <w:t>Identification of the Contract, or Contracts, with a Customer.</w:t>
      </w:r>
      <w:r>
        <w:rPr>
          <w:color w:val="000000"/>
        </w:rPr>
        <w:t xml:space="preserve"> </w:t>
      </w:r>
      <w:r>
        <w:rPr>
          <w:rFonts w:ascii="Times New Roman;sans-serif" w:hAnsi="Times New Roman;sans-serif"/>
          <w:b w:val="false"/>
          <w:color w:val="000000"/>
          <w:sz w:val="20"/>
        </w:rPr>
        <w:t xml:space="preserve">A contract with a customer exists when (1) the Company enters into an enforceable contract with a customer that defines each party’s rights regarding the goods or services to be transferred and identifies the payment terms related to these goods or services, (2) the contract has commercial substance and (3) the Company determines that collection of substantially all consideration for goods or services that are transferred is probable based on the customer’s intent and ability to pay the promised consideration.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pPr>
      <w:r>
        <w:rPr>
          <w:rFonts w:ascii="Times New Roman;sans-serif" w:hAnsi="Times New Roman;sans-serif"/>
          <w:b w:val="false"/>
          <w:i/>
          <w:color w:val="000000"/>
          <w:sz w:val="20"/>
        </w:rPr>
        <w:t>Identification of the Performance Obligations in the Contract.</w:t>
      </w:r>
      <w:r>
        <w:rPr>
          <w:color w:val="000000"/>
        </w:rPr>
        <w:t xml:space="preserve"> </w:t>
      </w:r>
      <w:r>
        <w:rPr>
          <w:rFonts w:ascii="Times New Roman;sans-serif" w:hAnsi="Times New Roman;sans-serif"/>
          <w:b w:val="false"/>
          <w:color w:val="000000"/>
          <w:sz w:val="20"/>
        </w:rPr>
        <w:t>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 To the extent a contract includes multiple promised goods or services, the Company applies judgment to determine whether promised goods or services are capable of being distinct and distinct in the context of the contract. If these criteria are not met, the promised goods or services are accounted for as a combined performance obligation.</w:t>
      </w:r>
    </w:p>
    <w:p>
      <w:pPr>
        <w:pStyle w:val="TextBody"/>
        <w:bidi w:val="0"/>
        <w:spacing w:lineRule="auto" w:line="288" w:before="0" w:after="180"/>
        <w:jc w:val="both"/>
        <w:rPr/>
      </w:pPr>
      <w:r>
        <w:rPr>
          <w:rFonts w:ascii="Times New Roman;sans-serif" w:hAnsi="Times New Roman;sans-serif"/>
          <w:b w:val="false"/>
          <w:i/>
          <w:color w:val="000000"/>
          <w:sz w:val="20"/>
        </w:rPr>
        <w:t>Determination of the Transaction Price.</w:t>
      </w:r>
      <w:r>
        <w:rPr>
          <w:color w:val="000000"/>
        </w:rPr>
        <w:t xml:space="preserve"> </w:t>
      </w:r>
      <w:r>
        <w:rPr>
          <w:rFonts w:ascii="Times New Roman;sans-serif" w:hAnsi="Times New Roman;sans-serif"/>
          <w:b w:val="false"/>
          <w:color w:val="000000"/>
          <w:sz w:val="20"/>
        </w:rPr>
        <w:t>The transaction price is determined based on the consideration to which the Company will be entitled in exchange for transferring goods or services to the customer, net of sales taxes or value-added taxes. If the transaction price includes variable consideration, the Company includes an estimate of the amount it expects to receive if it is probable that a significant reversal of cumulative revenue recognized will not occur. Usage-based fees earned in exchange for the use of the Company’s software licenses and subscription services are subject to the usage-based royalty and series guidance variable consideration estimation exceptions, respectively.</w:t>
      </w:r>
    </w:p>
    <w:p>
      <w:pPr>
        <w:pStyle w:val="TextBody"/>
        <w:bidi w:val="0"/>
        <w:spacing w:lineRule="auto" w:line="288" w:before="0" w:after="180"/>
        <w:jc w:val="both"/>
        <w:rPr/>
      </w:pPr>
      <w:r>
        <w:rPr>
          <w:rFonts w:ascii="Times New Roman;sans-serif" w:hAnsi="Times New Roman;sans-serif"/>
          <w:b w:val="false"/>
          <w:i/>
          <w:color w:val="000000"/>
          <w:sz w:val="20"/>
        </w:rPr>
        <w:t>Allocation of the Transaction Price to the Performance Obligations in the Contract.</w:t>
      </w:r>
      <w:r>
        <w:rPr>
          <w:color w:val="000000"/>
        </w:rPr>
        <w:t xml:space="preserve"> </w:t>
      </w:r>
      <w:r>
        <w:rPr>
          <w:rFonts w:ascii="Times New Roman;sans-serif" w:hAnsi="Times New Roman;sans-serif"/>
          <w:b w:val="false"/>
          <w:color w:val="000000"/>
          <w:sz w:val="20"/>
        </w:rPr>
        <w:t>Contracts that contain multiple performance obligations require an allocation of the transaction price to each performance obligation based on a relative standalone selling price (“SSP”). When appropriate, the Company determines SSP based on data points that include the price at which the performance obligation has previously been sold through past transactions, internally approved pricing guidelines and stated contract price. When the SSP of a license or subscription and bundled maintenance and support services is highly variable and the contract also includes additional performance obligations with observable SSP, the Company first allocates the transaction price to the performance obligations with established SSPs and then applies the residual approach to allocate the remaining transaction price to the license or subscription and bundled maintenance and support services. If applying the residual approach results in zero or very little consideration being allocated to the combined performance obligation, or to a bundle of goods or services, the Company will consider all reasonably available data to determine an appropriate allocation of the transaction price. If the contract contains a single performance obligation, the entire transaction price is allocated to the single performance obligation.</w:t>
      </w:r>
    </w:p>
    <w:p>
      <w:pPr>
        <w:pStyle w:val="TextBody"/>
        <w:bidi w:val="0"/>
        <w:spacing w:lineRule="auto" w:line="288" w:before="0" w:after="180"/>
        <w:jc w:val="both"/>
        <w:rPr/>
      </w:pPr>
      <w:r>
        <w:rPr>
          <w:rFonts w:ascii="Times New Roman;sans-serif" w:hAnsi="Times New Roman;sans-serif"/>
          <w:b w:val="false"/>
          <w:i/>
          <w:color w:val="000000"/>
          <w:sz w:val="20"/>
        </w:rPr>
        <w:t>Recognition of Revenue when, or as, Performance Obligations are Satisfied</w:t>
      </w:r>
      <w:r>
        <w:rPr>
          <w:rFonts w:ascii="Times New Roman;sans-serif" w:hAnsi="Times New Roman;sans-serif"/>
          <w:b w:val="false"/>
          <w:color w:val="000000"/>
          <w:sz w:val="20"/>
        </w:rPr>
        <w:t>. The Company satisfies substantially all of its performance obligations over time, as discussed in further detail below. Revenue is recognized at the time the related performance obligation is satisfied with the transfer of a promised good or service to a customer over time.</w:t>
      </w:r>
    </w:p>
    <w:p>
      <w:pPr>
        <w:pStyle w:val="TextBody"/>
        <w:bidi w:val="0"/>
        <w:spacing w:lineRule="auto" w:line="288" w:before="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Subscription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revenue is primarily comprised of term licenses, stand-ready COE support services, trials and pilots of our applications, and software-as-a-service (“SaaS”) offerings. Licenses represent a contractual right for a customer to take possession of the software and it is feasible for the customer to host the software independently. SaaS represents a right for a customer to access the software through the Company’s cloud environment and the customer does not have the right to take possession of the software. Subscriptions also include our maintenance and support services that comprised of critical and continuous updates to the software that are integral to maintaining the intended utility of the software over the contractual term. For the significant majority of the Company’s offerings, software and maintenance and support services are highly interdependent and interrelated and represent a single distinct performance obligation within the context of the contract and satisfied over time.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whether the software license and maintenance and support services are considered distinct performance obligations that should be accounted for separately or as one combined performance obligation may require significant judgment. In reaching its conclusion, the Company considered the nature of its promise to provide the customer real time analytics and ML algorithms that require regular re-training to maintain and improve prediction accuracy. The Company fulfills this promise by providing real time data feeds to the ML model and by providing regular tuning, optimization and critical updates to the constantly changing Type system. Accordingly, the Company has determined that the software license and maintenance and support services fulfill a single promise to the customer under the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subscriptions are generally offered under renewable, multi-period, fixed fee contracts where payments are typically due annually in advance. A time-elapsed output method is used to measure progress because the nature of the promise is a stand-ready service. The Company also offers premium stand-ready C3 AI Center of Excellence (“COE”) support services, hosting services and trial services, which are distinct performance obligations. A description of the Company’s offerings are as follows:</w:t>
      </w:r>
    </w:p>
    <w:p>
      <w:pPr>
        <w:pStyle w:val="TextBody"/>
        <w:bidi w:val="0"/>
        <w:spacing w:lineRule="auto" w:line="288" w:before="0" w:after="180"/>
        <w:jc w:val="both"/>
        <w:rPr/>
      </w:pPr>
      <w:r>
        <w:rPr>
          <w:color w:val="000000"/>
        </w:rPr>
        <w:t>•</w:t>
      </w:r>
      <w:r>
        <w:rPr>
          <w:rFonts w:ascii="Times New Roman;sans-serif" w:hAnsi="Times New Roman;sans-serif"/>
          <w:b w:val="false"/>
          <w:i/>
          <w:color w:val="000000"/>
          <w:sz w:val="20"/>
        </w:rPr>
        <w:t>C3 AI Platform.</w:t>
      </w:r>
      <w:r>
        <w:rPr>
          <w:color w:val="000000"/>
        </w:rPr>
        <w:t xml:space="preserve"> </w:t>
      </w:r>
      <w:r>
        <w:rPr>
          <w:rFonts w:ascii="Times New Roman;sans-serif" w:hAnsi="Times New Roman;sans-serif"/>
          <w:b w:val="false"/>
          <w:color w:val="000000"/>
          <w:sz w:val="20"/>
        </w:rPr>
        <w:t>C3 AI Platform is a comprehensive suite that allows for the design, deployment, and operation of AI, predictive analytics, and applications at enterprise scale. The C3 AI Platform provides data scientists and application developers robust advantages for rapid application and analytics development and deployment. Customers primarily pay for the C3 AI Platform via fixed annual fees based on the number of development users allowed to access the C3 AI Platform. The C3 AI Platform offering is primarily a term subscription but at times has been sold as a perpetual license and generates additional runtime subscription fees, a form of consumption or usage-based revenue based on compute and storage resources required to run the C3 AI Platform.</w:t>
      </w:r>
    </w:p>
    <w:p>
      <w:pPr>
        <w:pStyle w:val="TextBody"/>
        <w:bidi w:val="0"/>
        <w:spacing w:lineRule="auto" w:line="288" w:before="0" w:after="180"/>
        <w:jc w:val="both"/>
        <w:rPr/>
      </w:pPr>
      <w:r>
        <w:rPr>
          <w:color w:val="000000"/>
        </w:rPr>
        <w:t>•</w:t>
      </w:r>
      <w:r>
        <w:rPr>
          <w:rFonts w:ascii="Times New Roman;sans-serif" w:hAnsi="Times New Roman;sans-serif"/>
          <w:b w:val="false"/>
          <w:i/>
          <w:color w:val="000000"/>
          <w:sz w:val="20"/>
        </w:rPr>
        <w:t>C3 AI Applications.</w:t>
      </w:r>
      <w:r>
        <w:rPr>
          <w:color w:val="000000"/>
        </w:rPr>
        <w:t xml:space="preserve"> </w:t>
      </w:r>
      <w:r>
        <w:rPr>
          <w:rFonts w:ascii="Times New Roman;sans-serif" w:hAnsi="Times New Roman;sans-serif"/>
          <w:b w:val="false"/>
          <w:color w:val="000000"/>
          <w:sz w:val="20"/>
        </w:rPr>
        <w:t>C3 AI Applications are production applications that address a wide range of predictive analytics, reporting, visualization and Generative AI use cases. C3 AI Applications are industry-tested and proven enterprise-grade applications built on a cohesive suite architecture that is designed to integrate and process highly dynamic data sets from sensor networks and enterprise and extraprise information systems, and enable advanced ML capabilities. C3 AI Applications sold without the C3 AI Platform can be in the form of term or perpetual licenses or subscriptions and earn revenue through a fixed fee.</w:t>
      </w:r>
    </w:p>
    <w:p>
      <w:pPr>
        <w:pStyle w:val="TextBody"/>
        <w:bidi w:val="0"/>
        <w:spacing w:lineRule="auto" w:line="288" w:before="0" w:after="180"/>
        <w:jc w:val="both"/>
        <w:rPr/>
      </w:pPr>
      <w:r>
        <w:rPr>
          <w:color w:val="000000"/>
        </w:rPr>
        <w:t>•</w:t>
      </w:r>
      <w:r>
        <w:rPr>
          <w:rFonts w:ascii="Times New Roman;sans-serif" w:hAnsi="Times New Roman;sans-serif"/>
          <w:b w:val="false"/>
          <w:i/>
          <w:color w:val="000000"/>
          <w:sz w:val="20"/>
        </w:rPr>
        <w:t>C3 AI Maintenance and Support Services.</w:t>
      </w:r>
      <w:r>
        <w:rPr>
          <w:color w:val="000000"/>
        </w:rPr>
        <w:t xml:space="preserve"> </w:t>
      </w:r>
      <w:r>
        <w:rPr>
          <w:rFonts w:ascii="Times New Roman;sans-serif" w:hAnsi="Times New Roman;sans-serif"/>
          <w:b w:val="false"/>
          <w:color w:val="000000"/>
          <w:sz w:val="20"/>
        </w:rPr>
        <w:t>C3 AI Maintenance and Support Services are provided for the C3 AI Platform and the C3 AI Applications that are selected by the customer. This support includes standard monitoring, performance monitoring, database maintenance, security monitoring, upgrading, backup and restore, patching, etc. provided by the Company. The Company continuously provides updates that are critical to the continued and enhanced utility of the software.</w:t>
      </w:r>
    </w:p>
    <w:p>
      <w:pPr>
        <w:pStyle w:val="TextBody"/>
        <w:bidi w:val="0"/>
        <w:spacing w:lineRule="auto" w:line="288" w:before="0" w:after="180"/>
        <w:jc w:val="both"/>
        <w:rPr/>
      </w:pPr>
      <w:r>
        <w:rPr>
          <w:color w:val="000000"/>
        </w:rPr>
        <w:t>•</w:t>
      </w:r>
      <w:r>
        <w:rPr>
          <w:rFonts w:ascii="Times New Roman;sans-serif" w:hAnsi="Times New Roman;sans-serif"/>
          <w:b w:val="false"/>
          <w:i/>
          <w:color w:val="000000"/>
          <w:sz w:val="20"/>
        </w:rPr>
        <w:t xml:space="preserve">COE Support Services. </w:t>
      </w:r>
      <w:r>
        <w:rPr>
          <w:rFonts w:ascii="Times New Roman;sans-serif" w:hAnsi="Times New Roman;sans-serif"/>
          <w:b w:val="false"/>
          <w:color w:val="000000"/>
          <w:sz w:val="20"/>
        </w:rPr>
        <w:t>COE Support Services provide premium development services and support by an available pool of resources. The purpose of the COE is to allow the customer to utilize, extend or modify C3 AI Applications and to develop its own applications on the C3 AI Platform. To facilitate customer’s efforts, C3 provides the following COE Support Services on the C3 AI Platform and C3 AI Applications to customer personnel during the subscription term of COE: (1) support and guidance on C3 AI overall software application architecture; (2) data integration, data science, and application development support on the C3 AI Platform; (3) training on the C3 AI Platform and C3 AI Applications to the customer project team members; and (4) support to help address any developmental issues faced by the customer. COE Support Services are generally offered under , multi-period, fixed fee contracts whereby payments are primarily due annually in advance and in most cases are co-terminous with the C3 AI Platform subscription term. COE Support Services represent a stand-ready performance obligation comprised of a series of distinct days of service that is satisfied and recognized in revenue ratably over the term of the COE agreement. Revenue for COE Support Services is included within subscription revenue in the consolidated statements of operations.</w:t>
      </w:r>
    </w:p>
    <w:p>
      <w:pPr>
        <w:pStyle w:val="TextBody"/>
        <w:bidi w:val="0"/>
        <w:spacing w:lineRule="auto" w:line="288" w:before="0" w:after="180"/>
        <w:jc w:val="both"/>
        <w:rPr/>
      </w:pPr>
      <w:r>
        <w:rPr>
          <w:color w:val="000000"/>
        </w:rPr>
        <w:t>•</w:t>
      </w:r>
      <w:r>
        <w:rPr>
          <w:rFonts w:ascii="Times New Roman;sans-serif" w:hAnsi="Times New Roman;sans-serif"/>
          <w:b w:val="false"/>
          <w:i/>
          <w:color w:val="000000"/>
          <w:sz w:val="20"/>
        </w:rPr>
        <w:t>Pilots.</w:t>
      </w:r>
      <w:r>
        <w:rPr>
          <w:color w:val="000000"/>
        </w:rPr>
        <w:t xml:space="preserve"> </w:t>
      </w:r>
      <w:r>
        <w:rPr>
          <w:rFonts w:ascii="Times New Roman;sans-serif" w:hAnsi="Times New Roman;sans-serif"/>
          <w:b w:val="false"/>
          <w:color w:val="000000"/>
          <w:sz w:val="20"/>
        </w:rPr>
        <w:t>The Company announced a new consumption-based pricing model to customers beginning with a pilot phase which starts with a six-month subscription for unlimited developers access to C3 AI Platform, one C3 AI Application and COE support services. After the pilot phase ends, the customer has an option to convert to a month-to-month contract with unlimited C3 AI Platform developers and one C3 AI Application. Typically, a customer is charged a monthly minimum fee for a stated number of vCPU and vGPU hours and an overage is charged if the customer utilizes greater than the minimum vCPU hours in a month. Customers have the option to commit to a one-year, two-year or three-year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pPr>
      <w:r>
        <w:rPr>
          <w:color w:val="000000"/>
        </w:rPr>
        <w:t>•</w:t>
      </w:r>
      <w:r>
        <w:rPr>
          <w:rFonts w:ascii="Times New Roman;sans-serif" w:hAnsi="Times New Roman;sans-serif"/>
          <w:b w:val="false"/>
          <w:i/>
          <w:color w:val="000000"/>
          <w:sz w:val="20"/>
        </w:rPr>
        <w:t>Trials.</w:t>
      </w:r>
      <w:r>
        <w:rPr>
          <w:color w:val="000000"/>
        </w:rPr>
        <w:t xml:space="preserve"> </w:t>
      </w:r>
      <w:r>
        <w:rPr>
          <w:rFonts w:ascii="Times New Roman;sans-serif" w:hAnsi="Times New Roman;sans-serif"/>
          <w:b w:val="false"/>
          <w:color w:val="000000"/>
          <w:sz w:val="20"/>
        </w:rPr>
        <w:t>Trial projects typically consist of several phases including project kickoff, design, data integration, configuration, validation and final demonstration. These trials are typically fixed-price eight to 16-week product trials during which the Company works with customers to define a specific business problem or use case and address the use case using AI-based predictive analytics. During the trial, the Company integrates data, configures ML algorithms supporting the use case, and configures a user interface to present the resulting insights. At the end of a trial, the Company demonstrates a working application that shows the utility, benefit, and economic value to be gained from a production deployment of big data, analytics, and ML applications. These paid trials are solely meant to demonstrate the feasibility of the Company’s offering to the customer and provide them with a level of confidence to encourage them to enter into a large, multi-year arrangement with the Company. Trial revenue is recognized over time during the production pilot period.</w:t>
      </w:r>
    </w:p>
    <w:p>
      <w:pPr>
        <w:pStyle w:val="TextBody"/>
        <w:bidi w:val="0"/>
        <w:spacing w:lineRule="auto" w:line="288" w:before="0" w:after="180"/>
        <w:jc w:val="both"/>
        <w:rPr/>
      </w:pPr>
      <w:r>
        <w:rPr>
          <w:color w:val="000000"/>
        </w:rPr>
        <w:t>•</w:t>
      </w:r>
      <w:r>
        <w:rPr>
          <w:rFonts w:ascii="Times New Roman;sans-serif" w:hAnsi="Times New Roman;sans-serif"/>
          <w:b w:val="false"/>
          <w:i/>
          <w:color w:val="000000"/>
          <w:sz w:val="20"/>
        </w:rPr>
        <w:t>Hosting Services.</w:t>
      </w:r>
      <w:r>
        <w:rPr>
          <w:color w:val="000000"/>
        </w:rPr>
        <w:t xml:space="preserve"> </w:t>
      </w:r>
      <w:r>
        <w:rPr>
          <w:rFonts w:ascii="Times New Roman;sans-serif" w:hAnsi="Times New Roman;sans-serif"/>
          <w:b w:val="false"/>
          <w:color w:val="000000"/>
          <w:sz w:val="20"/>
        </w:rPr>
        <w:t>For certain customers, the Company provides access to the C3 AI Platform and/or C3 AI Applications in the Company’s cloud environment. The customer consumes and receives benefit throughout the hosting period from the entity’s performance of hosting and providing access to the hosted software, which the customer would otherwise have to undertake itself or obtain another party to do. The Company recognizes hosting services over time based on the consumption patterns of the customers. Customers who choose to install the C3 AI Platform and/or C3 AI Applications in their own cloud environments do not subscribe to the Company’s hosting services. Hosting services are generally offered as part of the subscription for C3 AI Platform and/or C3 AI Application arrangements, including pilots and the amount of revenue recognized on a monthly basis varies based on actual consumption by the customer.</w:t>
      </w:r>
    </w:p>
    <w:p>
      <w:pPr>
        <w:pStyle w:val="TextBody"/>
        <w:bidi w:val="0"/>
        <w:spacing w:lineRule="auto" w:line="288" w:before="0" w:after="180"/>
        <w:jc w:val="both"/>
        <w:rPr/>
      </w:pPr>
      <w:r>
        <w:rPr>
          <w:color w:val="000000"/>
        </w:rPr>
        <w:t>•</w:t>
      </w:r>
      <w:r>
        <w:rPr>
          <w:rFonts w:ascii="Times New Roman;sans-serif" w:hAnsi="Times New Roman;sans-serif"/>
          <w:b w:val="false"/>
          <w:i/>
          <w:color w:val="000000"/>
          <w:sz w:val="20"/>
        </w:rPr>
        <w:t>C3 AI Ex Machina</w:t>
      </w:r>
      <w:r>
        <w:rPr>
          <w:rFonts w:ascii="Times New Roman;sans-serif" w:hAnsi="Times New Roman;sans-serif"/>
          <w:b w:val="false"/>
          <w:color w:val="000000"/>
          <w:sz w:val="20"/>
        </w:rPr>
        <w:t>. C3 AI Ex Machina is a no-code solution that provides secure, easy access to analysis-ready data, and enables business analysts without data science training to rapidly perform data science tasks such as building, configuring, training, and visualizing AI models. It offers a graphical interface that allows users to connect rapidly to enterprise data stores, and export results to other enterprise applications. C3 AI Ex Machina is offered via a monthly subscription or longer-term subscriptions and can be hosted by the Company or hosted by a customer. Revenue from C3 AI Ex Machina is generated through fixed fee and/or usage-based royalties.</w:t>
      </w:r>
    </w:p>
    <w:p>
      <w:pPr>
        <w:pStyle w:val="TextBody"/>
        <w:bidi w:val="0"/>
        <w:spacing w:lineRule="auto" w:line="288" w:before="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Professional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professional services primarily include implementation services, training and prioritized engineering services. The Company offers a complete range of professional service support both onsite and remotely, including training, application design, project management, system design, data modeling, data integration, application design, development support, data science, and application and AI Platform administration support. Professional services fees are based on the level of effort required to perform such tasks and are typically a fixed-fee engagement with a duration of less than 12 months. Prioritized engineering services are undertaken at the request of customers to accelerate the development of software features in C3 AI software products. These features are typically part of the Company’s product roadmap, but the customer contracts with the Company to obtain such features on a time-accelerated basis.</w:t>
      </w:r>
    </w:p>
    <w:p>
      <w:pPr>
        <w:pStyle w:val="TextBody"/>
        <w:bidi w:val="0"/>
        <w:spacing w:lineRule="auto" w:line="288" w:before="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balances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typically invoices customers for subscription fees in annual increments upon execution of the initial contract or subsequent renewal, payable within 30 to 60 days, and providing customers access to the C3 AI Platform and/or C3 AI Applications. For pilots, the Company typically invoices customers upon execution of the six-month contract. Monthly usage-based runtime and hosting charges are billed as they are delivered or in arrears. Certain government contracts are cancellable during the subscription term depending on the future fiscal funding available to the contract. The Company has not experienced any cancellation due to the funding constraint related to such contracts.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may differ from the timing of invoicing to customers. Accounts receivable are recorded at the invoiced amount, net of an allowance for doubtful accounts. A receivable is recognized in the period the Company delivers goods or provides services, or when the Company’s right to consideration is unconditional, whichever is earlier. In situations where revenue recognition occurs before invoicing, an unbilled receivable is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the timing of revenue recognition usually differs from the timing of payment, the Company has determined the contracts generally do not include a significant financing component, because the period between when the Company transfers its software and services to a customer and when the customer pays for the software and service is typically one year or less. The primary purpose of the invoicing terms is to provide customers with simplified and predictable ways of purchasing the Company’s software and services, not to receive financing from the customers or to provide customers with financing.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Costs to Obtain and Fulfill a Contract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customer acquisition costs are primarily related to sales commissions if such costs are incremental costs to obtain a contract without a service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commissions are deferred and then amortized taking into consideration the pattern of transfer to which assets relate. If the commissions paid on the initial and renewal contracts are not commensurate to each other, the Company amortizes the commissions paid on the initial contract over an expected period of benefit, including expected renewals, which is determined to be approximately five years. In arriving at the average period of benefit the Company considered the duration of the Company’s relationships with customers and the Company’s technology. Sales commissions for renewal contracts are generally deferred and amortized over the contract period. Sales commissions are expensed as incurred when the expected amortization period is one year or less.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Costs to obtain and fulfill a contract that will be amortized within the succeeding 12-month period are classified as current and included in prepaid expenses and other current assets on the consolidated balance sheets. The remaining balance is classified as non-current and are included in other assets on the consolidated balance sheets. Amortization expense is included in sales and marketing expenses in the consolidated statements of operations. Deferred commissions are periodically analyzed for impairment.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 consists primarily of costs related to compensation, including salaries, bonuses, benefits, stock-based compensation and other related expenses for the production environment, support and COE staff, hosting of the Company’s AI Platform, including payments to outside cloud service providers, and allocated overhead and depreciation for facilities.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revenue consists primarily of compensation, including salaries, bonuses, benefits, stock-based compensation and other related costs associated with the Company’s professional service personnel, and allocated overhead and depreciation for facilities.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Warranties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offerings are warranted to perform in a manner consistent with industry standards.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arrangements generally include provisions for indemnifying customers against liabilities if its services infringe on a third party’s intellectual property rights. They also generally include service-level agreements warranting defined levels of uptime reliability and performance.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consider such assurance-type warranties as performance obligations under ASC 606. To date, the Company has not incurred material costs as a result of its warranties and indemnifications. There are no accrued liabilities related to these obligations on the consolidated financial statements.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related to stock option awards, restricted stock units (“RSUs”) and employee stock awards related to the ESPP is recognized based on the fair value of the awards granted.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and ESPP awards are estimated on the grant date using the Black-Scholes option pricing model. The Black-Scholes option pricing model requires the input of assumptions, including the fair value of the underlying common stock, the expected term of the option, the expected volatility of the price of the Company’s common stock, risk-free interest rates, and the expected dividend yield of the Company’s common stock. Stock-based compensation expense is recognized following the straight-line attribution method over the requisite service period for options, and over the offering period for ESPP awards.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RSUs include time-based RSUs and performance-based RSUs with market conditions (“PRSUs”). The fair value of each time-based RSU is based on the fair value of the Company’s common stock on the date of grant. The fair value of each PRSU is measured using a Monte Carlo simulation valuation model which requires the use of various assumptions, including the stock price volatility and risk-free interest rate as of the valuation date corresponding to the length of time remaining in the performance period. Stock-based compensation expense for awards with market conditions is recognized over the requisite service period using the accelerated attribution method and is not reversed if the market condition is not met. The related stock-based compensation expense is recognized on a straight-line basis over the requisite service period of the awards.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forfeitures as they occur.</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employee-related costs, including salaries, bonuses, benefits, and stock-based compensation for personnel involved in developing and refining platforms and applications, including adding new features and modules, increasing their functionality, and enhancing the usability of platforms and applications. Research and development expenses also include cloud infrastructure costs, other IT-related costs, and allocated overhead and depreciation for facilities. This includes development of features and modules created through prioritized engineering services purchased by customers where the Company retains the related intellectual property. Research and development costs are expensed as incurred.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Advertising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expenses of $6.9 million, $51.9 million and $35.3 million incurred during the fiscal years ended April 30, 2023, 2022 and 2021, respectively, were expensed as incurred as a component of sales and marketing expenses on the consolidated statements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tax deferred savings plan under which eligible employees may elect to have a portion of their salary deferred and contributed to the plan. Employer matching contributions are determined by the Company and are discretionary. During the fiscal years ended April 30, 2023, 2022 and 2021, the Company did not match any employee contributions.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subsidiaries is the U.S. dollar. Accordingly, monetary assets and liabilities of the Company’s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recognized in other income (expense), net within the consolidated statements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using the asset and liability method, which requires the recognition of deferred tax assets and liabilities for the expected future tax consequences of events that have been included in the consolidated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are recognized to the extent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is able to realize its deferred tax assets in the future in excess of their net recorded amount, the Company records an adjustment to the deferred tax asset valuation allowance, which reduces the provision for income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Tax benefits from uncertain tax positions are recognized only if it is more likely than not that the tax position will be sustained on examination by the taxing authorities, based on the technical merits of the position. The tax benefits recognized in the Company’s consolidated financial statements from such positions are measured based on the largest benefit that has a greater than 50% likelihood of being realized. Interest and penalties are recognized associated with tax matters as part of the income tax provision and include accrued interest and penalties with the related income tax liability on the Company’s consolidated balance sheets.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Net Loss Per Share Attributable to Common Stockholders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is presented in conformity with the two-class method required for participating securities. The rights, including the liquidation and dividend rights, of the holders of Class A and Class B common stock are identical, except with respect to voting and conversion. As the liquidation and dividend rights are identical, the undistributed earnings are allocated on a proportionate basis and the resulting net loss per share will, therefore, be the same for both Class A and Class B common stock on an individual or combined basis. Class A-1 common shares has a liquidation preference, but is legal form common stock and participates in losses equally with all common stockholders. The net loss is allocated on a proportionate basis to participating securities and the resulting net loss per share attributable to common stockholders was the same for Class A, Class A-1, and Class B common shares.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RSUs and ESPP. As the Company has reported losses for all periods presented, all potentially dilutive securities are antidilutive and accordingly, basic net loss per share equals diluted net loss per share.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Comprehensive Income (Loss)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during the fiscal years ended April 30, 2023, 2022 and 2021, was related to unrealized gains or losses from available-for-sale marketable securities.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0" w:after="180"/>
        <w:jc w:val="both"/>
        <w:rPr/>
      </w:pPr>
      <w:r>
        <w:rPr>
          <w:rFonts w:ascii="Times New Roman;sans-serif" w:hAnsi="Times New Roman;sans-serif"/>
          <w:b w:val="false"/>
          <w:color w:val="000000"/>
          <w:sz w:val="20"/>
        </w:rPr>
        <w:t xml:space="preserve">Operating segments are defined as components of an entity where discrete financial information is evaluated regularly by the chief operating decision maker in deciding how to allocate resources and assessing performance. The Company has identified its Chief Executive Officer (“CEO”) as the chief operating decision maker (“CODM”). The Company operates in one operating segment. The Company’s CODM allocates resources and assesses performance at the consolidated level. See </w:t>
      </w:r>
      <w:r>
        <w:rPr>
          <w:rFonts w:ascii="Times New Roman;sans-serif" w:hAnsi="Times New Roman;sans-serif"/>
          <w:b w:val="false"/>
          <w:i/>
          <w:color w:val="000000"/>
          <w:sz w:val="20"/>
        </w:rPr>
        <w:t>Note 2. Revenue</w:t>
      </w:r>
      <w:r>
        <w:rPr>
          <w:color w:val="000000"/>
        </w:rPr>
        <w:t xml:space="preserve"> </w:t>
      </w:r>
      <w:r>
        <w:rPr>
          <w:rFonts w:ascii="Times New Roman;sans-serif" w:hAnsi="Times New Roman;sans-serif"/>
          <w:b w:val="false"/>
          <w:color w:val="000000"/>
          <w:sz w:val="20"/>
        </w:rPr>
        <w:t>for revenue by geographic region. The Company’s property and equipment, net, are primarily located in the United States. No single other country accounted for more than 10% of total property and equipment, net as of April 30, 2023 and 2022.</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Contribution Accounting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an agreement establishing the C3.ai Digital Transformation Institute (“C3.ai DTI”), a program established to attract the world’s leading scientists to join in a coordinated and innovative effort to advance the digital transformation of business, government, and society. As part of the agreement, the Company issued cash grants to C3.ai DTI which are conditional in nature and subject to execution of the program in line with specific requirements on a quarterly basis. The cash grants do not represent an exchange transaction since there is not a commensurate transfer of resources at fair value, resulting in the application of the contribution accounting model. Contributions are allocated between sales and marketing and research and development based on the estimated benefits received by the Company. The Company’s initial contribution to C3.ai DTI provided equal benefits across sales and marketing and research and development. From fiscal year 2021, the Company expected contributions to C3.ai DTI to primarily benefit its research and development efforts. The Company recognized nil, $11.5 million and $2.7 million of expense related to the contribution in research and development for the years ended April 30, 2023, 2022 and 2021,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2.Revenue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by geographical region (in thousands):</w:t>
      </w:r>
    </w:p>
    <w:tbl>
      <w:tblPr>
        <w:tblW w:w="7272" w:type="dxa"/>
        <w:jc w:val="left"/>
        <w:tblInd w:w="0" w:type="dxa"/>
        <w:tblLayout w:type="fixed"/>
        <w:tblCellMar>
          <w:top w:w="28" w:type="dxa"/>
          <w:left w:w="28" w:type="dxa"/>
          <w:bottom w:w="28" w:type="dxa"/>
          <w:right w:w="28" w:type="dxa"/>
        </w:tblCellMar>
      </w:tblPr>
      <w:tblGrid>
        <w:gridCol w:w="1133"/>
        <w:gridCol w:w="999"/>
        <w:gridCol w:w="1003"/>
        <w:gridCol w:w="211"/>
        <w:gridCol w:w="826"/>
        <w:gridCol w:w="109"/>
        <w:gridCol w:w="109"/>
        <w:gridCol w:w="109"/>
        <w:gridCol w:w="109"/>
        <w:gridCol w:w="211"/>
        <w:gridCol w:w="826"/>
        <w:gridCol w:w="109"/>
        <w:gridCol w:w="109"/>
        <w:gridCol w:w="109"/>
        <w:gridCol w:w="109"/>
        <w:gridCol w:w="211"/>
        <w:gridCol w:w="82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North America</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Europe, the Middle East and Africa</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Asia Pacific</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 of World</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United States comprised 79%, 78% and 65% of the Company’s revenue in the fiscal years ended April 30, 2023, 2022 and 2021, respectively. No other country comprised 10% or greater of the Company’s revenue for each of the fiscal years ended April 30, 2023 and 2022. France and the Netherlands comprised 12% and 12%, respectively, of the Company’s revenue in the fiscal years ended April 30, 2021.</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and 2022, the Company's deferred revenue balances were $47.9 million and $49.1 million, respectively. Revenue of $48.9 million and $71.6 million was recognized during the fiscal years ended April 30, 2023 and 2022, respectively, that was included in the deferred revenue balances as of April 30, 2022 and 2021,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are committed and represent non-cancellable contracted revenue that have not yet been recognized and will be recognized as revenue in future periods. Some contracts allow customers to cancel the contracts without a significant penalty, and the cancellable amount of the contract value is not included in the remaining performance obligations.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excludes amounts related to performance obligations and usage-based royalties that are billed and recognized as they are delivered or billed and recognized in the same period. These primarily consist of monthly usage-based runtime and hosting charges in the duration of some revenue contracts.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expected to be recognized from remaining performance obligations was approximately $381.4 million as of April 30, 2023 of which $186.3 million is expected to be recognized over the next 12 months and the remainder thereafter.</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Costs to Obtain or Fulfill a Contract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and 2022, the amount of costs to obtain and fulfill a contract included in prepaid expenses and other current assets was $6.2 million and $5.7 million, respectively. The amount of costs to obtain and fulfill a contract included in other assets, non-current as of April 30, 2023 and 2022 were $14.5 million and $18.2 million, respectively. Expenses recognized for costs to obtain and fulfill a contract for the years ended April 30, 2023, 2022 and 2021 were $5.9 million, $5.1 million and $1.2 million, respectively, and are included in sales and marketing expenses on the consolidated statements of operations. The Company recognized an immaterial impairment cost related to costs to obtain or fulfill a contract for the fiscal years ended April 30, 2023 and 2022, respectively. There were no impairments related to costs to obtain or fulfill a contract for the fiscal year ended April 30,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Customer Concentration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Company’s Customer-Entities consist of corporate and governmental entities. A limited number of Customer-Entities have accounted for a large part of the Company’s revenue and accounts receivable to date. For the purpose of determining customer concentration and accounts receivable, unbilled receivables have been excluded from accounts receivable balance. One Customer-Entity accounted for 35% of revenue for the year ended April 30, 2023. One Customer-Entity accounted for 31% of revenue for the year ended April 30, 2022. Two separate Customer-Entities accounted for 19% and 12%, respectively, of revenue for the year ended April 30, 2021. Two separate Customer-Entities accounted for 20% and 18% of accounts receivable at April 30, 2023. Three separate Customer-Entities accounted for 32%, 13% and 12% of accounts receivable at April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3.Fair Value Measurements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primarily of cash equivalents, restricted cash, available-for-sale marketable securities, accounts receivable, and accounts payable. Cash equivalents and available-for-sale marketable securities are reported at their respective fair values on the consolidated balance sheets. The remaining financial instruments are reported on the consolidated balance sheets at amounts that approximate current fair values.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types of assets measured at fair value on a recurring basis by level within the fair value hierarchy (in thousands):</w:t>
      </w:r>
    </w:p>
    <w:tbl>
      <w:tblPr>
        <w:tblW w:w="12133" w:type="dxa"/>
        <w:jc w:val="left"/>
        <w:tblInd w:w="0" w:type="dxa"/>
        <w:tblLayout w:type="fixed"/>
        <w:tblCellMar>
          <w:top w:w="28" w:type="dxa"/>
          <w:left w:w="28" w:type="dxa"/>
          <w:bottom w:w="28" w:type="dxa"/>
          <w:right w:w="28" w:type="dxa"/>
        </w:tblCellMar>
      </w:tblPr>
      <w:tblGrid>
        <w:gridCol w:w="776"/>
        <w:gridCol w:w="459"/>
        <w:gridCol w:w="341"/>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2022</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available-for-sale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securities classified as Level 2 financial instruments was determined based on third-party pricing services. The pricing services utilize industry standard valuation models, including both income- and market-based approaches, for which all significant inputs are observable, either directly or indirectly, to estimate fair value. Inputs used for fair value measurement categorized as Level 2 include benchmark yields, reported trades, broker or dealer quotes, issuer spreads, two-sided markets, benchmark securities, bids, offers, and reference data including market research publications.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4.Investments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Equivalents and Available-for-Sale Marketable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cash equivalents and available-for-sale marketable securities (in thousands):</w:t>
      </w:r>
    </w:p>
    <w:tbl>
      <w:tblPr>
        <w:tblW w:w="12103" w:type="dxa"/>
        <w:jc w:val="left"/>
        <w:tblInd w:w="0" w:type="dxa"/>
        <w:tblLayout w:type="fixed"/>
        <w:tblCellMar>
          <w:top w:w="28" w:type="dxa"/>
          <w:left w:w="28" w:type="dxa"/>
          <w:bottom w:w="28" w:type="dxa"/>
          <w:right w:w="28" w:type="dxa"/>
        </w:tblCellMar>
      </w:tblPr>
      <w:tblGrid>
        <w:gridCol w:w="776"/>
        <w:gridCol w:w="459"/>
        <w:gridCol w:w="341"/>
        <w:gridCol w:w="211"/>
        <w:gridCol w:w="826"/>
        <w:gridCol w:w="109"/>
        <w:gridCol w:w="109"/>
        <w:gridCol w:w="109"/>
        <w:gridCol w:w="109"/>
        <w:gridCol w:w="237"/>
        <w:gridCol w:w="525"/>
        <w:gridCol w:w="124"/>
        <w:gridCol w:w="109"/>
        <w:gridCol w:w="109"/>
        <w:gridCol w:w="109"/>
        <w:gridCol w:w="233"/>
        <w:gridCol w:w="532"/>
        <w:gridCol w:w="121"/>
        <w:gridCol w:w="109"/>
        <w:gridCol w:w="109"/>
        <w:gridCol w:w="109"/>
        <w:gridCol w:w="211"/>
        <w:gridCol w:w="826"/>
        <w:gridCol w:w="109"/>
        <w:gridCol w:w="109"/>
        <w:gridCol w:w="109"/>
        <w:gridCol w:w="109"/>
        <w:gridCol w:w="211"/>
        <w:gridCol w:w="826"/>
        <w:gridCol w:w="109"/>
        <w:gridCol w:w="109"/>
        <w:gridCol w:w="109"/>
        <w:gridCol w:w="109"/>
        <w:gridCol w:w="257"/>
        <w:gridCol w:w="495"/>
        <w:gridCol w:w="134"/>
        <w:gridCol w:w="109"/>
        <w:gridCol w:w="109"/>
        <w:gridCol w:w="109"/>
        <w:gridCol w:w="211"/>
        <w:gridCol w:w="631"/>
        <w:gridCol w:w="109"/>
        <w:gridCol w:w="109"/>
        <w:gridCol w:w="109"/>
        <w:gridCol w:w="109"/>
        <w:gridCol w:w="211"/>
        <w:gridCol w:w="82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2022</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available-for-sale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available-for-sale marketable securities by contractual maturity (in thousands):</w:t>
      </w:r>
    </w:p>
    <w:tbl>
      <w:tblPr>
        <w:tblW w:w="8583" w:type="dxa"/>
        <w:jc w:val="left"/>
        <w:tblInd w:w="0" w:type="dxa"/>
        <w:tblLayout w:type="fixed"/>
        <w:tblCellMar>
          <w:top w:w="28" w:type="dxa"/>
          <w:left w:w="28" w:type="dxa"/>
          <w:bottom w:w="28" w:type="dxa"/>
          <w:right w:w="28" w:type="dxa"/>
        </w:tblCellMar>
      </w:tblPr>
      <w:tblGrid>
        <w:gridCol w:w="1003"/>
        <w:gridCol w:w="884"/>
        <w:gridCol w:w="888"/>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2022</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527,958 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654,862 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values and unrealized losses of the Company’s available-for-sale marketable securities classified by length of time that the securities have been in a continuous unrealized loss position but were not deemed to be other-than-temporarily impaired, as of April 30, 2023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776"/>
        <w:gridCol w:w="567"/>
        <w:gridCol w:w="569"/>
        <w:gridCol w:w="285"/>
        <w:gridCol w:w="658"/>
        <w:gridCol w:w="148"/>
        <w:gridCol w:w="109"/>
        <w:gridCol w:w="109"/>
        <w:gridCol w:w="109"/>
        <w:gridCol w:w="211"/>
        <w:gridCol w:w="826"/>
        <w:gridCol w:w="109"/>
        <w:gridCol w:w="109"/>
        <w:gridCol w:w="109"/>
        <w:gridCol w:w="109"/>
        <w:gridCol w:w="316"/>
        <w:gridCol w:w="610"/>
        <w:gridCol w:w="164"/>
        <w:gridCol w:w="109"/>
        <w:gridCol w:w="109"/>
        <w:gridCol w:w="109"/>
        <w:gridCol w:w="211"/>
        <w:gridCol w:w="721"/>
        <w:gridCol w:w="109"/>
        <w:gridCol w:w="109"/>
        <w:gridCol w:w="109"/>
        <w:gridCol w:w="109"/>
        <w:gridCol w:w="285"/>
        <w:gridCol w:w="658"/>
        <w:gridCol w:w="148"/>
        <w:gridCol w:w="109"/>
        <w:gridCol w:w="109"/>
        <w:gridCol w:w="109"/>
        <w:gridCol w:w="211"/>
        <w:gridCol w:w="826"/>
        <w:gridCol w:w="162"/>
      </w:tblGrid>
      <w:tr>
        <w:trPr/>
        <w:tc>
          <w:tcPr>
            <w:tcW w:w="77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2023</w:t>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 securities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178,676 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the Company had 119 investment positions that were in an unrealized loss position. As of April 30, 2022, the Company had 284 investment positions in an unrealized loss position. No investments were other-than-temporarily impaired as of April 30, 2023, 2022 or 2021. The Company considers factors such as the duration, the magnitude and the reason for the decline in value, the potential recovery period, creditworthiness of the issuers of the securities and its intent to sell. For marketable securities, it also considers whether (i) it is more likely than not that the Company will be required to sell the debt securities before recovery of their amortized cost basis, and (ii) the amortized cost basis cannot be recovered as a result of credit losses. No significant facts or circumstances have arisen to indicate that there has been any significant deterioration in the creditworthiness of the issuers of the securities held by the Company. Based on the Company’s review of these securities, including the assessment of the duration and severity of the unrealized losses and the Company’s ability and intent to hold the investments until maturity, there were no other-than-temporary impairments for these marketable securities as of April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5.Balance Sheet Details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as of April 30, 2023 and 2022 (in thousands):</w:t>
      </w:r>
    </w:p>
    <w:tbl>
      <w:tblPr>
        <w:tblW w:w="6335" w:type="dxa"/>
        <w:jc w:val="left"/>
        <w:tblInd w:w="0" w:type="dxa"/>
        <w:tblLayout w:type="fixed"/>
        <w:tblCellMar>
          <w:top w:w="28" w:type="dxa"/>
          <w:left w:w="28" w:type="dxa"/>
          <w:bottom w:w="28" w:type="dxa"/>
          <w:right w:w="28" w:type="dxa"/>
        </w:tblCellMar>
      </w:tblPr>
      <w:tblGrid>
        <w:gridCol w:w="951"/>
        <w:gridCol w:w="835"/>
        <w:gridCol w:w="839"/>
        <w:gridCol w:w="309"/>
        <w:gridCol w:w="309"/>
        <w:gridCol w:w="311"/>
        <w:gridCol w:w="109"/>
        <w:gridCol w:w="109"/>
        <w:gridCol w:w="109"/>
        <w:gridCol w:w="211"/>
        <w:gridCol w:w="721"/>
        <w:gridCol w:w="109"/>
        <w:gridCol w:w="109"/>
        <w:gridCol w:w="109"/>
        <w:gridCol w:w="109"/>
        <w:gridCol w:w="211"/>
        <w:gridCol w:w="721"/>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progress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*Leasehold improvements are amortized over the shorter of the estimated useful lives of the improvements or the remaining lease term.</w:t>
      </w:r>
    </w:p>
    <w:p>
      <w:pPr>
        <w:pStyle w:val="TextBody"/>
        <w:bidi w:val="0"/>
        <w:spacing w:lineRule="auto" w:line="288" w:before="0" w:after="180"/>
        <w:jc w:val="both"/>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Capital in progress primarily consisted of costs related to various leasehold improvements in connection with the additional leased space that has not yet been placed into service.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related to property and equipment was $5.0 million, $4.4 million, and $4.0 million for the fiscal years ended April 30, 2023, 2022 and 2021,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Accrued Compensation and Employee Benefits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 consisted of the following as of April 30, 2023 and 2022 (in thousands):</w:t>
      </w:r>
    </w:p>
    <w:tbl>
      <w:tblPr>
        <w:tblW w:w="6309" w:type="dxa"/>
        <w:jc w:val="left"/>
        <w:tblInd w:w="0" w:type="dxa"/>
        <w:tblLayout w:type="fixed"/>
        <w:tblCellMar>
          <w:top w:w="28" w:type="dxa"/>
          <w:left w:w="28" w:type="dxa"/>
          <w:bottom w:w="28" w:type="dxa"/>
          <w:right w:w="28" w:type="dxa"/>
        </w:tblCellMar>
      </w:tblPr>
      <w:tblGrid>
        <w:gridCol w:w="1397"/>
        <w:gridCol w:w="1227"/>
        <w:gridCol w:w="1231"/>
        <w:gridCol w:w="211"/>
        <w:gridCol w:w="721"/>
        <w:gridCol w:w="109"/>
        <w:gridCol w:w="109"/>
        <w:gridCol w:w="109"/>
        <w:gridCol w:w="109"/>
        <w:gridCol w:w="211"/>
        <w:gridCol w:w="721"/>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stock-settled bonus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taxes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contributions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Accrued and Other Current Liabilities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 consisted of the following as of April 30, 2023 and 2022 (in thousands):</w:t>
      </w:r>
    </w:p>
    <w:tbl>
      <w:tblPr>
        <w:tblW w:w="6893" w:type="dxa"/>
        <w:jc w:val="left"/>
        <w:tblInd w:w="0" w:type="dxa"/>
        <w:tblLayout w:type="fixed"/>
        <w:tblCellMar>
          <w:top w:w="28" w:type="dxa"/>
          <w:left w:w="28" w:type="dxa"/>
          <w:bottom w:w="28" w:type="dxa"/>
          <w:right w:w="28" w:type="dxa"/>
        </w:tblCellMar>
      </w:tblPr>
      <w:tblGrid>
        <w:gridCol w:w="1608"/>
        <w:gridCol w:w="1413"/>
        <w:gridCol w:w="1418"/>
        <w:gridCol w:w="211"/>
        <w:gridCol w:w="721"/>
        <w:gridCol w:w="109"/>
        <w:gridCol w:w="109"/>
        <w:gridCol w:w="109"/>
        <w:gridCol w:w="109"/>
        <w:gridCol w:w="211"/>
        <w:gridCol w:w="721"/>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common stock exercised prior to vesting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payable to a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general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Note 6. Leases</w:t>
      </w:r>
      <w:r>
        <w:rPr>
          <w:color w:val="000000"/>
        </w:rPr>
        <w:t xml:space="preserve"> </w:t>
      </w:r>
      <w:r>
        <w:rPr>
          <w:rFonts w:ascii="Times New Roman;sans-serif" w:hAnsi="Times New Roman;sans-serif"/>
          <w:b w:val="false"/>
          <w:color w:val="000000"/>
          <w:sz w:val="20"/>
        </w:rPr>
        <w:t>for more information regarding the Company’s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6.Leases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its facilities for office space under non-cancellable operating leases with various expiration dates through the fiscal year ending April 30, 2033. Certain lease agreements include options to renew or terminate the applicable lease, which are not reasonably certain to be exercised and therefore are not factored into the determination of lease payments.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25, 2021, the Company entered into a new lease to acquire approximately 283,015 square feet of office space in several phases in Redwood City, California. Total undiscounted base rent payments over the term of this lease are approximately $103.1 million. In addition to base rent, the Company will be responsible for the Company’s allocated share of costs incurred and expenditures made by the landlord in the operation and management of the leased space. Under the terms of the lease agreement, the Company has a rent abatement with respect to each phase for the initial six months following the rent commencement date for such phase, with initial monthly base rent payments expected to commence April 1, 2023, which will be approximately $0.5 million at commencement and will increase up to a maximum monthly base rent of approximately $1.0 million. The lease agreement also includes an aggregate tenant improvement allowance of $44.2 million for certain costs. The term of the lease is 126 months from the date that rent commences with respect to phase one of the leased space, which will be nine months after the date when phase one of the leased space is delivered to the Company. Pursuant to the lease agreement, the Company provided the landlord an unconditional and irrevocable letter of credit of $12.6 million, which is subject to reduction pursuant to the terms of the lease agreement. The lease commencement date of the first two phases was determined to have occurred in the quarter ended January 31, 2022, when the landlord delivered the applicable leased space to the Company. The lease commencement date of the third phase was determined to have occurred in the quarter ended October 31, 2022, when the landlord delivered the leased space to the Company. The lease commencement date of the fourth phase was determined to have occurred in the quarter ended April 30, 2023, when the landlord delivered the leased space to the Company. The lease commencement date of other phases will be determined when the landlord delivers the applicable leased space to the Company.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total lease costs, including variable lease costs, for the fiscal years ended April 30, 2023 and 2022 were as follows (in thousands):</w:t>
      </w:r>
    </w:p>
    <w:tbl>
      <w:tblPr>
        <w:tblW w:w="4536" w:type="dxa"/>
        <w:jc w:val="left"/>
        <w:tblInd w:w="0" w:type="dxa"/>
        <w:tblLayout w:type="fixed"/>
        <w:tblCellMar>
          <w:top w:w="28" w:type="dxa"/>
          <w:left w:w="28" w:type="dxa"/>
          <w:bottom w:w="28" w:type="dxa"/>
          <w:right w:w="28" w:type="dxa"/>
        </w:tblCellMar>
      </w:tblPr>
      <w:tblGrid>
        <w:gridCol w:w="672"/>
        <w:gridCol w:w="591"/>
        <w:gridCol w:w="597"/>
        <w:gridCol w:w="109"/>
        <w:gridCol w:w="109"/>
        <w:gridCol w:w="109"/>
        <w:gridCol w:w="211"/>
        <w:gridCol w:w="721"/>
        <w:gridCol w:w="109"/>
        <w:gridCol w:w="109"/>
        <w:gridCol w:w="109"/>
        <w:gridCol w:w="109"/>
        <w:gridCol w:w="211"/>
        <w:gridCol w:w="616"/>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Lease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pPr>
      <w:r>
        <w:rPr>
          <w:rFonts w:ascii="Times New Roman;sans-serif" w:hAnsi="Times New Roman;sans-serif"/>
          <w:b w:val="false"/>
          <w:color w:val="000000"/>
          <w:sz w:val="20"/>
        </w:rPr>
        <w:t xml:space="preserve">On February 21, 2023, the Company entered into a sublease agreement with First Virtual Group, Inc. (the “Subtenant”), whereby the Company agreed to sublease to the Subtenant approximately 3,130 square feet of space located in Redwood City, California. Refer to </w:t>
      </w:r>
      <w:r>
        <w:rPr>
          <w:rFonts w:ascii="Times New Roman;sans-serif" w:hAnsi="Times New Roman;sans-serif"/>
          <w:b w:val="false"/>
          <w:i/>
          <w:color w:val="000000"/>
          <w:sz w:val="20"/>
        </w:rPr>
        <w:t>Note 13. Related Party Transactions</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lease costs are primarily related to payments made to the Company’s landlords for common area maintenance, property taxes, insurance, and other operating expenses. Short-term lease costs primarily represent payments related to marketing arrangements that contain embedded short-term leases of billboards. Supplemental cash flow information and non-cash activity related to leases was as follows (in thousands): </w:t>
      </w:r>
    </w:p>
    <w:tbl>
      <w:tblPr>
        <w:tblW w:w="10205" w:type="dxa"/>
        <w:jc w:val="left"/>
        <w:tblInd w:w="0" w:type="dxa"/>
        <w:tblLayout w:type="fixed"/>
        <w:tblCellMar>
          <w:top w:w="28" w:type="dxa"/>
          <w:left w:w="28" w:type="dxa"/>
          <w:bottom w:w="28" w:type="dxa"/>
          <w:right w:w="28" w:type="dxa"/>
        </w:tblCellMar>
      </w:tblPr>
      <w:tblGrid>
        <w:gridCol w:w="2321"/>
        <w:gridCol w:w="1949"/>
        <w:gridCol w:w="1959"/>
        <w:gridCol w:w="109"/>
        <w:gridCol w:w="109"/>
        <w:gridCol w:w="109"/>
        <w:gridCol w:w="211"/>
        <w:gridCol w:w="651"/>
        <w:gridCol w:w="109"/>
        <w:gridCol w:w="109"/>
        <w:gridCol w:w="109"/>
        <w:gridCol w:w="109"/>
        <w:gridCol w:w="211"/>
        <w:gridCol w:w="721"/>
        <w:gridCol w:w="109"/>
        <w:gridCol w:w="109"/>
        <w:gridCol w:w="109"/>
        <w:gridCol w:w="109"/>
        <w:gridCol w:w="211"/>
        <w:gridCol w:w="616"/>
        <w:gridCol w:w="156"/>
      </w:tblGrid>
      <w:tr>
        <w:trPr/>
        <w:tc>
          <w:tcPr>
            <w:tcW w:w="2321"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included in the measurement of operating lease liabilities – operating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 (including remeasurement of right-of-use assets and lease liabilities due to changes in the timing of receipt of lease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 arising from lease modifications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lease balances within the consolidated balance sheets, weighted-average remaining lease term, and weighted-average discount rates related to the Company’s operating leases (in thousands):</w:t>
      </w:r>
    </w:p>
    <w:tbl>
      <w:tblPr>
        <w:tblW w:w="7877" w:type="dxa"/>
        <w:jc w:val="left"/>
        <w:tblInd w:w="0" w:type="dxa"/>
        <w:tblLayout w:type="fixed"/>
        <w:tblCellMar>
          <w:top w:w="28" w:type="dxa"/>
          <w:left w:w="28" w:type="dxa"/>
          <w:bottom w:w="28" w:type="dxa"/>
          <w:right w:w="28" w:type="dxa"/>
        </w:tblCellMar>
      </w:tblPr>
      <w:tblGrid>
        <w:gridCol w:w="885"/>
        <w:gridCol w:w="777"/>
        <w:gridCol w:w="782"/>
        <w:gridCol w:w="144"/>
        <w:gridCol w:w="144"/>
        <w:gridCol w:w="144"/>
        <w:gridCol w:w="739"/>
        <w:gridCol w:w="739"/>
        <w:gridCol w:w="742"/>
        <w:gridCol w:w="109"/>
        <w:gridCol w:w="109"/>
        <w:gridCol w:w="109"/>
        <w:gridCol w:w="211"/>
        <w:gridCol w:w="721"/>
        <w:gridCol w:w="109"/>
        <w:gridCol w:w="109"/>
        <w:gridCol w:w="109"/>
        <w:gridCol w:w="109"/>
        <w:gridCol w:w="211"/>
        <w:gridCol w:w="721"/>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w:t>
            </w:r>
          </w:p>
        </w:tc>
      </w:tr>
      <w:tr>
        <w:trPr/>
        <w:tc>
          <w:tcPr>
            <w:tcW w:w="509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63" w:type="dxa"/>
        <w:jc w:val="left"/>
        <w:tblInd w:w="0" w:type="dxa"/>
        <w:tblLayout w:type="fixed"/>
        <w:tblCellMar>
          <w:top w:w="28" w:type="dxa"/>
          <w:left w:w="28" w:type="dxa"/>
          <w:bottom w:w="28" w:type="dxa"/>
          <w:right w:w="28" w:type="dxa"/>
        </w:tblCellMar>
      </w:tblPr>
      <w:tblGrid>
        <w:gridCol w:w="1485"/>
        <w:gridCol w:w="1308"/>
        <w:gridCol w:w="1317"/>
        <w:gridCol w:w="109"/>
        <w:gridCol w:w="109"/>
        <w:gridCol w:w="109"/>
        <w:gridCol w:w="203"/>
        <w:gridCol w:w="203"/>
        <w:gridCol w:w="271"/>
        <w:gridCol w:w="109"/>
        <w:gridCol w:w="109"/>
        <w:gridCol w:w="109"/>
        <w:gridCol w:w="203"/>
        <w:gridCol w:w="203"/>
        <w:gridCol w:w="316"/>
      </w:tblGrid>
      <w:tr>
        <w:trPr/>
        <w:tc>
          <w:tcPr>
            <w:tcW w:w="148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payments under lease obligations as of April 30, 2023 were as follows (in thousands):</w:t>
      </w:r>
    </w:p>
    <w:tbl>
      <w:tblPr>
        <w:tblW w:w="4707" w:type="dxa"/>
        <w:jc w:val="left"/>
        <w:tblInd w:w="0" w:type="dxa"/>
        <w:tblLayout w:type="fixed"/>
        <w:tblCellMar>
          <w:top w:w="28" w:type="dxa"/>
          <w:left w:w="28" w:type="dxa"/>
          <w:bottom w:w="28" w:type="dxa"/>
          <w:right w:w="28" w:type="dxa"/>
        </w:tblCellMar>
      </w:tblPr>
      <w:tblGrid>
        <w:gridCol w:w="1148"/>
        <w:gridCol w:w="1010"/>
        <w:gridCol w:w="1022"/>
        <w:gridCol w:w="109"/>
        <w:gridCol w:w="109"/>
        <w:gridCol w:w="109"/>
        <w:gridCol w:w="233"/>
        <w:gridCol w:w="797"/>
        <w:gridCol w:w="170"/>
      </w:tblGrid>
      <w:tr>
        <w:trPr/>
        <w:tc>
          <w:tcPr>
            <w:tcW w:w="114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April 30, 2023</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2029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Tenant improvement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Commitments and Contingencies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Non-cancellable Commitments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non-cancellable arrangement with a web-hosting services provider in November 2019. Under the arrangement, the Company committed to spend an aggregate of at least $30.0 million between November 2019 and November 2022, with a minimum amount of $10.0 million in each of the three years, on services with this vendor. The Company has incurred costs totaling $14.8 million, $13.9 million and $14.3 million under the arrangement during the fiscal years ended April 30, 2023, 2022 and 2021, respectively. The arrangement ended in November 2022.</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non-cancellable arrangement with a cloud services provider in July 2022. Under the arrangement, the Company committed to spend an aggregate of at least $100.0 million for the period of three years beginning July 2022, on services with this vendor. The Company has incurred costs totaling $8.3 million during the fiscal year ended April 30, 2023 under the arrangement.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C3.ai DTI Grants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2020, the Company entered into an agreement establishing the C3.ai DTI, a program established to attract many of the world’s leading research institutions to join in a coordinated and innovative effort to advance the digital transformation of business, government, and society. As part of the agreement, the Company has agreed to issue grants to C3.ai DTI, which are subject to compliance with certain obligations. The grants shall be paid by the Company over five years in the form of cash, publicly traded securities, or other property of equivalent net value. As of April 30, 2023 and 2022, the total potential remaining contributions are $31.6 million and $31.6 million, respectively. The future grant payments are conditional in nature and subject to execution of the program in line with specific requirements.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and periodically receives claims arising in the ordinary course of business.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Securities Litigation</w:t>
      </w:r>
    </w:p>
    <w:p>
      <w:pPr>
        <w:pStyle w:val="TextBody"/>
        <w:bidi w:val="0"/>
        <w:spacing w:lineRule="auto" w:line="288" w:before="0" w:after="180"/>
        <w:jc w:val="both"/>
        <w:rPr/>
      </w:pPr>
      <w:r>
        <w:rPr>
          <w:rFonts w:ascii="Times New Roman;sans-serif" w:hAnsi="Times New Roman;sans-serif"/>
          <w:b w:val="false"/>
          <w:color w:val="000000"/>
          <w:sz w:val="20"/>
        </w:rPr>
        <w:t xml:space="preserve">On March 4, 2022, a putative securities class action complaint (captioned </w:t>
      </w:r>
      <w:r>
        <w:rPr>
          <w:rFonts w:ascii="Times New Roman;sans-serif" w:hAnsi="Times New Roman;sans-serif"/>
          <w:b w:val="false"/>
          <w:i/>
          <w:color w:val="000000"/>
          <w:sz w:val="20"/>
        </w:rPr>
        <w:t>The Reckstin Family Trust v. C3.ai, Inc. et al.</w:t>
      </w:r>
      <w:r>
        <w:rPr>
          <w:rFonts w:ascii="Times New Roman;sans-serif" w:hAnsi="Times New Roman;sans-serif"/>
          <w:b w:val="false"/>
          <w:color w:val="000000"/>
          <w:sz w:val="20"/>
        </w:rPr>
        <w:t xml:space="preserve">, 22-cv-01413-HSG) was filed in the U.S. District Court for the Northern District of California against the Company, and certain current and former officers and directors. On December 12, 2022, the court appointed a lead plaintiff and lead counsel. On February 15, 2023, the lead plaintiff and three additional named plaintiffs filed an amended complaint. The amended complaint names as defendants the Company, four current and former officers and directors, the underwriters in the Company’s IPO, and Baker Hughes Company (“Baker Hughes”). The amended complaint generally alleges that the defendants made material misstatements or omissions about the Company’s partnership with Baker Hughes and the Company’s own salesforce. The amended complaint alleges that defendants made these misstatements or omissions in connection with the Company’s IPO in violation of Sections 11 and 15 of the Securities Act of 1933 and between December 9, 2020 and December 2, 2021, inclusive, in violation of Sections 10(b) and 20(a) of the Securities Exchange Act of 1934. The amended complaint further alleges that certain defendants engaged in insider trading in violation of Section 20A of the Securities Exchange Act of 1934. Plaintiffs seek unspecified damages, interest, fees and costs. All defendants have now moved to dismiss Plaintiffs’ amended complaint on May 1, 2023. Those motions are scheduled to be heard on August 17, 2023. </w:t>
      </w:r>
    </w:p>
    <w:p>
      <w:pPr>
        <w:pStyle w:val="TextBody"/>
        <w:bidi w:val="0"/>
        <w:spacing w:lineRule="auto" w:line="288" w:before="0" w:after="180"/>
        <w:jc w:val="both"/>
        <w:rPr/>
      </w:pPr>
      <w:r>
        <w:rPr>
          <w:rFonts w:ascii="Times New Roman;sans-serif" w:hAnsi="Times New Roman;sans-serif"/>
          <w:b w:val="false"/>
          <w:color w:val="000000"/>
          <w:sz w:val="20"/>
        </w:rPr>
        <w:t xml:space="preserve">Three putative shareholder derivative actions have been filed: (1) </w:t>
      </w:r>
      <w:r>
        <w:rPr>
          <w:rFonts w:ascii="Times New Roman;sans-serif" w:hAnsi="Times New Roman;sans-serif"/>
          <w:b w:val="false"/>
          <w:i/>
          <w:color w:val="000000"/>
          <w:sz w:val="20"/>
        </w:rPr>
        <w:t>Suri v. Siebel et al.</w:t>
      </w:r>
      <w:r>
        <w:rPr>
          <w:color w:val="000000"/>
        </w:rPr>
        <w:t xml:space="preserve"> </w:t>
      </w:r>
      <w:r>
        <w:rPr>
          <w:rFonts w:ascii="Times New Roman;sans-serif" w:hAnsi="Times New Roman;sans-serif"/>
          <w:b w:val="false"/>
          <w:color w:val="000000"/>
          <w:sz w:val="20"/>
        </w:rPr>
        <w:t xml:space="preserve">(22-cv-03031) filed on May 23, 2022 in the U.S. District Court for the Northern District of California; (2) </w:t>
      </w:r>
      <w:r>
        <w:rPr>
          <w:rFonts w:ascii="Times New Roman;sans-serif" w:hAnsi="Times New Roman;sans-serif"/>
          <w:b w:val="false"/>
          <w:i/>
          <w:color w:val="000000"/>
          <w:sz w:val="20"/>
        </w:rPr>
        <w:t>Rabasca v. Siebel et al.</w:t>
      </w:r>
      <w:r>
        <w:rPr>
          <w:color w:val="000000"/>
        </w:rPr>
        <w:t xml:space="preserve"> </w:t>
      </w:r>
      <w:r>
        <w:rPr>
          <w:rFonts w:ascii="Times New Roman;sans-serif" w:hAnsi="Times New Roman;sans-serif"/>
          <w:b w:val="false"/>
          <w:color w:val="000000"/>
          <w:sz w:val="20"/>
        </w:rPr>
        <w:t xml:space="preserve">(23-cv-1566) filed on April 3, 2023 in the U.S. District Court for the Northern District of California; and (3) </w:t>
      </w:r>
      <w:r>
        <w:rPr>
          <w:rFonts w:ascii="Times New Roman;sans-serif" w:hAnsi="Times New Roman;sans-serif"/>
          <w:b w:val="false"/>
          <w:i/>
          <w:color w:val="000000"/>
          <w:sz w:val="20"/>
        </w:rPr>
        <w:t>Vo v. Siebel et al.</w:t>
      </w:r>
      <w:r>
        <w:rPr>
          <w:color w:val="000000"/>
        </w:rPr>
        <w:t xml:space="preserve"> </w:t>
      </w:r>
      <w:r>
        <w:rPr>
          <w:rFonts w:ascii="Times New Roman;sans-serif" w:hAnsi="Times New Roman;sans-serif"/>
          <w:b w:val="false"/>
          <w:color w:val="000000"/>
          <w:sz w:val="20"/>
        </w:rPr>
        <w:t xml:space="preserve">(23-cv-428) filed on April 19, 2023 in the U.S. District Court for the District of Delaware. In these cases, the plaintiffs assert claims on the Company’s behalf against certain of the Company’s current and former officers and directors for breach of fiduciary duty, aiding and abetting breach of fiduciary duty, gross mismanagement, corporate waste, abuse of control, unjust enrichment, and violations of the Securities Exchange Act of 1934 based on allegations similar to those in the securities class action. In all three cases, the Company is named as a nominal defendant. The derivative complaints seek unspecified damages, disgorgement of profits from board member stock sales, an award of costs and expenses, including reasonable attorneys’ fees, and corporate governance reforms. On September 7, 2022, </w:t>
      </w:r>
      <w:r>
        <w:rPr>
          <w:rFonts w:ascii="Times New Roman;sans-serif" w:hAnsi="Times New Roman;sans-serif"/>
          <w:b w:val="false"/>
          <w:i/>
          <w:color w:val="000000"/>
          <w:sz w:val="20"/>
        </w:rPr>
        <w:t>Suri</w:t>
      </w:r>
      <w:r>
        <w:rPr>
          <w:color w:val="000000"/>
        </w:rPr>
        <w:t xml:space="preserve"> </w:t>
      </w:r>
      <w:r>
        <w:rPr>
          <w:rFonts w:ascii="Times New Roman;sans-serif" w:hAnsi="Times New Roman;sans-serif"/>
          <w:b w:val="false"/>
          <w:color w:val="000000"/>
          <w:sz w:val="20"/>
        </w:rPr>
        <w:t xml:space="preserve">was stayed pending resolution of the </w:t>
      </w:r>
      <w:r>
        <w:rPr>
          <w:rFonts w:ascii="Times New Roman;sans-serif" w:hAnsi="Times New Roman;sans-serif"/>
          <w:b w:val="false"/>
          <w:i/>
          <w:color w:val="000000"/>
          <w:sz w:val="20"/>
        </w:rPr>
        <w:t xml:space="preserve">Reckstin </w:t>
      </w:r>
      <w:r>
        <w:rPr>
          <w:rFonts w:ascii="Times New Roman;sans-serif" w:hAnsi="Times New Roman;sans-serif"/>
          <w:b w:val="false"/>
          <w:color w:val="000000"/>
          <w:sz w:val="20"/>
        </w:rPr>
        <w:t xml:space="preserve">case. The Company has not yet answered the Complaints in </w:t>
      </w:r>
      <w:r>
        <w:rPr>
          <w:rFonts w:ascii="Times New Roman;sans-serif" w:hAnsi="Times New Roman;sans-serif"/>
          <w:b w:val="false"/>
          <w:i/>
          <w:color w:val="000000"/>
          <w:sz w:val="20"/>
        </w:rPr>
        <w:t>Suri, Rabasca,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Vo</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believe the claims in any of the cases described above have merit. As of the date of this report, the Company does not believe it is probable that these cases will result in an unfavorable outcome; however, if an unfavorable outcome were to occur in these cases, it is possible that the impact could be material to the Company’s results of operations in the period(s) in which any such outcome becomes probable and estimable.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the Company is involved in various other legal proceedings arising in the ordinary course of business. Apart from the foregoing, the Company is not presently a party to any other such litigation the outcome of which, the Company believes, if determined adversely to the Company, would individually, or taken together, have a material adverse effect on the Company’s business, operating results,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Redeemable Convertible Preferred Stock and Redeemable Convertible A-1 Common Stock</w:t>
      </w:r>
    </w:p>
    <w:p>
      <w:pPr>
        <w:pStyle w:val="TextBody"/>
        <w:bidi w:val="0"/>
        <w:spacing w:lineRule="auto" w:line="288" w:before="0" w:after="180"/>
        <w:jc w:val="both"/>
        <w:rPr/>
      </w:pPr>
      <w:r>
        <w:rPr>
          <w:rFonts w:ascii="Times New Roman;sans-serif" w:hAnsi="Times New Roman;sans-serif"/>
          <w:b w:val="false"/>
          <w:color w:val="000000"/>
          <w:sz w:val="20"/>
        </w:rPr>
        <w:t xml:space="preserve">Upon completion of the IPO, all 33,628,776 shares of the Company’s outstanding redeemable convertible preferred stock, except the Series A* preferred stock, automatically converted into an equivalent number of shares of Class A common stock on a one-to-one basis and all 3,499,992 shares of the Company’s outstanding redeemable convertible Series A* preferred stock automatically converted into an equivalent number of shares of Class B common stock on a one-to-one basis. The carrying value of $399.8 million of all classes of the Company’s outstanding redeemable convertible preferred stock was reclassified into stockholders’ equity. Additionally, all 6,666,665 shares of the Company’s outstanding redeemable convertible Class A-1 common stock automatically converted into an equivalent number of shares of Class A common stock on a one-to-one basis and their carrying value of $18.8 million was reclassified into stockholders’ equity. As of April 30, 2023 and 2022, there were no shares of redeemable convertible preferred stock issued and outstanding. See </w:t>
      </w:r>
      <w:r>
        <w:rPr>
          <w:rFonts w:ascii="Times New Roman;sans-serif" w:hAnsi="Times New Roman;sans-serif"/>
          <w:b w:val="false"/>
          <w:i/>
          <w:color w:val="000000"/>
          <w:sz w:val="20"/>
        </w:rPr>
        <w:t>Note 1. Summary of Business and Significant Accounting Policies</w:t>
      </w:r>
      <w:r>
        <w:rPr>
          <w:color w:val="000000"/>
        </w:rPr>
        <w:t xml:space="preserve"> </w:t>
      </w:r>
      <w:r>
        <w:rPr>
          <w:rFonts w:ascii="Times New Roman;sans-serif" w:hAnsi="Times New Roman;sans-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9. Stockholders’ Equity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authorized the issuance of 200,000,000 shares of undesignated preferred stock with a par value of $0.001 per share with rights and preferences, including voting rights, designated from time to time by the board of directors. As of April 30, 2023 there were no shares of preferred stock issued or outstanding.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authorized the issuance of 1,000,000,000 shares of Class A common stock and 3,500,000 shares of Class B common stock. The shares of Class A common stock and Class B common stock are identical, except with respect to voting, conversion, and transfer rights. Each share of Class A common stock is entitled to one vote. Each share of Class B common stock is entitled to 50 votes. Class A and Class B common stock have a par value of $0.001 per share and are referred to as common stock throughout the notes to the consolidated financial statements, unless otherwise noted. Holders of common stock are entitled to receive any dividends as may be declared from time to time by the board of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 may be converted to Class A common stock at any time at the option of the stockholder. Each share of Class B common stock will be automatically converted into one share of Class A common stock upon the earliest of the following: (i) the date that is six months following the death or incapacity of Mr. Siebel; (ii) the date that is six months following the date that Mr. Siebel is no longer providing services to the Company as an officer, employee, director, or consultant; (iii) December 11, 2040, which is the twentieth anniversary of the completion of the IPO; or (iv) the date specified by the holders of a majority of the then outstanding shares of Class B common stock, voting as a separate class. Future transfers by holders of Class B common stock will generally result in those shares converting to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Common Stock Subject to Repurchase</w:t>
      </w:r>
    </w:p>
    <w:p>
      <w:pPr>
        <w:pStyle w:val="TextBody"/>
        <w:bidi w:val="0"/>
        <w:spacing w:lineRule="auto" w:line="288" w:before="0" w:after="180"/>
        <w:jc w:val="both"/>
        <w:rPr/>
      </w:pPr>
      <w:r>
        <w:rPr>
          <w:rFonts w:ascii="Times New Roman;sans-serif" w:hAnsi="Times New Roman;sans-serif"/>
          <w:b w:val="false"/>
          <w:color w:val="000000"/>
          <w:sz w:val="20"/>
        </w:rPr>
        <w:t xml:space="preserve">Under the Company’s Amended and Restated 2012 Equity Incentive Plan (the “2012 Incentive Plan”), optionholders are allowed to exercise stock options to purchase Class A common stock prior to vesting. The Company has the right to repurchase at the original purchase price any unvested but outstanding common shares upon termination of service of the optionholder. The consideration received for an early exercise of a stock option is considered to be a deposit of the exercise price and the related amount is recorded as a liability. The net proceeds during the fiscal years ended April 30, 2023, 2022 and 2021 were nil, nil and $6.0 million, respectively. The liability is reclassified into equity on a ratable basis as the stock options vest. The Company has recorded a current liability of $0.8 million and $2.0 million as of April 30, 2023 and 2022, respectively. Unvested Class A common stock of 148,239 and 373,790 shares as of April 30, 2023 and 2022, respectively were subject to such repurchase right and are legally issued and outstanding as of each period presented. See </w:t>
      </w:r>
      <w:r>
        <w:rPr>
          <w:rFonts w:ascii="Times New Roman;sans-serif" w:hAnsi="Times New Roman;sans-serif"/>
          <w:b w:val="false"/>
          <w:i/>
          <w:color w:val="000000"/>
          <w:sz w:val="20"/>
        </w:rPr>
        <w:t>Note 10. Stock-Based Compensation</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Company’s board of directors approved a stock repurchase program for the repurchase of up to $100.0 million of the Company’s outstanding shares of Class A common stock for the 18 months following the date of such approval. Under the program, the Company may purchase stock in the open market or through privately negotiated transactions in accordance with applicable securities laws. The timing and actual amount of the stock repurchases will depend on several factors including price, capital availability, regulatory requirements, alternative investment opportunities and other market conditions.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the Company repurchased and immediately retired 0.7 million shares of its Class A common stock for an aggregate amount of $15.0 million. During the fiscal year ended April 30, 2023, the Company has not repurchased any shares of its Class A common stock under the program. As of April 30, 2023, $85.0 million remained available for future repurchases under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10. Stock-Based Compensation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27, 2020, the Company’s board of directors adopted, and its stockholders approved, the 2020 Equity Incentive Plan (the “2020 Incentive Plan”), which became effective in connection with the IPO. The 2020 Incentive Plan provides for the grant of incentive stock options, nonstatutory stock options, stock appreciation rights, restricted stock awards, RSU awards, performance awards and other equity awards. As of April 30, 2023, the number of shares of Class A common stock available for issuance was 6,742,245. The number of shares of Class A common stock reserved for issuance under the 2020 Incentive Plan is subject to automatic evergreen increases annually through (and including) May 1, 2030 pursuant to the terms of the 2020 Incentive Plan. There was an automatic annual increase on May 1, 2022 in the number of shares reserved for future issuance pursuant to the 2020 Incentive Plan in an amount equal to five percent (5%) of the total number of shares of the Company’s Class A common stock and Class B common stock outstanding on April 30, 2022.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stock options generally expire 10 years from the date of grant, or earlier if services are terminated. Generally, each stock option for common stock is subject to a vesting schedule such that one fifth of the award vests after the first-year anniversary and one-sixtieth of the award vests each month thereafter over the remaining four years, subject to continuous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option activity during the periods indicated was as follows:</w:t>
      </w:r>
    </w:p>
    <w:tbl>
      <w:tblPr>
        <w:tblW w:w="9573" w:type="dxa"/>
        <w:jc w:val="left"/>
        <w:tblInd w:w="0" w:type="dxa"/>
        <w:tblLayout w:type="fixed"/>
        <w:tblCellMar>
          <w:top w:w="28" w:type="dxa"/>
          <w:left w:w="28" w:type="dxa"/>
          <w:bottom w:w="28" w:type="dxa"/>
          <w:right w:w="28" w:type="dxa"/>
        </w:tblCellMar>
      </w:tblPr>
      <w:tblGrid>
        <w:gridCol w:w="1522"/>
        <w:gridCol w:w="1333"/>
        <w:gridCol w:w="1345"/>
        <w:gridCol w:w="374"/>
        <w:gridCol w:w="374"/>
        <w:gridCol w:w="376"/>
        <w:gridCol w:w="109"/>
        <w:gridCol w:w="109"/>
        <w:gridCol w:w="109"/>
        <w:gridCol w:w="211"/>
        <w:gridCol w:w="616"/>
        <w:gridCol w:w="109"/>
        <w:gridCol w:w="109"/>
        <w:gridCol w:w="109"/>
        <w:gridCol w:w="109"/>
        <w:gridCol w:w="330"/>
        <w:gridCol w:w="330"/>
        <w:gridCol w:w="331"/>
        <w:gridCol w:w="109"/>
        <w:gridCol w:w="109"/>
        <w:gridCol w:w="109"/>
        <w:gridCol w:w="211"/>
        <w:gridCol w:w="976"/>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Stock Options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April 30, 2021</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April 30, 2022</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April 30, 2023</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as of April 30, 2023</w:t>
            </w:r>
          </w:p>
        </w:tc>
        <w:tc>
          <w:tcPr>
            <w:tcW w:w="7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21,895 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Vested and expected to vest as of April 30, 2023</w:t>
            </w:r>
            <w:r>
              <w:rPr>
                <w:rFonts w:ascii="Times New Roman;sans-serif" w:hAnsi="Times New Roman;sans-serif"/>
                <w:b w:val="false"/>
                <w:color w:val="000000"/>
                <w:sz w:val="13"/>
              </w:rPr>
              <w:t>(1)</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20"/>
        </w:rPr>
        <w:t xml:space="preserve">(1) The number of options vested and expected to vest as of April 30, 2023 includes early exercised, unvested Class A common stock. Refer to </w:t>
      </w:r>
      <w:r>
        <w:rPr>
          <w:rFonts w:ascii="Times New Roman;sans-serif" w:hAnsi="Times New Roman;sans-serif"/>
          <w:b w:val="false"/>
          <w:i/>
          <w:color w:val="000000"/>
          <w:sz w:val="20"/>
        </w:rPr>
        <w:t>Note 9. Stockholders’ Equity</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options granted during the fiscal years ended April 30, 2023, 2022 and 2021 was $7.88, $19.15 and $6.17, respectively. Aggregate intrinsic value represents the difference between the estimated fair value of the underlying common stock and the exercise price of outstanding in-the-money options. The total intrinsic value of options exercised during the fiscal years ended April 30, 2023, 2022 and 2021 was $24.4 million, $187.3 million and $137.3 million, respectively. The total grant date fair value of options vested during the fiscal years ended April 30, 2023, 2022 and 2021 was $49.9 million, $35.3 million and $15.0 million,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and 2022, there was $104.7 million and $151.0 million, respectively, of unrecognized compensation cost related to stock options which are expected to be recognized over an estimated weighted-average period of 2.5 years and 3.3 years,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grant-date fair value of the options issued for the fiscal years ended April 30, 2023 and 2022 are estimated on the date of grant using the Black-Scholes-Merton option pricing model. The weighted average assumptions underlying the fair value estimation are provided in the following table:</w:t>
      </w:r>
    </w:p>
    <w:tbl>
      <w:tblPr>
        <w:tblW w:w="5202" w:type="dxa"/>
        <w:jc w:val="left"/>
        <w:tblInd w:w="0" w:type="dxa"/>
        <w:tblLayout w:type="fixed"/>
        <w:tblCellMar>
          <w:top w:w="28" w:type="dxa"/>
          <w:left w:w="28" w:type="dxa"/>
          <w:bottom w:w="28" w:type="dxa"/>
          <w:right w:w="28" w:type="dxa"/>
        </w:tblCellMar>
      </w:tblPr>
      <w:tblGrid>
        <w:gridCol w:w="772"/>
        <w:gridCol w:w="677"/>
        <w:gridCol w:w="681"/>
        <w:gridCol w:w="255"/>
        <w:gridCol w:w="256"/>
        <w:gridCol w:w="276"/>
        <w:gridCol w:w="111"/>
        <w:gridCol w:w="111"/>
        <w:gridCol w:w="111"/>
        <w:gridCol w:w="255"/>
        <w:gridCol w:w="256"/>
        <w:gridCol w:w="276"/>
        <w:gridCol w:w="111"/>
        <w:gridCol w:w="111"/>
        <w:gridCol w:w="111"/>
        <w:gridCol w:w="255"/>
        <w:gridCol w:w="256"/>
        <w:gridCol w:w="32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April 30, </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assumptions:</w:t>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RSUs include time-based RSUs and PRSUs.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Time-based RSUs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time-based RSUs are typically subject to service-based vesting conditions satisfied over five years with one-fifth of the award vesting after the first-year anniversary and one-twenty-fifth of the award vesting quarterly thereafter. The related stock-based compensation is recognized on a straight-line basis over the requisite service period. For the fiscal year ended April 30, 2023, the Company recognized stock-based compensation expense of $134.8 million associated with such time-based RSUs.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PRSUs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the compensation committee of the board of directors (the “Compensation Committee”) approved the grant of a maximum 1,700,000 performance-based restricted stock units (the “PRSU Award”) to Thomas M. Siebel, the Chief Executive Officer and Chairman of the Company, pursuant to the 2020 Incentive Plan, subject to and conditioned upon the subsequent determination by the board of directors of performance metrics upon the achievement of which the PRSU Award would vest. In August 2022, the board of directors approved performance metrics in concept, subject to further action by the Compensation Committee. In December 2022, the Compensation Committee: (a) determined and approved the performance metrics, which are based on the achievement of certain total shareholder return results, as measured against certain stock price hurdles (the “Market Condition”); and (b) extended the vesting period of the PRSU Award through December 31, 2027. As an additional condition to vesting of each tranche of the PRSU Award, Mr. Siebel must remain in continuous service to the Company through a minimum service date that applies to such tranche or, if later, the date the applicable performance metric is achieved (the “Service Condition”). The grant date of the PRSU Award was established in December 2022.</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associated with the PRSU Award will be recognized over the longer of the expected achievement period for the Market Condition or the Service Condition. For the fiscal year ended April 30, 2023, the Company recognized stock-based compensation expense of $2.1 million related to the PRSU Award.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grant date fair value of the PRSU Award using a Monte Carlo simulation model with the following assumptions: stock price of $12.90, risk-free interest rate of 3.7%, dividend yield of 0% and expected volatility of 51.4%.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RSU activities and related information is as follows: </w:t>
      </w:r>
    </w:p>
    <w:tbl>
      <w:tblPr>
        <w:tblW w:w="6746" w:type="dxa"/>
        <w:jc w:val="left"/>
        <w:tblInd w:w="0" w:type="dxa"/>
        <w:tblLayout w:type="fixed"/>
        <w:tblCellMar>
          <w:top w:w="28" w:type="dxa"/>
          <w:left w:w="28" w:type="dxa"/>
          <w:bottom w:w="28" w:type="dxa"/>
          <w:right w:w="28" w:type="dxa"/>
        </w:tblCellMar>
      </w:tblPr>
      <w:tblGrid>
        <w:gridCol w:w="1174"/>
        <w:gridCol w:w="1031"/>
        <w:gridCol w:w="1035"/>
        <w:gridCol w:w="439"/>
        <w:gridCol w:w="439"/>
        <w:gridCol w:w="441"/>
        <w:gridCol w:w="109"/>
        <w:gridCol w:w="109"/>
        <w:gridCol w:w="109"/>
        <w:gridCol w:w="400"/>
        <w:gridCol w:w="1168"/>
        <w:gridCol w:w="292"/>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RSUs Outstanding</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 xml:space="preserve">Grant Date Fair Value </w:t>
              <w:br/>
              <w:t>Per Share</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April 30, 2021</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April 30, 2022</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19,254 </w:t>
            </w:r>
          </w:p>
        </w:tc>
        <w:tc>
          <w:tcPr>
            <w:tcW w:w="4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April 30, 2023</w:t>
            </w:r>
          </w:p>
        </w:tc>
        <w:tc>
          <w:tcPr>
            <w:tcW w:w="8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21,146 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and 2022, there was $423.8 million and $375.6 million respectively, of unrecognized stock-based compensation expense related to outstanding RSUs granted to employees that is expected to be recognized over a weighted-average period of 3.9 years and 3.5 years,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the Compensation Committee approved the payment of fiscal year 2022 bonuses under the Company’s annual bonus program in the form of fully vested RSUs covering shares of Class A common stock to employees. The Company issued 811,790 shares of Class A common stock pursuant to this program during the fiscal year ended April 30,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Shares issued in settlement of fully vested RSUs granted under this bonus program were issued from the 2020 Incentive Plan and reduced the shares available for issuance under the 2020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27, 2020, the Company’s board of directors also adopted, and its stockholders also approved, the 2020 Employee Stock Purchase Plan (the “2020 ESPP”), which became effective immediately prior to the IPO. The 2020 ESPP authorizes the issuance of shares of Class A common stock pursuant to purchase rights granted to employees. A total of 3,000,000 shares of Class A common stock were initially reserved for future issuance under the 2020 ESPP. The number of shares of Class A common stock reserved for issuance under the 2020 ESPP is subject to automatic evergreen increases annually through (and including) May 1, 2030 pursuant to the terms of the 2020 ESPP. There was an automatic annual increase on May 1, 2022 in the number of shares reserved for future issuance pursuant to the 2020 ESPP in an amount equal to one percent (1%) of the total number of shares of the Company’s Class A common stock and Class B common stock outstanding on April 30, 2022. The 2020 ESPP permits participants to purchase shares of Class A common stock in an amount not exceeding 15% of their earnings during the relevant offering period. The offering dates and purchase dates for the 2020 ESPP are determined at the discretion of the Company’s board of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initial offering period under the 2020 ESPP, which commenced on October 16, 2022 and ends on September 15, 2024, the 2020 ESPP provides for 24-month offering periods beginning September 15 and March 15 of each year, with each offering period consisting of four six-month purchase periods. The 2020 ESPP allows eligible employees to purchase shares of the Company’s Class A common stock, subject to purchase limits of 2,500 shares during each six-month period or $25,000 worth of stock for each calendar year, through payroll deductions at price per share equal to 85% of the lesser of the fair market value of the Company’s Class A common stock on (i) the first trading day of the applicable offering period and (ii) the last trading day of each purchase period in the applicable offering period. If the price per share of the Company’s Class A common stock on any purchase date in the offering period is lower than the price per share of the Company’s Class A common stock price on the enrollment date of that offering period, the offering period will immediately reset after the purchase of shares on such purchase date and automatically roll into a new 24-month offering period.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a Black-Scholes-Merton option pricing model to determine the fair value of employee stock purchase rights granted under the 2020 ESPP.</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April 30, 2023, the Company recognized $3.7 million of stock-based compensation expense related to the 2020 ESPP. During the fiscal year ended April 30, 2023, the Company’s employees purchased 310,784 shares of its Class A common stock under the 2020 ESPP. As of April 30, 2023, there was $5.8 million of unrecognized stock-based compensation expense that is expected to be recognized over the remaining term of the respective offering periods. As of April 30, 2023, 4,773,137 shares of Class A common stock were available for future issuance under the 2020 ESPP.</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to calculate the fair value of shares to be granted under the 2020 ESPP during the period:</w:t>
      </w:r>
    </w:p>
    <w:tbl>
      <w:tblPr>
        <w:tblW w:w="4616" w:type="dxa"/>
        <w:jc w:val="center"/>
        <w:tblInd w:w="0" w:type="dxa"/>
        <w:tblLayout w:type="fixed"/>
        <w:tblCellMar>
          <w:top w:w="28" w:type="dxa"/>
          <w:left w:w="28" w:type="dxa"/>
          <w:bottom w:w="28" w:type="dxa"/>
          <w:right w:w="28" w:type="dxa"/>
        </w:tblCellMar>
      </w:tblPr>
      <w:tblGrid>
        <w:gridCol w:w="772"/>
        <w:gridCol w:w="677"/>
        <w:gridCol w:w="681"/>
        <w:gridCol w:w="109"/>
        <w:gridCol w:w="109"/>
        <w:gridCol w:w="109"/>
        <w:gridCol w:w="438"/>
        <w:gridCol w:w="438"/>
        <w:gridCol w:w="1283"/>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47.8 - 61.4%</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0.4 - 2.0</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4.1 - 4.9%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effects of stock-based compensation on the Company’s consolidated statements of operations (in thousands):</w:t>
      </w:r>
    </w:p>
    <w:tbl>
      <w:tblPr>
        <w:tblW w:w="7481" w:type="dxa"/>
        <w:jc w:val="left"/>
        <w:tblInd w:w="0" w:type="dxa"/>
        <w:tblLayout w:type="fixed"/>
        <w:tblCellMar>
          <w:top w:w="28" w:type="dxa"/>
          <w:left w:w="28" w:type="dxa"/>
          <w:bottom w:w="28" w:type="dxa"/>
          <w:right w:w="28" w:type="dxa"/>
        </w:tblCellMar>
      </w:tblPr>
      <w:tblGrid>
        <w:gridCol w:w="1250"/>
        <w:gridCol w:w="1096"/>
        <w:gridCol w:w="1103"/>
        <w:gridCol w:w="211"/>
        <w:gridCol w:w="826"/>
        <w:gridCol w:w="109"/>
        <w:gridCol w:w="109"/>
        <w:gridCol w:w="109"/>
        <w:gridCol w:w="109"/>
        <w:gridCol w:w="211"/>
        <w:gridCol w:w="826"/>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Starting fiscal year 2023, the Company records stock-based compensation associated with the Company’s annual bonus program and retention bonus program for certain employees, which may be paid out in fully vested RSUs that are settled in shares of Class A common stock. During the fiscal year ended April 30, 2023, the Company recognized $35.0 million of stock-based compensation expense associated with these programs, of which $32.4 million was reflected under accrued compensation and employee benefits in the consolidated balance sheets as of April 30, 2023. Upon settlement, this amount will be reflected under additional paid-in capital in the consolidated statements of redeemable convertible preferred stock, redeemable convertible Class A-1 common stock and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net loss before provision for income taxes for the fiscal years ended April 30, 2023, 2022 and 2021 were as follows (in thousands):</w:t>
      </w:r>
    </w:p>
    <w:tbl>
      <w:tblPr>
        <w:tblW w:w="7781" w:type="dxa"/>
        <w:jc w:val="left"/>
        <w:tblInd w:w="0" w:type="dxa"/>
        <w:tblLayout w:type="fixed"/>
        <w:tblCellMar>
          <w:top w:w="28" w:type="dxa"/>
          <w:left w:w="28" w:type="dxa"/>
          <w:bottom w:w="28" w:type="dxa"/>
          <w:right w:w="28" w:type="dxa"/>
        </w:tblCellMar>
      </w:tblPr>
      <w:tblGrid>
        <w:gridCol w:w="1275"/>
        <w:gridCol w:w="1119"/>
        <w:gridCol w:w="1130"/>
        <w:gridCol w:w="211"/>
        <w:gridCol w:w="901"/>
        <w:gridCol w:w="109"/>
        <w:gridCol w:w="109"/>
        <w:gridCol w:w="109"/>
        <w:gridCol w:w="109"/>
        <w:gridCol w:w="211"/>
        <w:gridCol w:w="901"/>
        <w:gridCol w:w="109"/>
        <w:gridCol w:w="109"/>
        <w:gridCol w:w="109"/>
        <w:gridCol w:w="109"/>
        <w:gridCol w:w="211"/>
        <w:gridCol w:w="79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provision for income taxes for the fiscal years ended April 30, 2023, 2022 and 2021 were as follows (in thousands):</w:t>
      </w:r>
    </w:p>
    <w:tbl>
      <w:tblPr>
        <w:tblW w:w="5816" w:type="dxa"/>
        <w:jc w:val="left"/>
        <w:tblInd w:w="0" w:type="dxa"/>
        <w:tblLayout w:type="fixed"/>
        <w:tblCellMar>
          <w:top w:w="28" w:type="dxa"/>
          <w:left w:w="28" w:type="dxa"/>
          <w:bottom w:w="28" w:type="dxa"/>
          <w:right w:w="28" w:type="dxa"/>
        </w:tblCellMar>
      </w:tblPr>
      <w:tblGrid>
        <w:gridCol w:w="1000"/>
        <w:gridCol w:w="876"/>
        <w:gridCol w:w="883"/>
        <w:gridCol w:w="211"/>
        <w:gridCol w:w="466"/>
        <w:gridCol w:w="109"/>
        <w:gridCol w:w="109"/>
        <w:gridCol w:w="109"/>
        <w:gridCol w:w="109"/>
        <w:gridCol w:w="211"/>
        <w:gridCol w:w="466"/>
        <w:gridCol w:w="109"/>
        <w:gridCol w:w="109"/>
        <w:gridCol w:w="109"/>
        <w:gridCol w:w="109"/>
        <w:gridCol w:w="211"/>
        <w:gridCol w:w="46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expense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expense</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U.S. federal statutory rate to the Company’s effective tax rate was follows (in thousands):</w:t>
      </w:r>
    </w:p>
    <w:tbl>
      <w:tblPr>
        <w:tblW w:w="7452" w:type="dxa"/>
        <w:jc w:val="left"/>
        <w:tblInd w:w="0" w:type="dxa"/>
        <w:tblLayout w:type="fixed"/>
        <w:tblCellMar>
          <w:top w:w="28" w:type="dxa"/>
          <w:left w:w="28" w:type="dxa"/>
          <w:bottom w:w="28" w:type="dxa"/>
          <w:right w:w="28" w:type="dxa"/>
        </w:tblCellMar>
      </w:tblPr>
      <w:tblGrid>
        <w:gridCol w:w="1234"/>
        <w:gridCol w:w="1084"/>
        <w:gridCol w:w="1087"/>
        <w:gridCol w:w="211"/>
        <w:gridCol w:w="796"/>
        <w:gridCol w:w="109"/>
        <w:gridCol w:w="109"/>
        <w:gridCol w:w="109"/>
        <w:gridCol w:w="109"/>
        <w:gridCol w:w="211"/>
        <w:gridCol w:w="796"/>
        <w:gridCol w:w="109"/>
        <w:gridCol w:w="109"/>
        <w:gridCol w:w="109"/>
        <w:gridCol w:w="109"/>
        <w:gridCol w:w="211"/>
        <w:gridCol w:w="79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benefit at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expense—net of federal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operations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research and development credit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Meals and entertainment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items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in the Company’s effective tax rate and the U.S. federal statutory tax rate is primarily due to recording a full valuation allowance on the Company’s U.S.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deferred tax assets and liabilities as of April 30, 2023 and 2022 were as follows (in thousands):</w:t>
      </w:r>
    </w:p>
    <w:tbl>
      <w:tblPr>
        <w:tblW w:w="5270" w:type="dxa"/>
        <w:jc w:val="left"/>
        <w:tblInd w:w="0" w:type="dxa"/>
        <w:tblLayout w:type="fixed"/>
        <w:tblCellMar>
          <w:top w:w="28" w:type="dxa"/>
          <w:left w:w="28" w:type="dxa"/>
          <w:bottom w:w="28" w:type="dxa"/>
          <w:right w:w="28" w:type="dxa"/>
        </w:tblCellMar>
      </w:tblPr>
      <w:tblGrid>
        <w:gridCol w:w="1044"/>
        <w:gridCol w:w="916"/>
        <w:gridCol w:w="920"/>
        <w:gridCol w:w="229"/>
        <w:gridCol w:w="671"/>
        <w:gridCol w:w="109"/>
        <w:gridCol w:w="109"/>
        <w:gridCol w:w="109"/>
        <w:gridCol w:w="109"/>
        <w:gridCol w:w="279"/>
        <w:gridCol w:w="621"/>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accruals &amp; reserves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tax credit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R&amp;D expenditure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need for a valuation allowance, the Company weighs both positive and negative evidence in the various jurisdictions in which it operates to determine whether it is more likely than not that its deferred tax assets are recoverable. In assessing the ultimate realizability of its net deferred tax assets, the Company considers all available evidence, including cumulative losses since inception and expected future losses and as such, management does not believe it is more likely than not that the deferred tax assets will be realized. Accordingly, a full valuation allowance has been established in the U.S. and no deferred tax assets and related tax benefit have been recognized in the accompanying financial statements. The valuation allowance as of April 30, 2023 and 2022 was $180.6 million and $144.7 million, respectively. The increase of $35.9 million in the Company’s valuation allowance compared to the prior fiscal year was primarily due to an increase in deferred tax assets arising from net operating loss and capitalized R&amp;D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and 2022, the Company had net operating loss carryforwards for federal income tax purposes of approximately $487.6 million and $486.2 million, respectively. The federal net operating loss carryforwards will expire, if not utilized, beginning in year 2029. Federal research and development tax credit carryforwards of approximately $12.6 million, will expire beginning in 2032 if not utilized. Federal charitable contribution carryforwards of approximately $25.6 million will expire beginning in 2022 if not utilized. Federal capital loss carryforwards of approximately $1.0 million will begin to expire in 2026 if not utilized.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of April 30, 2023 and 2022, the Company had net operating loss carryforwards for state income tax purposes of approximately $187.8 million and $180.4 million, respectively. The state net operating loss carryforwards will expire, if not utilized, beginning in the year 2032. The Company had state research and development tax credit carryforwards of approximately $10.2 million. The state research and development tax credits do not expire. State capitol loss carryforwards of approximately $0.4 million will begin to expire in 2026 if not utilized.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Tax Reform Act of 1986 and similar California legislation impose substantial restrictions on the utilization of net operating losses and tax credit carryforwards if there is a change in ownership as provided by Section 382 of the Internal Revenue Code and similar state provisions. Such a limitation could result in the expiration of the net operating loss carryforwards and tax credits before utilization.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the Company’s total gross unrecognized tax benefits was as follows (in thousands):</w:t>
      </w:r>
    </w:p>
    <w:tbl>
      <w:tblPr>
        <w:tblW w:w="6684" w:type="dxa"/>
        <w:jc w:val="left"/>
        <w:tblInd w:w="0" w:type="dxa"/>
        <w:tblLayout w:type="fixed"/>
        <w:tblCellMar>
          <w:top w:w="28" w:type="dxa"/>
          <w:left w:w="28" w:type="dxa"/>
          <w:bottom w:w="28" w:type="dxa"/>
          <w:right w:w="28" w:type="dxa"/>
        </w:tblCellMar>
      </w:tblPr>
      <w:tblGrid>
        <w:gridCol w:w="1571"/>
        <w:gridCol w:w="1377"/>
        <w:gridCol w:w="1387"/>
        <w:gridCol w:w="211"/>
        <w:gridCol w:w="721"/>
        <w:gridCol w:w="109"/>
        <w:gridCol w:w="109"/>
        <w:gridCol w:w="109"/>
        <w:gridCol w:w="109"/>
        <w:gridCol w:w="211"/>
        <w:gridCol w:w="616"/>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for tax positions related to the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April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30, 2023, no amount of unrecognized tax benefits, if recognized, would impact the Company’s effective income tax rate, given the Company’s full valuation allowance position. The Company does not expect any unrecognized tax benefits to be recognized within the next 12 months.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unrecognized tax benefits as a component of income tax expense. As of April 30, 2023 and 2022, the Company has no cumulative interest and penalties related to unrecognized tax benefits. The Company does not anticipate a significant change in the unrecognized tax benefits over the next 12 months.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American Rescue Plan Act of 2021 (“ARPA”) was signed by President Biden on March 11, 2021. The legislation revised IRC Section 162(m) which will go into effect beginning with tax years that begin after December 31, 2026. It expanded the definition of “covered employees” to include an additional five highest-compensated employees who do not remain as covered employees indefinitely. The Company has assessed the relevant provisions and concludes the tax provisions of the ARPA did not have a material impact on the Company’s consolidated financial statements for the fiscal year ended April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12. Net Loss Per Share Attributable to Common Stockholders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was the same as diluted net loss per share for the periods presented because the Company was in a loss position for years ended April 30, 2023, 2022 and 2021. For purposes of this calculation, stock options, RSUs, Class A common stock issuable in connection with the 2020 ESPP and early exercised stock options subject to repurchase are considered to be potential common stock equivalents but have been excluded from the calculation of diluted net loss per share attributable to common stockholders as their effect is anti-dilutive.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attributable to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2169"/>
        <w:gridCol w:w="1883"/>
        <w:gridCol w:w="1904"/>
        <w:gridCol w:w="211"/>
        <w:gridCol w:w="897"/>
        <w:gridCol w:w="109"/>
        <w:gridCol w:w="109"/>
        <w:gridCol w:w="109"/>
        <w:gridCol w:w="109"/>
        <w:gridCol w:w="211"/>
        <w:gridCol w:w="897"/>
        <w:gridCol w:w="109"/>
        <w:gridCol w:w="109"/>
        <w:gridCol w:w="109"/>
        <w:gridCol w:w="109"/>
        <w:gridCol w:w="211"/>
        <w:gridCol w:w="792"/>
        <w:gridCol w:w="158"/>
      </w:tblGrid>
      <w:tr>
        <w:trPr/>
        <w:tc>
          <w:tcPr>
            <w:tcW w:w="2169"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weighted-average Class A common shares outstanding</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weighted-average Class A-1 common shares outstanding</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weighted-average Class B common shares outstanding</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loss per share attributable to common stockholders</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Class A common shares outstanding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Class A-1 common shares outstanding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Class B common shares outstanding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loss per share attributable to common stockholders for the periods presented because including them would have had an antidilutive effect were as follows (in thousands):</w:t>
      </w:r>
    </w:p>
    <w:tbl>
      <w:tblPr>
        <w:tblW w:w="4773" w:type="dxa"/>
        <w:jc w:val="left"/>
        <w:tblInd w:w="0" w:type="dxa"/>
        <w:tblLayout w:type="fixed"/>
        <w:tblCellMar>
          <w:top w:w="28" w:type="dxa"/>
          <w:left w:w="28" w:type="dxa"/>
          <w:bottom w:w="28" w:type="dxa"/>
          <w:right w:w="28" w:type="dxa"/>
        </w:tblCellMar>
      </w:tblPr>
      <w:tblGrid>
        <w:gridCol w:w="450"/>
        <w:gridCol w:w="396"/>
        <w:gridCol w:w="399"/>
        <w:gridCol w:w="360"/>
        <w:gridCol w:w="361"/>
        <w:gridCol w:w="156"/>
        <w:gridCol w:w="140"/>
        <w:gridCol w:w="140"/>
        <w:gridCol w:w="140"/>
        <w:gridCol w:w="360"/>
        <w:gridCol w:w="361"/>
        <w:gridCol w:w="156"/>
        <w:gridCol w:w="140"/>
        <w:gridCol w:w="140"/>
        <w:gridCol w:w="140"/>
        <w:gridCol w:w="360"/>
        <w:gridCol w:w="361"/>
        <w:gridCol w:w="213"/>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13. Related Party Transactions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 Transactions with Baker Hughes Company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2019, the Company entered into multiple agreements with Baker Hughes under which Baker Hughes received a three-year subscription to use the Company’s software. These agreements were revised in June 2020 to extend the term to five years and modify the subscription fees due. Under the revised agreements, Baker Hughes has made minimum, non-cancellable revenue commitments, which are inclusive of their direct subscription fees and third party revenue generated through a joint marketing arrangement with Baker Hughes, in the amount of $46.7 million in fiscal year 2020, $53.3 million in the fiscal year ending April 30, 2021, $75.0 million in the fiscal year ending April 30, 2022, $125.0 million in the fiscal year ending April 30, 2023, and $150.0 million in the fiscal year ending April 30, 2024. The Company also agreed to pay Baker Hughes a sales commission on subscriptions and services offerings it resold in excess of these minimum revenue commitments.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Baker Hughes revised the agreements in October 2021 to extend the term by an additional year, for a total of six years, with an expiration date in the fiscal year ending April 30, 2025, to modify the amount of Baker Hughes’ annual commitments to $85.0 million in fiscal year 2023, $110.0 million in fiscal year 2024, and $125.0 million in fiscal year 2025, and to revise the structure of the arrangement to incentivize Baker Hughes’ sales of the Company’s products and services. Beginning in the fiscal year ending April 30, 2023, Baker Hughes’ annual commitments are reduced by any revenue the Company generates from certain customers. Known and estimable revenue from certain customers related to the arrangement is a form of variable consideration, which was determined at contract inception and reduced the revenue recognized from the arrangement. The Company acknowledged that Baker Hughes had met its minimum annual revenue commitment for the fiscal year ended April 30, 2022 and recognized $16.0 million of sales commission as deferred costs during the fiscal quarter ended October 31, 2021 related to this arrangement, which will be amortized over an expected period of five years.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Baker Hughes further revised and expanded the agreements in January 2023. Pursuant to this revised arrangement, the frequency of payments due from Baker Hughes to us is accelerated, Baker Hughes obtained expanded reseller rights and the Company will provide additional products and services. This results in an increase of the overall transaction price of the arrangement by eliminating potential variable consideration attributable to any revenue the Company generated from certain customers. The amount of consideration may increase if Baker Hughes exceeds certain thresholds. The Company also provides Baker Hughes the option to extend the subscription term upon payment of a renewal fee.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Revenues recognized under the arrangement were as follows (in thousands):</w:t>
      </w:r>
    </w:p>
    <w:tbl>
      <w:tblPr>
        <w:tblW w:w="9116" w:type="dxa"/>
        <w:jc w:val="left"/>
        <w:tblInd w:w="0" w:type="dxa"/>
        <w:tblLayout w:type="fixed"/>
        <w:tblCellMar>
          <w:top w:w="28" w:type="dxa"/>
          <w:left w:w="28" w:type="dxa"/>
          <w:bottom w:w="28" w:type="dxa"/>
          <w:right w:w="28" w:type="dxa"/>
        </w:tblCellMar>
      </w:tblPr>
      <w:tblGrid>
        <w:gridCol w:w="1919"/>
        <w:gridCol w:w="1683"/>
        <w:gridCol w:w="1692"/>
        <w:gridCol w:w="211"/>
        <w:gridCol w:w="721"/>
        <w:gridCol w:w="109"/>
        <w:gridCol w:w="109"/>
        <w:gridCol w:w="109"/>
        <w:gridCol w:w="109"/>
        <w:gridCol w:w="211"/>
        <w:gridCol w:w="721"/>
        <w:gridCol w:w="109"/>
        <w:gridCol w:w="109"/>
        <w:gridCol w:w="109"/>
        <w:gridCol w:w="109"/>
        <w:gridCol w:w="211"/>
        <w:gridCol w:w="721"/>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April 30,</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direct subscription and professional services</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fbc384f66f3b44349b886d7e9ac408dc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C3.AI,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April 30, 2023, the Company recognized revenue of $22.1 million from certain customers in the oil and gas field related to the Baker Hughes arrangement through the date of the revised arrangement in January 2023. The Company recognized revenue of $27.7 million and $20.5 million from certain customers in the oil and gas field related to the Baker Hughes arrangement during the fiscal years ended April 30, 2022 and 2021, respectively. Pursuant to the January 2023 revised agreement, the transaction price of Baker Hughes arrangement is not impacted by revenue the Company recognizes from certain customers in oil and gas field.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and 2022, balances related to Baker Hughes that are reported within accounts receivable, net (inclusive of unbilled receivables of $70.7 million and $16.5 million, respectively) included $74.6 million and $35.8 million, respectively and deferred revenue, current included $0.2 million and $0.1 million,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cost of subscription revenue related to services purchased from Baker Hughes to be used for third party customer of nil, $0.6 million and $0.1 million for the fiscal years ended April 30, 2023, 2022 and 2021, respectively. The Company recognized sales and marketing expenses related to Baker Hughes of $14.0 million, $8.2 million and less than $0.1 million for the fiscal years ended April 30, 2023, 2022 and 2021, respectively. As of April 30, 2023 and 2022, accounts payable related to Baker Hughes included $2.2 million and $18.5 million,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performance obligations related to Baker Hughes, which includes both direct subscriptions and reseller arrangements, is comprised of (in thousands):</w:t>
      </w:r>
    </w:p>
    <w:tbl>
      <w:tblPr>
        <w:tblW w:w="6473" w:type="dxa"/>
        <w:jc w:val="left"/>
        <w:tblInd w:w="0" w:type="dxa"/>
        <w:tblLayout w:type="fixed"/>
        <w:tblCellMar>
          <w:top w:w="28" w:type="dxa"/>
          <w:left w:w="28" w:type="dxa"/>
          <w:bottom w:w="28" w:type="dxa"/>
          <w:right w:w="28" w:type="dxa"/>
        </w:tblCellMar>
      </w:tblPr>
      <w:tblGrid>
        <w:gridCol w:w="1382"/>
        <w:gridCol w:w="1211"/>
        <w:gridCol w:w="1216"/>
        <w:gridCol w:w="211"/>
        <w:gridCol w:w="826"/>
        <w:gridCol w:w="109"/>
        <w:gridCol w:w="109"/>
        <w:gridCol w:w="109"/>
        <w:gridCol w:w="109"/>
        <w:gridCol w:w="211"/>
        <w:gridCol w:w="826"/>
        <w:gridCol w:w="154"/>
      </w:tblGrid>
      <w:tr>
        <w:trPr/>
        <w:tc>
          <w:tcPr>
            <w:tcW w:w="138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from non-cancellable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remaining performance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and 2022, the current portion of deferred costs of $5.0 million and $4.9 million, respectively, was included in prepaid expenses and other current assets and the non-current portion of $11.3 million and $16.1 million, respectively, was included in other assets, non-current. The Company amortized $4.9 million, $3.3 million and nil of deferred commissions during the fiscal years ended April 30, 2023, 2022 and 2021, respectively, and these amounts were included in sales and marketing expense in the consolidated statements of operations. The Company paid sales commission of $16.0 million and $3.4 million during the fiscal years ended April 30, 2023 and 2022, respectively, related to this arrangement.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and 2022, accrued and other current liabilities related to Baker Hughes included $2.4 million and $2.5 million, respectively, and other long-term liabilities included nil and $2.4 million,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Sublease Arrangement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2023, the Company entered into a sublease agreement (the “Sublease”) with First Virtual Group, Inc. (the “Subtenant”), whereby the Company agreed to sublease to the Subtenant approximately 3,130 square feet of space located in Redwood City, California (the “Subleased Space”). The Company previously entered into a lease (the “Original Lease”) with DWF IV 1400-1500 Seaport Blvd, LLC dated August 25, 2021 for approximately 283,013 square feet of office space split between two office towers, including the Subleased Space. Thomas M. Siebel, Chief Executive Officer and Chairman of the Company, serves as Chairman of the Subtenant. The term of the Sublease commenced on February 1, 2023 and will continue through September 30, 2023, after which the Sublease will automatically renew thereafter for successive one year periods unless the Subtenant notifies the Company of its election to terminate the Sublease, up to the expiration date of the Original Lease. The monthly base rent for the Sublease is equal to the rate per square foot paid by the Company as stated in the Original Lease. The monthly base rent the Subtenant will pay is approximately $8,608 through September 30, 2023, increasing annually thereafter. In addition to base rent, the Subtenant will be responsible for its allocated share of costs incurred and expenditures made by the Company in the operation and management of the Subleased Space.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the effectiveness of our disclosure controls and procedures (as defined in Exchange Act Rules 13a-15(e) and 15d-15(e)) as of the end of the period covered by this Annual Report on Form 10-K, and have concluded that, based on such evaluation, our disclosure controls and procedures were effective as of April 30, 2023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preparation of financial statements for external purposes in accordance with generally accepted accounting principles. Our management conducted an assessment of the effectiveness of the Company’s internal control over financial reporting as of April 30, 2023 based on criteria established in Internal Control - Integrated Framework (2013) issued by the Committee of Sponsoring Organizations of the Treadway Commission. Based on the assessment, our management has concluded that our internal control over financial reporting was effective as of April 30,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Deloitte &amp; Touche LLP, has issued an audit report with respect to our internal control over financial reporting, which is included on the following page.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Controls Over Financial Reporting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Rules 13a-15(d) and 15d-15(d) of the Exchange Act that occurred during the quarter ended April 30, 2023 that have materially affected, or are reasonably likely to materially affect, our internal control over financial reporting.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C3.ai, Inc.</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0" w:after="180"/>
        <w:jc w:val="both"/>
        <w:rPr/>
      </w:pPr>
      <w:r>
        <w:rPr>
          <w:rFonts w:ascii="Times New Roman;sans-serif" w:hAnsi="Times New Roman;sans-serif"/>
          <w:b w:val="false"/>
          <w:color w:val="000000"/>
          <w:sz w:val="20"/>
        </w:rPr>
        <w:t xml:space="preserve">We have audited the internal control over financial reporting of C3.ai, Inc. and subsidiaries (the “Company”) as of April 30,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April 30,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April 30, 2023, of the Company and our report dated June 21, 2023, expressed an unqualified opinion on those financial statements.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June 21,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Thomas M. Siebel, our Chairman and Chief Executive Officer, has informed us that on March 31, 2023, he entered into a trading plan (the “Plan”) in compliance with Rule 10b5-1 under the Exchange Act with respect to shares of our common stock of held by Mr. Siebel and affiliated entities. The Plan contains a minimum price target of $45.00 per share to trigger the sale of shares of our common stock. The Plan provides that if the price target is met or exceeded, shares of our common stock will be sold monthly in an amount equal to approximately 1.9% of the total of shares of our common stock, stock options and restricted stock units held by Mr. Siebel and affiliated entities as of that date.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C3 AI and Baker Hughes Timeline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2023, we posted a timeline of our relationship with Baker Hughes on our investor relations website located at ir.c3.ai.</w:t>
      </w:r>
    </w:p>
    <w:p>
      <w:pPr>
        <w:pStyle w:val="TextBody"/>
        <w:bidi w:val="0"/>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C3 AI Baker Hughes Alliance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Initiated in 2019, and amended and expanded three times as the term of the agreement was repeatedly extended and the financial commitments to C3 AI were repeatedly increased, the agreement between Baker Hughes and C3 AI has accrued enormous value to C3 AI and its shareholders.</w:t>
      </w:r>
    </w:p>
    <w:p>
      <w:pPr>
        <w:pStyle w:val="TextBody"/>
        <w:bidi w:val="0"/>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History of the Baker Hughes Agreement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June of 2019, C3 AI and Baker Hughes, at that time a GE company, entered into a three-year agreement. Under the terms of that agreement: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Baker Hughes agreed to standardize on the C3 AI platform and application solutions for its digital predictive analytics solutions both for internal use and for its digital software offerings to its customers and prospects, to the exclusion of other software products competitive with the C3 AI offerings.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C3 AI named Baker Hughes as a distributor into the oil and gas, petrochemical, and fertilizer markets (the Baker Hughes Field).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Baker Hughes distribution rights were exclusive of other oil and gas service companies, e.g. Haliburton, Schlumberger, Siemens, etc.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C3 AI retained all rights to sell directly into the oil &amp; gas, chemical, and fertilizer markets.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Baker Hughes and C3 AI agreed to jointly market the C3 AI solutions under the brand BHC3.ai.</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Baker Hughes guaranteed C3 AI minimum annual commitments totaling $320.0 million over the three-year term.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Sales concluded by C3 AI directly into the oil and gas market applied to the minimum $320.0 million commitment, with the exception of one super major oil and gas company that was carved out of the agreement.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C3 AI agreed to pay Baker Hughes sales commissions on sales into the Baker Hughes Field in excess of the minimum annual commitments made to C3 AI.</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Baker Hughes purchased approximately 12% equity position in C3 AI for $69.5 million, the fair market value at that time.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Baker Hughes purchased AI stock (88% common stock, 12% preferred stock) at an average of $6.42 per share. Four months prior, the company sold preferred shares to TPG at the same price.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Lorenzo Simonelli, Baker Hughes CEO, joined the C3 AI board of directors.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As of the most recent published report, Baker Hughes still held 80% of its original AI stock position.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agreement had no provisions for extension or renewal beyond the initial three-year term.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June of 2020, C3 AI and Baker Hughes amended the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term of the agreement was extended by two years, to five years in duration.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5-year commitment from Baker Hughes expanded to $450.0 million, an increase of $130.0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of 2021, C3 AI and Baker Hughes again amended the agreement to extend it to a 6- year term ending in June of 2025.</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6-year total Baker Hughes commitment increased to $495.0 million, an increase of $45.0 million.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agreement eliminated sales commission payments from C3 AI to Baker Hughes.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Terms were included to further simplify the sales process for Baker Hughes.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amendment provided Baker Hughes revenue credits for the sales of C3 AI products and services that Baker Hughes or C3 AI sold into the oil and gas, petrochemicals, and fertilizer markets. For each dollar of revenue sold into the market, Baker Hughes outstanding payment obligations to C3 AI for products and services would be reduced dollar for dollar (the total amount remaining of $320.0 million). This provision required C3 AI to recognize revenue from Baker Hughes consistent with the GAAP rules of variable consideration.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C3 AI agreed to deliver to Baker Hughes additional products and services.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Invoicing terms were changed to be annually at the end of each year starting FY23 year end.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of 2023, C3 AI and Baker Hughes again revised and expanded the agreement.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agreement was amended to provide Baker Hughes access to additional C3 AI products and services.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Baker Hughes made specific additional commitments to OEM the C3 AI solutions in its Baker Hughes digital offerings.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Baker Hughes obtained expanded reseller rights.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Importantly, this amendment eliminated revenue credits for any subsequent deals in the Baker Hughes Field, resulting in a $32.5 million contract value increase for C3 AI. This change eliminated the requirement for C3 AI to recognize revenue based upon the rules of variable consideration, significantly simplifying the revenue reporting process.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Invoicing frequency accelerated from annual to quarterly on a go forward basis, accelerating our cash receivables.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This amendment included specific terms under which Baker Hughes could extend the C3 AI agreement for additional year or years for additional payments.</w:t>
      </w:r>
    </w:p>
    <w:p>
      <w:pPr>
        <w:pStyle w:val="TextBody"/>
        <w:bidi w:val="0"/>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Unbilled Receivables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unbilled receivable occurs when a subscription or service is provided to a customer that requires revenue recognition under US GAAP earlier than when contractual billing occurs.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As Baker Hughes contractual invoice dates occur, these amounts accrue to accounts receivable, and then to cash when paid.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There are no collection concerns with Baker Hughes.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revenue and invoice amounts are irrevocable noncancellable minimum time-certain commitments under the terms of the agreement.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agreement provides extended payment terms for the approximate amount of the unbilled receivables that existed immediately prior to the January 2023 amendment.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Invoices are issued to Baker Hughes on the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of the second month of each fiscal quarter.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Payment terms are net 30 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2023 Bonus Awards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June 16, 2023, the Compensation Committee (the “Compensation Committee”) of our Board of Directors awarded discretionary performance-based bonuses payable in the form of fully-vested RSUs to certain of the Company’s “named executive officers” (as defined in Item 402(a)(3) of Regulation S-K promulgated by the Securities and Exchange Commission) (the “NEO’s”) for performance related to the fiscal year ended April 30, 2023 in the amounts set forth in the table below.</w:t>
      </w:r>
    </w:p>
    <w:tbl>
      <w:tblPr>
        <w:tblW w:w="7769" w:type="dxa"/>
        <w:jc w:val="left"/>
        <w:tblInd w:w="0" w:type="dxa"/>
        <w:tblLayout w:type="fixed"/>
        <w:tblCellMar>
          <w:top w:w="28" w:type="dxa"/>
          <w:left w:w="28" w:type="dxa"/>
          <w:bottom w:w="28" w:type="dxa"/>
          <w:right w:w="28" w:type="dxa"/>
        </w:tblCellMar>
      </w:tblPr>
      <w:tblGrid>
        <w:gridCol w:w="1977"/>
        <w:gridCol w:w="1738"/>
        <w:gridCol w:w="1745"/>
        <w:gridCol w:w="363"/>
        <w:gridCol w:w="1681"/>
        <w:gridCol w:w="265"/>
      </w:tblGrid>
      <w:tr>
        <w:trPr/>
        <w:tc>
          <w:tcPr>
            <w:tcW w:w="1977"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Named Executive Officer</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2023 Bonus Award</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M. Siebel, Chairman and Chief Executive Officer</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 Abbo, President and Chief Technology Officer</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Houman Behzadi, President and Chief Product Officer</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Juho Parkkinen, Senior Vice President and Chief Financial Officer</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395,000 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bonuses were paid at 100% of the target amount for each NEO under the fiscal 2023 bonus plan, based on a discretionary determination by the Compensation Committee with respect to achievement of 2023 goals.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Named Executive Officer Transition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June 19, 2023, Houman Behzadi, President and Chief Product Officer, became Executive Vice President, continuing to report to Mr. Siebel, our Chairman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(other than the information set forth in the next paragraph) will be included in our definitive proxy statement for our 2023 annual meeting of stockholders, or our 2023 Proxy Statement, to be filed with the SEC within 120 days after the end of our fiscal year ended April 30, 2023, and is incorporated herein by reference.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code of conduct that applies to all of our employees, officers, and directors, including our Chief Executive Officer, Chief Financial Officer and other executive and senior financial officers. The full text of our code of conduct is posted on the investor relations section on our website, which is located at https://ir.c3.ai. We intend to satisfy the disclosure requirement under Item 5.05 of Form 8-K regarding amendment to, or waiver from, a provision of our code of conduct by posting such information in the investor relations section of our website.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included in our 2023 Proxy Statement and is incorporated herein by reference.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2023 Proxy Statement and is incorporated herein by reference.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2023 Proxy Statement and is incorporated herein by reference.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2023 Proxy Statement and is incorporated herein by reference.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1.Financial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Financial Statements under Part II, Item 8 of this Annual Report on Form 10-K.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Schedules not listed above have been omitted because they are not required, not applicable, or the required information is otherwise included.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as part of this Annual Report on Form 10-K or are incorporated herein by reference as indicated.</w:t>
      </w:r>
    </w:p>
    <w:tbl>
      <w:tblPr>
        <w:tblW w:w="10205" w:type="dxa"/>
        <w:jc w:val="left"/>
        <w:tblInd w:w="0" w:type="dxa"/>
        <w:tblLayout w:type="fixed"/>
        <w:tblCellMar>
          <w:top w:w="28" w:type="dxa"/>
          <w:left w:w="28" w:type="dxa"/>
          <w:bottom w:w="28" w:type="dxa"/>
          <w:right w:w="28" w:type="dxa"/>
        </w:tblCellMar>
      </w:tblPr>
      <w:tblGrid>
        <w:gridCol w:w="257"/>
        <w:gridCol w:w="227"/>
        <w:gridCol w:w="228"/>
        <w:gridCol w:w="109"/>
        <w:gridCol w:w="109"/>
        <w:gridCol w:w="109"/>
        <w:gridCol w:w="1554"/>
        <w:gridCol w:w="1554"/>
        <w:gridCol w:w="1569"/>
        <w:gridCol w:w="109"/>
        <w:gridCol w:w="109"/>
        <w:gridCol w:w="109"/>
        <w:gridCol w:w="174"/>
        <w:gridCol w:w="174"/>
        <w:gridCol w:w="176"/>
        <w:gridCol w:w="109"/>
        <w:gridCol w:w="109"/>
        <w:gridCol w:w="109"/>
        <w:gridCol w:w="350"/>
        <w:gridCol w:w="281"/>
        <w:gridCol w:w="200"/>
        <w:gridCol w:w="109"/>
        <w:gridCol w:w="109"/>
        <w:gridCol w:w="109"/>
        <w:gridCol w:w="210"/>
        <w:gridCol w:w="210"/>
        <w:gridCol w:w="211"/>
        <w:gridCol w:w="109"/>
        <w:gridCol w:w="109"/>
        <w:gridCol w:w="109"/>
        <w:gridCol w:w="363"/>
        <w:gridCol w:w="341"/>
        <w:gridCol w:w="491"/>
      </w:tblGrid>
      <w:tr>
        <w:trPr/>
        <w:tc>
          <w:tcPr>
            <w:tcW w:w="2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SEC 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11, 2020</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30, 2020</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20"/>
                  <w:u w:val="single"/>
                </w:rPr>
                <w:t>Form of Class A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30, 2020</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20"/>
                  <w:u w:val="single"/>
                </w:rPr>
                <w:t>Amended and Restated Registration Rights Agreement by and among the Registrant and certain of its stockholders, dated August 15,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23, 2020</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20"/>
                  <w:u w:val="single"/>
                </w:rPr>
                <w:t>4.2.1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20"/>
                  <w:u w:val="single"/>
                </w:rPr>
                <w:t>Amendment to Registration Rights Agreement and Waiver of Registration Rights and Notice by and among the Registrant and certain of its stockholders, dated December 3,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25, 2021</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Voting Agreement by and among the Registrant, Thomas M. Siebel and Patricia A. House, dated January 15,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2020</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20"/>
                  <w:u w:val="single"/>
                </w:rPr>
                <w:t>Description of Capital Stock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25, 2021</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20"/>
                  <w:u w:val="single"/>
                </w:rPr>
                <w:t>C3.ai, Inc. Amended and Restated 2012 Equity Incentive Plan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2020</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20"/>
                  <w:u w:val="single"/>
                </w:rPr>
                <w:t>C3.ai, Inc. 2020 Equity Incentive Plan and forms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30, 2020</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FF"/>
                  <w:sz w:val="20"/>
                  <w:u w:val="single"/>
                </w:rPr>
                <w:t>C3.ai, Inc. 2020 Equity Incentive Plan forms of international award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25, 2021</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20"/>
                  <w:u w:val="single"/>
                </w:rPr>
                <w:t>C3.ai, Inc. 2020 Equity Incentive Plan form of Stock Option Grant Notice and Agreement - Early Exercise.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 2021</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FF"/>
                  <w:sz w:val="20"/>
                  <w:u w:val="single"/>
                </w:rPr>
                <w:t>C3.ai, Inc. 2020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30, 2020</w:t>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20"/>
                  <w:u w:val="single"/>
                </w:rPr>
                <w:t>Offer Letter by and between the Registrant and Edward Y. Abbo, dated July 22, 2009.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276"/>
        <w:gridCol w:w="243"/>
        <w:gridCol w:w="248"/>
        <w:gridCol w:w="109"/>
        <w:gridCol w:w="109"/>
        <w:gridCol w:w="109"/>
        <w:gridCol w:w="1929"/>
        <w:gridCol w:w="1366"/>
        <w:gridCol w:w="1370"/>
        <w:gridCol w:w="109"/>
        <w:gridCol w:w="109"/>
        <w:gridCol w:w="109"/>
        <w:gridCol w:w="151"/>
        <w:gridCol w:w="149"/>
        <w:gridCol w:w="133"/>
        <w:gridCol w:w="109"/>
        <w:gridCol w:w="109"/>
        <w:gridCol w:w="109"/>
        <w:gridCol w:w="282"/>
        <w:gridCol w:w="282"/>
        <w:gridCol w:w="284"/>
        <w:gridCol w:w="109"/>
        <w:gridCol w:w="109"/>
        <w:gridCol w:w="109"/>
        <w:gridCol w:w="204"/>
        <w:gridCol w:w="204"/>
        <w:gridCol w:w="208"/>
        <w:gridCol w:w="109"/>
        <w:gridCol w:w="109"/>
        <w:gridCol w:w="109"/>
        <w:gridCol w:w="368"/>
        <w:gridCol w:w="358"/>
        <w:gridCol w:w="515"/>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20"/>
                  <w:u w:val="single"/>
                </w:rPr>
                <w:t>Offer Letter by and between the Registrant and Houman Behzadi, dated January 6, 2010</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2020</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FF"/>
                  <w:sz w:val="20"/>
                  <w:u w:val="single"/>
                </w:rPr>
                <w:t>Revised Offer Letter by and between the Registrant and Edward Y. Abbo, dated July 15, 2011.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2020</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ans-serif" w:hAnsi="Times New Roman;sans-serif"/>
                  <w:b w:val="false"/>
                  <w:color w:val="0000FF"/>
                  <w:sz w:val="20"/>
                  <w:u w:val="single"/>
                </w:rPr>
                <w:t>Amended and Restated Advisor Agreement by and between the Registrant and Jim Hagemann Snabe, dated September 13,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2021</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ans-serif" w:hAnsi="Times New Roman;sans-serif"/>
                  <w:b w:val="false"/>
                  <w:color w:val="0000FF"/>
                  <w:sz w:val="20"/>
                  <w:u w:val="single"/>
                </w:rPr>
                <w:t>Form of Indemnification Agreement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333-253944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5, 2021</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ans-serif" w:hAnsi="Times New Roman;sans-serif"/>
                  <w:b w:val="false"/>
                  <w:color w:val="0000FF"/>
                  <w:sz w:val="20"/>
                  <w:u w:val="single"/>
                </w:rPr>
                <w:t>Lease by and between the Registrant and Google LLC (as successor-in-interest to VII Pac Shores Investors, LLC), dated October 28, 2011.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2020</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FF"/>
                  <w:sz w:val="20"/>
                  <w:u w:val="single"/>
                </w:rPr>
                <w:t>10.9.1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ans-serif" w:hAnsi="Times New Roman;sans-serif"/>
                  <w:b w:val="false"/>
                  <w:color w:val="0000FF"/>
                  <w:sz w:val="20"/>
                  <w:u w:val="single"/>
                </w:rPr>
                <w:t>First Amendment to Lease by and between the Registrant and Google LLC, dated April 4,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2020</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ans-serif" w:hAnsi="Times New Roman;sans-serif"/>
                  <w:b w:val="false"/>
                  <w:color w:val="0000FF"/>
                  <w:sz w:val="20"/>
                  <w:u w:val="single"/>
                </w:rPr>
                <w:t>10.9.2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ans-serif" w:hAnsi="Times New Roman;sans-serif"/>
                  <w:b w:val="false"/>
                  <w:color w:val="0000FF"/>
                  <w:sz w:val="20"/>
                  <w:u w:val="single"/>
                </w:rPr>
                <w:t>Second Amendment to Lease by and between the Registrant and Google LLC, dated November 7,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2020</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ans-serif" w:hAnsi="Times New Roman;sans-serif"/>
                  <w:b w:val="false"/>
                  <w:color w:val="0000FF"/>
                  <w:sz w:val="20"/>
                  <w:u w:val="single"/>
                </w:rPr>
                <w:t>10.9.3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5">
              <w:r>
                <w:rPr>
                  <w:rStyle w:val="InternetLink"/>
                  <w:rFonts w:ascii="Times New Roman;sans-serif" w:hAnsi="Times New Roman;sans-serif"/>
                  <w:b w:val="false"/>
                  <w:color w:val="0000FF"/>
                  <w:sz w:val="20"/>
                  <w:u w:val="single"/>
                </w:rPr>
                <w:t>Third Amendment to Lease by and between the Registrant and Google LLC, dated August 25,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 2021</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FF"/>
                  <w:sz w:val="20"/>
                  <w:u w:val="single"/>
                </w:rPr>
                <w:t>10.9.4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ans-serif" w:hAnsi="Times New Roman;sans-serif"/>
                  <w:b w:val="false"/>
                  <w:color w:val="0000FF"/>
                  <w:sz w:val="20"/>
                  <w:u w:val="single"/>
                </w:rPr>
                <w:t>Fourth Amendment to Lease by and between the Registrant and Google LLC, dated April 6,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23, 2022</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ans-serif" w:hAnsi="Times New Roman;sans-serif"/>
                  <w:b w:val="false"/>
                  <w:color w:val="0000FF"/>
                  <w:sz w:val="20"/>
                  <w:u w:val="single"/>
                </w:rPr>
                <w:t>10.9.5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ans-serif" w:hAnsi="Times New Roman;sans-serif"/>
                  <w:b w:val="false"/>
                  <w:color w:val="0000FF"/>
                  <w:sz w:val="20"/>
                  <w:u w:val="single"/>
                </w:rPr>
                <w:t>Sublease by and between the Registrant and First Virtual Group, Inc., dated February 21,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 2023</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ans-serif" w:hAnsi="Times New Roman;sans-serif"/>
                  <w:b w:val="false"/>
                  <w:color w:val="0000FF"/>
                  <w:sz w:val="20"/>
                  <w:u w:val="single"/>
                </w:rPr>
                <w:t>Joint Venture Agreement by and between the Registrant and Baker Hughes Holdings LLC, dated June 6,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2020</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ans-serif" w:hAnsi="Times New Roman;sans-serif"/>
                  <w:b w:val="false"/>
                  <w:color w:val="0000FF"/>
                  <w:sz w:val="20"/>
                  <w:u w:val="single"/>
                </w:rPr>
                <w:t>10.10.1#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ans-serif" w:hAnsi="Times New Roman;sans-serif"/>
                  <w:b w:val="false"/>
                  <w:color w:val="0000FF"/>
                  <w:sz w:val="20"/>
                  <w:u w:val="single"/>
                </w:rPr>
                <w:t>First Amendment to Joint Venture Agreement by and between the Registrant and Baker Hughes Holdings LLC, dated September 26,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2020</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ans-serif" w:hAnsi="Times New Roman;sans-serif"/>
                  <w:b w:val="false"/>
                  <w:color w:val="0000FF"/>
                  <w:sz w:val="20"/>
                  <w:u w:val="single"/>
                </w:rPr>
                <w:t>10.10.2#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ans-serif" w:hAnsi="Times New Roman;sans-serif"/>
                  <w:b w:val="false"/>
                  <w:color w:val="0000FF"/>
                  <w:sz w:val="20"/>
                  <w:u w:val="single"/>
                </w:rPr>
                <w:t>Second Amendment to Joint Venture Agreement by and between the Registrant and Baker Hughes Holdings LLC, dated June 1,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2020</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ans-serif" w:hAnsi="Times New Roman;sans-serif"/>
                  <w:b w:val="false"/>
                  <w:color w:val="0000FF"/>
                  <w:sz w:val="20"/>
                  <w:u w:val="single"/>
                </w:rPr>
                <w:t>10.10.3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7">
              <w:r>
                <w:rPr>
                  <w:rStyle w:val="InternetLink"/>
                  <w:rFonts w:ascii="Times New Roman;sans-serif" w:hAnsi="Times New Roman;sans-serif"/>
                  <w:b w:val="false"/>
                  <w:color w:val="0000FF"/>
                  <w:sz w:val="20"/>
                  <w:u w:val="single"/>
                </w:rPr>
                <w:t>Third Amendment to Joint Venture Agreement by and between the Registrant and Baker Hughes Holdings LLC, dated October 31,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 2021</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ans-serif" w:hAnsi="Times New Roman;sans-serif"/>
                  <w:b w:val="false"/>
                  <w:color w:val="0000FF"/>
                  <w:sz w:val="20"/>
                  <w:u w:val="single"/>
                </w:rPr>
                <w:t>Common Stock Purchase Agreement by and between the Registrant and Spring Creek Capital, LLC, dated as of November 25,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30, 2020</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Common Stock Purchase Agreement by and between the Registrant and Microsoft Corporation, dated as of November 27,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30, 2020</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Times New Roman;sans-serif" w:hAnsi="Times New Roman;sans-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3">
              <w:r>
                <w:rPr>
                  <w:rStyle w:val="InternetLink"/>
                  <w:rFonts w:ascii="Times New Roman;sans-serif" w:hAnsi="Times New Roman;sans-serif"/>
                  <w:b w:val="false"/>
                  <w:color w:val="0000FF"/>
                  <w:sz w:val="20"/>
                  <w:u w:val="single"/>
                </w:rPr>
                <w:t>Office Lease by and between the Registrant and DWF IV 1400-1500 Seaport Blvd. LLC dated August 25,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 2021</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ans-serif" w:hAnsi="Times New Roman;sans-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5">
              <w:r>
                <w:rPr>
                  <w:rStyle w:val="InternetLink"/>
                  <w:rFonts w:ascii="Times New Roman;sans-serif" w:hAnsi="Times New Roman;sans-serif"/>
                  <w:b w:val="false"/>
                  <w:color w:val="0000FF"/>
                  <w:sz w:val="20"/>
                  <w:u w:val="single"/>
                </w:rPr>
                <w:t>Offer Letter by and between the Registrant and David Barter, dated October 2,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 2021</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6">
              <w:r>
                <w:rPr>
                  <w:rStyle w:val="InternetLink"/>
                  <w:rFonts w:ascii="Times New Roman;sans-serif" w:hAnsi="Times New Roman;sans-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7">
              <w:r>
                <w:rPr>
                  <w:rStyle w:val="InternetLink"/>
                  <w:rFonts w:ascii="Times New Roman;sans-serif" w:hAnsi="Times New Roman;sans-serif"/>
                  <w:b w:val="false"/>
                  <w:color w:val="0000FF"/>
                  <w:sz w:val="20"/>
                  <w:u w:val="single"/>
                </w:rPr>
                <w:t>Offer Letter by and between the Registrant and Adeel Manzoor, dated October 27,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 2022</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8">
              <w:r>
                <w:rPr>
                  <w:rStyle w:val="InternetLink"/>
                  <w:rFonts w:ascii="Times New Roman;sans-serif" w:hAnsi="Times New Roman;sans-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9">
              <w:r>
                <w:rPr>
                  <w:rStyle w:val="InternetLink"/>
                  <w:rFonts w:ascii="Times New Roman;sans-serif" w:hAnsi="Times New Roman;sans-serif"/>
                  <w:b w:val="false"/>
                  <w:color w:val="0000FF"/>
                  <w:sz w:val="20"/>
                  <w:u w:val="single"/>
                </w:rPr>
                <w:t>Separation Agreement by and between the Registrant and Adeel Manzoor, dated February 25,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 2022</w:t>
            </w:r>
          </w:p>
        </w:tc>
      </w:tr>
      <w:tr>
        <w:trPr/>
        <w:tc>
          <w:tcPr>
            <w:tcW w:w="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0">
              <w:r>
                <w:rPr>
                  <w:rStyle w:val="InternetLink"/>
                  <w:rFonts w:ascii="Times New Roman;sans-serif" w:hAnsi="Times New Roman;sans-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1">
              <w:r>
                <w:rPr>
                  <w:rStyle w:val="InternetLink"/>
                  <w:rFonts w:ascii="Times New Roman;sans-serif" w:hAnsi="Times New Roman;sans-serif"/>
                  <w:b w:val="false"/>
                  <w:color w:val="0000FF"/>
                  <w:sz w:val="20"/>
                  <w:u w:val="single"/>
                </w:rPr>
                <w:t>Offer Letter by and between the Registrant and Juho Parkkinen, dated March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001-39744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265"/>
        <w:gridCol w:w="218"/>
        <w:gridCol w:w="219"/>
        <w:gridCol w:w="109"/>
        <w:gridCol w:w="109"/>
        <w:gridCol w:w="109"/>
        <w:gridCol w:w="2292"/>
        <w:gridCol w:w="2107"/>
        <w:gridCol w:w="211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6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y23exhibit211.htm">
              <w:r>
                <w:rPr>
                  <w:rStyle w:val="InternetLink"/>
                  <w:rFonts w:ascii="Times New Roman;sans-serif" w:hAnsi="Times New Roman;sans-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exhibit211.htm">
              <w:r>
                <w:rPr>
                  <w:rStyle w:val="InternetLink"/>
                  <w:rFonts w:ascii="Times New Roman;sans-serif" w:hAnsi="Times New Roman;sans-serif"/>
                  <w:b w:val="false"/>
                  <w:color w:val="0000FF"/>
                  <w:sz w:val="20"/>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y23-exhibit231.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exhibit231.htm">
              <w:r>
                <w:rPr>
                  <w:rStyle w:val="InternetLink"/>
                  <w:rFonts w:ascii="Times New Roman;sans-serif" w:hAnsi="Times New Roman;sans-serif"/>
                  <w:b w:val="false"/>
                  <w:color w:val="0000FF"/>
                  <w:sz w:val="20"/>
                  <w:u w:val="single"/>
                </w:rPr>
                <w:t>Consent of Deloitte &amp; Touche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bc384f66f3b44349b886d7e9ac408dc_217">
              <w:r>
                <w:rPr>
                  <w:rStyle w:val="InternetLink"/>
                  <w:rFonts w:ascii="Times New Roman;sans-serif" w:hAnsi="Times New Roman;sans-serif"/>
                  <w:b w:val="false"/>
                  <w:color w:val="0000FF"/>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c384f66f3b44349b886d7e9ac408dc_217">
              <w:r>
                <w:rPr>
                  <w:rStyle w:val="InternetLink"/>
                  <w:rFonts w:ascii="Times New Roman;sans-serif" w:hAnsi="Times New Roman;sans-serif"/>
                  <w:b w:val="false"/>
                  <w:color w:val="0000FF"/>
                  <w:sz w:val="20"/>
                  <w:u w:val="single"/>
                </w:rPr>
                <w:t>Power of Attorney (included on signature page)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y23302certification-ceo10.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302certification-ceo10.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y23302certification-cfo10.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302certification-cfo10.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y23906certification-ceo10.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906certification-ceo10.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y23906certification-cfo10.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906certification-cfo10.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The certifications furnished in Exhibits 32.1 and 32.2 that accompany this Annual Report on Form 10-K are not deemed filed with the SEC and are not to be incorporated by reference into any filing of the Registrant under the Securities Act of 1933, as amended, or the Exchange Act, whether made before or after the date of this Annual Report on Form 10-K, irrespective of any general incorporation language contained in such filing.</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Indicates management contract or compensatory plan.</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Portions of this exhibit (indicated by asterisks) have been omitted as the registrant has determined that (1) the omitted information is not material and (2) the omitted information would likely cause competitive harm to the registrant if publicly disclosed.</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712" w:type="dxa"/>
        <w:jc w:val="left"/>
        <w:tblInd w:w="0" w:type="dxa"/>
        <w:tblLayout w:type="fixed"/>
        <w:tblCellMar>
          <w:top w:w="28" w:type="dxa"/>
          <w:left w:w="28" w:type="dxa"/>
          <w:bottom w:w="28" w:type="dxa"/>
          <w:right w:w="28" w:type="dxa"/>
        </w:tblCellMar>
      </w:tblPr>
      <w:tblGrid>
        <w:gridCol w:w="629"/>
        <w:gridCol w:w="554"/>
        <w:gridCol w:w="557"/>
        <w:gridCol w:w="156"/>
        <w:gridCol w:w="156"/>
        <w:gridCol w:w="156"/>
        <w:gridCol w:w="731"/>
        <w:gridCol w:w="731"/>
        <w:gridCol w:w="104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C3.ai,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21, 2023</w:t>
            </w:r>
          </w:p>
        </w:tc>
        <w:tc>
          <w:tcPr>
            <w:tcW w:w="46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Thomas M. Siebel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M. Siebel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Thomas M. Siebel and Juho Parkkinen, and each one of them, as his or her true and lawful attorney-in-fact and agent, with the power of substitution and re-substitution, for him or her and in their name, place and stead,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each of said attorneys-in-fact, or his or her substitute or substitutes, may do or cause to be done by virtue hereof.</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this report has been signed by the following persons on behalf of the registrant and in the capacities and on the dates indicated.</w:t>
      </w:r>
    </w:p>
    <w:tbl>
      <w:tblPr>
        <w:tblW w:w="8379" w:type="dxa"/>
        <w:jc w:val="left"/>
        <w:tblInd w:w="0" w:type="dxa"/>
        <w:tblLayout w:type="fixed"/>
        <w:tblCellMar>
          <w:top w:w="28" w:type="dxa"/>
          <w:left w:w="28" w:type="dxa"/>
          <w:bottom w:w="28" w:type="dxa"/>
          <w:right w:w="28" w:type="dxa"/>
        </w:tblCellMar>
      </w:tblPr>
      <w:tblGrid>
        <w:gridCol w:w="786"/>
        <w:gridCol w:w="692"/>
        <w:gridCol w:w="697"/>
        <w:gridCol w:w="109"/>
        <w:gridCol w:w="109"/>
        <w:gridCol w:w="109"/>
        <w:gridCol w:w="1414"/>
        <w:gridCol w:w="1414"/>
        <w:gridCol w:w="1432"/>
        <w:gridCol w:w="109"/>
        <w:gridCol w:w="109"/>
        <w:gridCol w:w="109"/>
        <w:gridCol w:w="377"/>
        <w:gridCol w:w="377"/>
        <w:gridCol w:w="536"/>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M. Siebel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M. Siebel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21, 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Juho Parkkinen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Juho Parkkinen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21, 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C. Levin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C. Levin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21, 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 McCaffery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G. McCaffery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21, 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Condoleezza 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Condoleezza 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21, 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Bruce Sewell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Sewell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21, 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Lisa A.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Lisa A.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21, 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Jim H. Snabe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Jim H. Snabe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21, 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M. Ward,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M. Ward,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21, 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 Sridhar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 Sridhar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21, 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21.1</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Subsidiaries of C3.ai, Inc.</w:t>
      </w:r>
    </w:p>
    <w:tbl>
      <w:tblPr>
        <w:tblW w:w="6030" w:type="dxa"/>
        <w:jc w:val="left"/>
        <w:tblInd w:w="0" w:type="dxa"/>
        <w:tblLayout w:type="fixed"/>
        <w:tblCellMar>
          <w:top w:w="28" w:type="dxa"/>
          <w:left w:w="28" w:type="dxa"/>
          <w:bottom w:w="28" w:type="dxa"/>
          <w:right w:w="28" w:type="dxa"/>
        </w:tblCellMar>
      </w:tblPr>
      <w:tblGrid>
        <w:gridCol w:w="1180"/>
        <w:gridCol w:w="1035"/>
        <w:gridCol w:w="1040"/>
        <w:gridCol w:w="812"/>
        <w:gridCol w:w="812"/>
        <w:gridCol w:w="1151"/>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Subsidiary</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Jurisdiction of Organization</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C3, Inc.</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C3.ai Gov, Inc.</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C3.ai International, Inc.</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AI Press, Inc.</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C3 IoT France S.A.S.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C3.ai UK Ltd.</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C3 Energy Italy S.R.L.</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Italy</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C3.ai Belgium S.R.L.</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Belgium</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C3.ai Japan K.K.</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Japan</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C3.ai Netherlands B.V.</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Netherlands</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C3.ai Australia Pty Ltd.</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C3 IoT Hong Kong Limited</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Hong Kong</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C3.ai Singapore Pte Ltd.</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Singapore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C3.ai México S. de R.L. de C.V.</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Mexico</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Registration Statement Nos. 333-251236, 333-253944, 333-257452 and 333-265781 on Form S-8 of our report dated June 21, 2023, relating to the consolidated financial statements of C3.ai, Inc. and subsidiaries (the “Company”) and the effectiveness of the Company's internal control over financial reporting, appearing in this Annual Report on Form 10-K for the year ended April 30, 2023.</w:t>
      </w:r>
    </w:p>
    <w:p>
      <w:pPr>
        <w:pStyle w:val="TextBody"/>
        <w:bidi w:val="0"/>
        <w:spacing w:before="0" w:after="2"/>
        <w:jc w:val="both"/>
        <w:rPr/>
      </w:pPr>
      <w:r>
        <w:rPr/>
      </w:r>
    </w:p>
    <w:p>
      <w:pPr>
        <w:pStyle w:val="TextBody"/>
        <w:bidi w:val="0"/>
        <w:spacing w:lineRule="auto" w:line="319"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/s/ DELOITTE &amp; TOUCHE LLP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San Jose, California</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June 21, 2023</w:t>
      </w:r>
    </w:p>
    <w:p>
      <w:pPr>
        <w:pStyle w:val="TextBody"/>
        <w:bidi w:val="0"/>
        <w:spacing w:before="360" w:after="283"/>
        <w:jc w:val="center"/>
        <w:rPr/>
      </w:pPr>
      <w:r>
        <w:rPr/>
      </w:r>
    </w:p>
    <w:p>
      <w:pPr>
        <w:pStyle w:val="TextBody"/>
        <w:bidi w:val="0"/>
        <w:spacing w:before="360" w:after="283"/>
        <w:jc w:val="center"/>
        <w:rPr/>
      </w:pPr>
      <w:r>
        <w:rPr/>
      </w:r>
    </w:p>
    <w:p>
      <w:pPr>
        <w:pStyle w:val="TextBody"/>
        <w:bidi w:val="0"/>
        <w:spacing w:before="360" w:after="283"/>
        <w:jc w:val="center"/>
        <w:rPr/>
      </w:pPr>
      <w:r>
        <w:rPr/>
      </w:r>
    </w:p>
    <w:p>
      <w:pPr>
        <w:pStyle w:val="TextBody"/>
        <w:bidi w:val="0"/>
        <w:spacing w:before="360" w:after="283"/>
        <w:jc w:val="center"/>
        <w:rPr/>
      </w:pPr>
      <w:r>
        <w:rPr/>
      </w:r>
    </w:p>
    <w:p>
      <w:pPr>
        <w:pStyle w:val="TextBody"/>
        <w:bidi w:val="0"/>
        <w:spacing w:before="360" w:after="283"/>
        <w:jc w:val="center"/>
        <w:rPr/>
      </w:pPr>
      <w:r>
        <w:rPr/>
      </w:r>
    </w:p>
    <w:p>
      <w:pPr>
        <w:pStyle w:val="TextBody"/>
        <w:bidi w:val="0"/>
        <w:spacing w:before="360" w:after="283"/>
        <w:jc w:val="center"/>
        <w:rPr/>
      </w:pPr>
      <w:r>
        <w:rPr/>
      </w:r>
    </w:p>
    <w:p>
      <w:pPr>
        <w:pStyle w:val="TextBody"/>
        <w:bidi w:val="0"/>
        <w:spacing w:before="360" w:after="283"/>
        <w:jc w:val="center"/>
        <w:rPr/>
      </w:pPr>
      <w:r>
        <w:rPr/>
      </w:r>
    </w:p>
    <w:p>
      <w:pPr>
        <w:pStyle w:val="TextBody"/>
        <w:bidi w:val="0"/>
        <w:spacing w:before="360" w:after="283"/>
        <w:jc w:val="center"/>
        <w:rPr/>
      </w:pPr>
      <w:r>
        <w:rPr/>
      </w:r>
    </w:p>
    <w:p>
      <w:pPr>
        <w:pStyle w:val="TextBody"/>
        <w:bidi w:val="0"/>
        <w:spacing w:before="36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Thomas M. Siebel,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C3.ai,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484"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559"/>
        <w:gridCol w:w="1559"/>
        <w:gridCol w:w="222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21, 2023</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M. Siebel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M. Siebel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and Chairman of the Board of Directors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Juho Parkkinen,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C3.ai,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283"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209"/>
        <w:gridCol w:w="1209"/>
        <w:gridCol w:w="172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21, 2023</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Juho Parkkinen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Juho Parkkinen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Thomas M. Siebel, Chairman and Chief Executive Officer of C3.ai, Inc. (the “Company”), do hereby certify, to the best of my knowledge and pursuant to the requirement set forth in Rule 13a-14(b) of the Securities Exchange Act of 1934, as amended, (the “Exchange Act”) and 18 U.S.C. Section 1350, as adopted pursuant to Section 906 of the Sarbanes-Oxley Act of 2002, that:</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Annual Report on Form 10-K of the Company for the year ended April 30, 2023, to which this Certification is attached as Exhibit 32.1 (the “Report”), fully complies with the requirements of Section 13(a) or Section 15(d) of the Exchange Act; and </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484"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559"/>
        <w:gridCol w:w="1559"/>
        <w:gridCol w:w="222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21, 2023</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Thomas M. Siebel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M. Siebel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and Chairman of the Board of Directors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Juho Parkkinen, Senior Vice President and Chief Financial Officer of C3.ai, Inc. (the “Company”), do hereby certify, to the best of my knowledge and pursuant to the requirement set forth in Rule 13a-14(b) of the Securities Exchange Act of 1934, as amended, (the “Exchange Act”) and 18 U.S.C. Section 1350, as adopted pursuant to Section 906 of the Sarbanes-Oxley Act of 2002, that:</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Annual Report on Form 10-K of the Company for the year ended April 30, 2023, to which this Certification is attached as Exhibit 32.2 (the “Report”), fully complies with the requirements of Section 13(a) or Section 15(d) of the Exchange Act; and </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283"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209"/>
        <w:gridCol w:w="1209"/>
        <w:gridCol w:w="172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21, 2023</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Juho Parkkinen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Juho Parkkinen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77526/000162828022017829/ai-20220430.htm" TargetMode="External"/><Relationship Id="rId4" Type="http://schemas.openxmlformats.org/officeDocument/2006/relationships/hyperlink" Target="https://www.sec.gov/Archives/edgar/data/0001577526/000162828020017407/exhibit31-8xk.htm" TargetMode="External"/><Relationship Id="rId5" Type="http://schemas.openxmlformats.org/officeDocument/2006/relationships/hyperlink" Target="https://www.sec.gov/Archives/edgar/data/0001577526/000162828020017407/exhibit31-8xk.htm" TargetMode="External"/><Relationship Id="rId6" Type="http://schemas.openxmlformats.org/officeDocument/2006/relationships/hyperlink" Target="https://www.sec.gov/Archives/edgar/data/1577526/000162828020016868/exhibit34-sx1a2.htm" TargetMode="External"/><Relationship Id="rId7" Type="http://schemas.openxmlformats.org/officeDocument/2006/relationships/hyperlink" Target="https://www.sec.gov/Archives/edgar/data/1577526/000162828020016868/exhibit34-sx1a2.htm" TargetMode="External"/><Relationship Id="rId8" Type="http://schemas.openxmlformats.org/officeDocument/2006/relationships/hyperlink" Target="https://www.sec.gov/Archives/edgar/data/1577526/000162828020016868/exhibit41-sx1a2.htm" TargetMode="External"/><Relationship Id="rId9" Type="http://schemas.openxmlformats.org/officeDocument/2006/relationships/hyperlink" Target="https://www.sec.gov/Archives/edgar/data/1577526/000162828020016868/exhibit41-sx1a2.htm" TargetMode="External"/><Relationship Id="rId10" Type="http://schemas.openxmlformats.org/officeDocument/2006/relationships/hyperlink" Target="https://www.sec.gov/Archives/edgar/data/1577526/000162828020016726/exhibit42-sx1a1.htm" TargetMode="External"/><Relationship Id="rId11" Type="http://schemas.openxmlformats.org/officeDocument/2006/relationships/hyperlink" Target="https://www.sec.gov/Archives/edgar/data/1577526/000162828020016726/exhibit42-sx1a1.htm" TargetMode="External"/><Relationship Id="rId12" Type="http://schemas.openxmlformats.org/officeDocument/2006/relationships/hyperlink" Target="https://www.sec.gov/Archives/edgar/data/1577526/000162828021012990/exhibit421.htm" TargetMode="External"/><Relationship Id="rId13" Type="http://schemas.openxmlformats.org/officeDocument/2006/relationships/hyperlink" Target="https://www.sec.gov/Archives/edgar/data/1577526/000162828021012990/exhibit421.htm" TargetMode="External"/><Relationship Id="rId14" Type="http://schemas.openxmlformats.org/officeDocument/2006/relationships/hyperlink" Target="https://www.sec.gov/Archives/edgar/data/1577526/000162828020016443/exhibit43s-1.htm" TargetMode="External"/><Relationship Id="rId15" Type="http://schemas.openxmlformats.org/officeDocument/2006/relationships/hyperlink" Target="https://www.sec.gov/Archives/edgar/data/1577526/000162828020016443/exhibit43s-1.htm" TargetMode="External"/><Relationship Id="rId16" Type="http://schemas.openxmlformats.org/officeDocument/2006/relationships/hyperlink" Target="https://www.sec.gov/Archives/edgar/data/1577526/000162828021012990/exhibit44.htm" TargetMode="External"/><Relationship Id="rId17" Type="http://schemas.openxmlformats.org/officeDocument/2006/relationships/hyperlink" Target="https://www.sec.gov/Archives/edgar/data/1577526/000162828021012990/exhibit44.htm" TargetMode="External"/><Relationship Id="rId18" Type="http://schemas.openxmlformats.org/officeDocument/2006/relationships/hyperlink" Target="https://www.sec.gov/Archives/edgar/data/1577526/000162828020016443/exhibit101-sx1.htm" TargetMode="External"/><Relationship Id="rId19" Type="http://schemas.openxmlformats.org/officeDocument/2006/relationships/hyperlink" Target="https://www.sec.gov/Archives/edgar/data/1577526/000162828020016443/exhibit101-sx1.htm" TargetMode="External"/><Relationship Id="rId20" Type="http://schemas.openxmlformats.org/officeDocument/2006/relationships/hyperlink" Target="https://www.sec.gov/Archives/edgar/data/1577526/000162828020016868/exhibit102-sx1a2.htm" TargetMode="External"/><Relationship Id="rId21" Type="http://schemas.openxmlformats.org/officeDocument/2006/relationships/hyperlink" Target="https://www.sec.gov/Archives/edgar/data/1577526/000162828020016868/exhibit102-sx1a2.htm" TargetMode="External"/><Relationship Id="rId22" Type="http://schemas.openxmlformats.org/officeDocument/2006/relationships/hyperlink" Target="https://www.sec.gov/Archives/edgar/data/1577526/000162828021012990/exhibit1021.htm" TargetMode="External"/><Relationship Id="rId23" Type="http://schemas.openxmlformats.org/officeDocument/2006/relationships/hyperlink" Target="https://www.sec.gov/Archives/edgar/data/1577526/000162828021012990/exhibit1021.htm" TargetMode="External"/><Relationship Id="rId24" Type="http://schemas.openxmlformats.org/officeDocument/2006/relationships/hyperlink" Target="https://www.sec.gov/Archives/edgar/data/1577526/000162828021024342/exhibit103.htm" TargetMode="External"/><Relationship Id="rId25" Type="http://schemas.openxmlformats.org/officeDocument/2006/relationships/hyperlink" Target="https://www.sec.gov/Archives/edgar/data/1577526/000162828021024342/exhibit103.htm" TargetMode="External"/><Relationship Id="rId26" Type="http://schemas.openxmlformats.org/officeDocument/2006/relationships/hyperlink" Target="https://www.sec.gov/Archives/edgar/data/1577526/000162828020016868/exhibit103-sx1a2.htm" TargetMode="External"/><Relationship Id="rId27" Type="http://schemas.openxmlformats.org/officeDocument/2006/relationships/hyperlink" Target="https://www.sec.gov/Archives/edgar/data/1577526/000162828020016868/exhibit103-sx1a2.htm" TargetMode="External"/><Relationship Id="rId28" Type="http://schemas.openxmlformats.org/officeDocument/2006/relationships/hyperlink" Target="https://www.sec.gov/Archives/edgar/data/1577526/000162828020016443/exhibit104-sx1.htm" TargetMode="External"/><Relationship Id="rId29" Type="http://schemas.openxmlformats.org/officeDocument/2006/relationships/hyperlink" Target="https://www.sec.gov/Archives/edgar/data/1577526/000162828020016443/exhibit104-sx1.htm" TargetMode="External"/><Relationship Id="rId30" Type="http://schemas.openxmlformats.org/officeDocument/2006/relationships/hyperlink" Target="https://www.sec.gov/Archives/edgar/data/1577526/000162828020016443/exhibit105-sx1.htm" TargetMode="External"/><Relationship Id="rId31" Type="http://schemas.openxmlformats.org/officeDocument/2006/relationships/hyperlink" Target="https://www.sec.gov/Archives/edgar/data/1577526/000162828020016443/exhibit105-sx1.htm" TargetMode="External"/><Relationship Id="rId32" Type="http://schemas.openxmlformats.org/officeDocument/2006/relationships/hyperlink" Target="https://www.sec.gov/Archives/edgar/data/1577526/000162828020016443/exhibit106-sx1.htm" TargetMode="External"/><Relationship Id="rId33" Type="http://schemas.openxmlformats.org/officeDocument/2006/relationships/hyperlink" Target="https://www.sec.gov/Archives/edgar/data/1577526/000162828020016443/exhibit106-sx1.htm" TargetMode="External"/><Relationship Id="rId34" Type="http://schemas.openxmlformats.org/officeDocument/2006/relationships/hyperlink" Target="https://www.sec.gov/Archives/edgar/data/0001577526/000162828021003652/ex101-advisoryagreements.htm" TargetMode="External"/><Relationship Id="rId35" Type="http://schemas.openxmlformats.org/officeDocument/2006/relationships/hyperlink" Target="https://www.sec.gov/Archives/edgar/data/0001577526/000162828021003652/ex101-advisoryagreements.htm" TargetMode="External"/><Relationship Id="rId36" Type="http://schemas.openxmlformats.org/officeDocument/2006/relationships/hyperlink" Target="https://www.sec.gov/Archives/edgar/data/0001577526/000119312521071595/d116036dex101.htm" TargetMode="External"/><Relationship Id="rId37" Type="http://schemas.openxmlformats.org/officeDocument/2006/relationships/hyperlink" Target="https://www.sec.gov/Archives/edgar/data/0001577526/000119312521071595/d116036dex101.htm" TargetMode="External"/><Relationship Id="rId38" Type="http://schemas.openxmlformats.org/officeDocument/2006/relationships/hyperlink" Target="https://www.sec.gov/Archives/edgar/data/1577526/000162828020016443/exhibit107-sx1.htm" TargetMode="External"/><Relationship Id="rId39" Type="http://schemas.openxmlformats.org/officeDocument/2006/relationships/hyperlink" Target="https://www.sec.gov/Archives/edgar/data/1577526/000162828020016443/exhibit107-sx1.htm" TargetMode="External"/><Relationship Id="rId40" Type="http://schemas.openxmlformats.org/officeDocument/2006/relationships/hyperlink" Target="https://www.sec.gov/Archives/edgar/data/1577526/000162828020016443/exhibit108-sx1.htm" TargetMode="External"/><Relationship Id="rId41" Type="http://schemas.openxmlformats.org/officeDocument/2006/relationships/hyperlink" Target="https://www.sec.gov/Archives/edgar/data/1577526/000162828020016443/exhibit108-sx1.htm" TargetMode="External"/><Relationship Id="rId42" Type="http://schemas.openxmlformats.org/officeDocument/2006/relationships/hyperlink" Target="https://www.sec.gov/Archives/edgar/data/1577526/000162828020016443/exhibit109-sx1.htm" TargetMode="External"/><Relationship Id="rId43" Type="http://schemas.openxmlformats.org/officeDocument/2006/relationships/hyperlink" Target="https://www.sec.gov/Archives/edgar/data/1577526/000162828020016443/exhibit109-sx1.htm" TargetMode="External"/><Relationship Id="rId44" Type="http://schemas.openxmlformats.org/officeDocument/2006/relationships/hyperlink" Target="https://www.sec.gov/Archives/edgar/data/1577526/000162828021024342/exhibit101.htm" TargetMode="External"/><Relationship Id="rId45" Type="http://schemas.openxmlformats.org/officeDocument/2006/relationships/hyperlink" Target="https://www.sec.gov/Archives/edgar/data/1577526/000162828021024342/exhibit101.htm" TargetMode="External"/><Relationship Id="rId46" Type="http://schemas.openxmlformats.org/officeDocument/2006/relationships/hyperlink" Target="https://www.sec.gov/Archives/edgar/data/1577526/000162828022017829/fy22exhibit1094.htm" TargetMode="External"/><Relationship Id="rId47" Type="http://schemas.openxmlformats.org/officeDocument/2006/relationships/hyperlink" Target="https://www.sec.gov/Archives/edgar/data/1577526/000162828022017829/fy22exhibit1094.htm" TargetMode="External"/><Relationship Id="rId48" Type="http://schemas.openxmlformats.org/officeDocument/2006/relationships/hyperlink" Target="https://www.sec.gov/Archives/edgar/data/1577526/000162828023006164/exhibit-101.htm" TargetMode="External"/><Relationship Id="rId49" Type="http://schemas.openxmlformats.org/officeDocument/2006/relationships/hyperlink" Target="https://www.sec.gov/Archives/edgar/data/1577526/000162828023006164/exhibit-101.htm" TargetMode="External"/><Relationship Id="rId50" Type="http://schemas.openxmlformats.org/officeDocument/2006/relationships/hyperlink" Target="https://www.sec.gov/Archives/edgar/data/1577526/000162828020016443/exhibit1010-sx1.htm" TargetMode="External"/><Relationship Id="rId51" Type="http://schemas.openxmlformats.org/officeDocument/2006/relationships/hyperlink" Target="https://www.sec.gov/Archives/edgar/data/1577526/000162828020016443/exhibit1010-sx1.htm" TargetMode="External"/><Relationship Id="rId52" Type="http://schemas.openxmlformats.org/officeDocument/2006/relationships/hyperlink" Target="https://www.sec.gov/Archives/edgar/data/1577526/000162828020016443/exhibit1011-sx1.htm" TargetMode="External"/><Relationship Id="rId53" Type="http://schemas.openxmlformats.org/officeDocument/2006/relationships/hyperlink" Target="https://www.sec.gov/Archives/edgar/data/1577526/000162828020016443/exhibit1011-sx1.htm" TargetMode="External"/><Relationship Id="rId54" Type="http://schemas.openxmlformats.org/officeDocument/2006/relationships/hyperlink" Target="https://www.sec.gov/Archives/edgar/data/1577526/000162828020016443/exhibit1012-sx1.htm" TargetMode="External"/><Relationship Id="rId55" Type="http://schemas.openxmlformats.org/officeDocument/2006/relationships/hyperlink" Target="https://www.sec.gov/Archives/edgar/data/1577526/000162828020016443/exhibit1012-sx1.htm" TargetMode="External"/><Relationship Id="rId56" Type="http://schemas.openxmlformats.org/officeDocument/2006/relationships/hyperlink" Target="https://www.sec.gov/Archives/edgar/data/1577526/000162828021024342/exhibit104.htm" TargetMode="External"/><Relationship Id="rId57" Type="http://schemas.openxmlformats.org/officeDocument/2006/relationships/hyperlink" Target="https://www.sec.gov/Archives/edgar/data/1577526/000162828021024342/exhibit104.htm" TargetMode="External"/><Relationship Id="rId58" Type="http://schemas.openxmlformats.org/officeDocument/2006/relationships/hyperlink" Target="https://www.sec.gov/Archives/edgar/data/1577526/000162828020016868/exhibit1013-sx1a2.htm" TargetMode="External"/><Relationship Id="rId59" Type="http://schemas.openxmlformats.org/officeDocument/2006/relationships/hyperlink" Target="https://www.sec.gov/Archives/edgar/data/1577526/000162828020016868/exhibit1013-sx1a2.htm" TargetMode="External"/><Relationship Id="rId60" Type="http://schemas.openxmlformats.org/officeDocument/2006/relationships/hyperlink" Target="https://www.sec.gov/Archives/edgar/data/1577526/000162828020016868/exhibit1014-sx1a2.htm" TargetMode="External"/><Relationship Id="rId61" Type="http://schemas.openxmlformats.org/officeDocument/2006/relationships/hyperlink" Target="https://www.sec.gov/Archives/edgar/data/1577526/000162828020016868/exhibit1014-sx1a2.htm" TargetMode="External"/><Relationship Id="rId62" Type="http://schemas.openxmlformats.org/officeDocument/2006/relationships/hyperlink" Target="https://www.sec.gov/Archives/edgar/data/1577526/000162828021024342/exhibit102.htm" TargetMode="External"/><Relationship Id="rId63" Type="http://schemas.openxmlformats.org/officeDocument/2006/relationships/hyperlink" Target="https://www.sec.gov/Archives/edgar/data/1577526/000162828021024342/exhibit102.htm" TargetMode="External"/><Relationship Id="rId64" Type="http://schemas.openxmlformats.org/officeDocument/2006/relationships/hyperlink" Target="https://www.sec.gov/Archives/edgar/data/1577526/000162828021017975/offerletter-davidbarter.htm" TargetMode="External"/><Relationship Id="rId65" Type="http://schemas.openxmlformats.org/officeDocument/2006/relationships/hyperlink" Target="https://www.sec.gov/Archives/edgar/data/1577526/000162828021017975/offerletter-davidbarter.htm" TargetMode="External"/><Relationship Id="rId66" Type="http://schemas.openxmlformats.org/officeDocument/2006/relationships/hyperlink" Target="https://www.sec.gov/Archives/edgar/data/1577526/000162828022004786/exhibit101-adeelmanzooroff.htm" TargetMode="External"/><Relationship Id="rId67" Type="http://schemas.openxmlformats.org/officeDocument/2006/relationships/hyperlink" Target="https://www.sec.gov/Archives/edgar/data/1577526/000162828022004786/exhibit101-adeelmanzooroff.htm" TargetMode="External"/><Relationship Id="rId68" Type="http://schemas.openxmlformats.org/officeDocument/2006/relationships/hyperlink" Target="https://www.sec.gov/Archives/edgar/data/1577526/000162828022004786/exhibit102-separationagree.htm" TargetMode="External"/><Relationship Id="rId69" Type="http://schemas.openxmlformats.org/officeDocument/2006/relationships/hyperlink" Target="https://www.sec.gov/Archives/edgar/data/1577526/000162828022004786/exhibit102-separationagree.htm" TargetMode="External"/><Relationship Id="rId70" Type="http://schemas.openxmlformats.org/officeDocument/2006/relationships/hyperlink" Target="https://www.sec.gov/Archives/edgar/data/1577526/000162828022004683/exhibit101-juhoparkkinenxc.htm" TargetMode="External"/><Relationship Id="rId71" Type="http://schemas.openxmlformats.org/officeDocument/2006/relationships/hyperlink" Target="https://www.sec.gov/Archives/edgar/data/1577526/000162828022004683/exhibit101-juhoparkkinenxc.htm" TargetMode="External"/><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78206</Words>
  <Characters>437462</Characters>
  <CharactersWithSpaces>512943</CharactersWithSpaces>
  <Paragraphs>4340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