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72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72300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GOLDMAN KENNETH A</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C3.</w:t>
              </w:r>
              <w:r>
                <w:rPr>
                  <w:rFonts w:ascii="Times New Roman" w:cs="Times New Roman" w:eastAsia="Times New Roman" w:hAnsi="Times New Roman"/>
                  <w:sz w:val="16"/>
                  <w:szCs w:val="16"/>
                  <w:u w:val="single" w:color="auto"/>
                  <w:color w:val="0000EE"/>
                </w:rPr>
                <w:t>ai,</w:t>
              </w:r>
              <w:r>
                <w:rPr>
                  <w:rFonts w:ascii="Times New Roman" w:cs="Times New Roman" w:eastAsia="Times New Roman" w:hAnsi="Times New Roman"/>
                  <w:sz w:val="16"/>
                  <w:szCs w:val="16"/>
                  <w:color w:val="0000EE"/>
                </w:rPr>
                <w:t xml:space="preserv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AI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Foreign Trading Symbol</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14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tcPr>
          <w:p>
            <w:pPr>
              <w:ind w:left="480"/>
              <w:spacing w:after="0"/>
              <w:rPr>
                <w:sz w:val="20"/>
                <w:szCs w:val="20"/>
                <w:color w:val="auto"/>
              </w:rPr>
            </w:pPr>
            <w:r>
              <w:rPr>
                <w:rFonts w:ascii="Arial" w:cs="Arial" w:eastAsia="Arial" w:hAnsi="Arial"/>
                <w:sz w:val="10"/>
                <w:szCs w:val="10"/>
                <w:color w:val="auto"/>
              </w:rPr>
              <w:t>(First)</w:t>
            </w:r>
          </w:p>
        </w:tc>
        <w:tc>
          <w:tcPr>
            <w:tcW w:w="1540" w:type="dxa"/>
            <w:vAlign w:val="bottom"/>
            <w:gridSpan w:val="2"/>
          </w:tcPr>
          <w:p>
            <w:pPr>
              <w:ind w:left="260"/>
              <w:spacing w:after="0"/>
              <w:rPr>
                <w:sz w:val="20"/>
                <w:szCs w:val="20"/>
                <w:color w:val="auto"/>
              </w:rPr>
            </w:pPr>
            <w:r>
              <w:rPr>
                <w:rFonts w:ascii="Arial" w:cs="Arial" w:eastAsia="Arial" w:hAnsi="Arial"/>
                <w:sz w:val="10"/>
                <w:szCs w:val="10"/>
                <w:color w:val="auto"/>
              </w:rPr>
              <w:t>(Middle)</w:t>
            </w: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1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25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 C3.AI, INC.</w:t>
            </w:r>
          </w:p>
        </w:tc>
        <w:tc>
          <w:tcPr>
            <w:tcW w:w="3500" w:type="dxa"/>
            <w:vAlign w:val="bottom"/>
          </w:tcPr>
          <w:p>
            <w:pPr>
              <w:ind w:left="1260"/>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91"/>
        </w:trPr>
        <w:tc>
          <w:tcPr>
            <w:tcW w:w="2540" w:type="dxa"/>
            <w:vAlign w:val="bottom"/>
            <w:vMerge w:val="continue"/>
          </w:tcPr>
          <w:p>
            <w:pPr>
              <w:spacing w:after="0"/>
              <w:rPr>
                <w:sz w:val="7"/>
                <w:szCs w:val="7"/>
                <w:color w:val="auto"/>
              </w:rPr>
            </w:pPr>
          </w:p>
        </w:tc>
        <w:tc>
          <w:tcPr>
            <w:tcW w:w="3500" w:type="dxa"/>
            <w:vAlign w:val="bottom"/>
            <w:vMerge w:val="restart"/>
          </w:tcPr>
          <w:p>
            <w:pPr>
              <w:ind w:left="1260"/>
              <w:spacing w:after="0"/>
              <w:rPr>
                <w:sz w:val="20"/>
                <w:szCs w:val="20"/>
                <w:color w:val="auto"/>
              </w:rPr>
            </w:pPr>
            <w:r>
              <w:rPr>
                <w:rFonts w:ascii="Times New Roman" w:cs="Times New Roman" w:eastAsia="Times New Roman" w:hAnsi="Times New Roman"/>
                <w:sz w:val="13"/>
                <w:szCs w:val="13"/>
                <w:color w:val="0000FF"/>
              </w:rPr>
              <w:t>10/26/2026</w:t>
            </w:r>
          </w:p>
        </w:tc>
        <w:tc>
          <w:tcPr>
            <w:tcW w:w="0" w:type="dxa"/>
            <w:vAlign w:val="bottom"/>
          </w:tcPr>
          <w:p>
            <w:pPr>
              <w:spacing w:after="0"/>
              <w:rPr>
                <w:sz w:val="1"/>
                <w:szCs w:val="1"/>
                <w:color w:val="auto"/>
              </w:rPr>
            </w:pPr>
          </w:p>
        </w:tc>
      </w:tr>
      <w:tr>
        <w:trPr>
          <w:trHeight w:val="83"/>
        </w:trPr>
        <w:tc>
          <w:tcPr>
            <w:tcW w:w="25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1400 SEAPORT BLVD</w:t>
            </w: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540" w:type="dxa"/>
            <w:vAlign w:val="bottom"/>
            <w:vMerge w:val="continue"/>
          </w:tcPr>
          <w:p>
            <w:pPr>
              <w:spacing w:after="0"/>
              <w:rPr>
                <w:sz w:val="10"/>
                <w:szCs w:val="10"/>
                <w:color w:val="auto"/>
              </w:rPr>
            </w:pPr>
          </w:p>
        </w:tc>
        <w:tc>
          <w:tcPr>
            <w:tcW w:w="3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09"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20" w:type="dxa"/>
            <w:vAlign w:val="bottom"/>
            <w:gridSpan w:val="6"/>
          </w:tcPr>
          <w:p>
            <w:pPr>
              <w:jc w:val="right"/>
              <w:ind w:right="9"/>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REDWOOD CITY</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94063</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00" w:type="dxa"/>
            <w:vAlign w:val="bottom"/>
            <w:tcBorders>
              <w:top w:val="single" w:sz="8" w:color="2C2C2C"/>
            </w:tcBorders>
            <w:gridSpan w:val="11"/>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10/26/2026</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13"/>
              <w:spacing w:after="0"/>
              <w:rPr>
                <w:sz w:val="20"/>
                <w:szCs w:val="20"/>
                <w:color w:val="auto"/>
              </w:rPr>
            </w:pPr>
            <w:r>
              <w:rPr>
                <w:rFonts w:ascii="Times New Roman" w:cs="Times New Roman" w:eastAsia="Times New Roman" w:hAnsi="Times New Roman"/>
                <w:sz w:val="13"/>
                <w:szCs w:val="13"/>
                <w:color w:val="0000FF"/>
              </w:rPr>
              <w:t>54,730</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54,730</w:t>
            </w:r>
          </w:p>
        </w:tc>
        <w:tc>
          <w:tcPr>
            <w:tcW w:w="4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0000FF"/>
              </w:rPr>
              <w:t>22,689</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17"/>
                <w:szCs w:val="17"/>
                <w:color w:val="008000"/>
                <w:vertAlign w:val="superscript"/>
              </w:rPr>
              <w:t>(2)</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0000FF"/>
              </w:rPr>
              <w:t>25,022</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167"/>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jc w:val="right"/>
              <w:ind w:right="9"/>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the grant of Restricted Stock Units (RSUs). Each RSU represents a contingent right to receive one share of Class A Common Stock upon settlement. Subject to continued Board service, the RSUs vest annually in equal installments over 2 years.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are held by GV Partners L.P. GV Partners L.P. is a family limited partnership of which the Reporting Person is the managing member.</w:t>
      </w:r>
    </w:p>
    <w:p>
      <w:pPr>
        <w:spacing w:after="0" w:line="40"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are held by the Goldman-Valeriote Family Trust u/a/d 11/15/95 (the "Trust"). The Reporting Person is a co-trustee of the Trust and may be deemed to have voting and dispositive power with regard to the shares held by the Trust. The Reporting Person disclaims beneficial ownership of the shares held by the Trust except to the extent of his pecuniary interest therein.</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Tom MacMitchell, Attorney-in-Fact  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8470" TargetMode="External"/><Relationship Id="rId14" Type="http://schemas.openxmlformats.org/officeDocument/2006/relationships/hyperlink" Target="http://www.sec.gov/cgi-bin/browse-edgar?action=getcompany&amp;CIK=00015775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2026-10-28T19:12:04Z</dcterms:created>
  <dcterms:modified xsi:type="dcterms:W3CDTF">2026-10-28T19:12:04Z</dcterms:modified>
</cp:coreProperties>
</file>