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231F20"/>
          <w:sz w:val="22"/>
        </w:rPr>
      </w:pPr>
      <w:r>
        <w:rPr>
          <w:rFonts w:ascii="Times New Roman;serif" w:hAnsi="Times New Roman;serif"/>
          <w:b/>
          <w:color w:val="231F20"/>
          <w:sz w:val="22"/>
        </w:rPr>
        <w:t>CURRENT REPORT</w:t>
      </w:r>
    </w:p>
    <w:p>
      <w:pPr>
        <w:pStyle w:val="TextBody"/>
        <w:bidi w:val="0"/>
        <w:spacing w:lineRule="auto" w:line="288" w:before="0" w:after="0"/>
        <w:jc w:val="center"/>
        <w:rPr>
          <w:rFonts w:ascii="Times New Roman;serif" w:hAnsi="Times New Roman;serif"/>
          <w:b/>
          <w:color w:val="231F20"/>
          <w:sz w:val="22"/>
        </w:rPr>
      </w:pPr>
      <w:r>
        <w:rPr>
          <w:rFonts w:ascii="Times New Roman;serif" w:hAnsi="Times New Roman;serif"/>
          <w:b/>
          <w:color w:val="231F20"/>
          <w:sz w:val="22"/>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July 14, 2026</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 xml:space="preserve">C3.AI,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Delaware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1400 Seaport Blvd</w:t>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Redwood City, CA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001-39744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26-3999357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p>
      <w:pPr>
        <w:pStyle w:val="TextBody"/>
        <w:bidi w:val="0"/>
        <w:spacing w:lineRule="auto" w:line="288" w:before="640" w:after="283"/>
        <w:jc w:val="center"/>
        <w:rPr>
          <w:rFonts w:ascii="Times New Roman;serif" w:hAnsi="Times New Roman;serif"/>
          <w:b/>
          <w:color w:val="000000"/>
          <w:sz w:val="22"/>
        </w:rPr>
      </w:pPr>
      <w:r>
        <w:rPr>
          <w:rFonts w:ascii="Times New Roman;serif" w:hAnsi="Times New Roman;serif"/>
          <w:b/>
          <w:color w:val="000000"/>
          <w:sz w:val="22"/>
        </w:rPr>
        <w:t>94063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(650) 503-2200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Not Applicable </w:t>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2"/>
          <w:u w:val="single"/>
        </w:rPr>
        <w:t>see</w:t>
      </w:r>
      <w:r>
        <w:rPr>
          <w:color w:val="000000"/>
        </w:rPr>
        <w:t xml:space="preserve"> </w:t>
      </w:r>
      <w:r>
        <w:rPr>
          <w:rFonts w:ascii="Times New Roman;serif" w:hAnsi="Times New Roman;serif"/>
          <w:b w:val="false"/>
          <w:color w:val="000000"/>
          <w:sz w:val="22"/>
        </w:rPr>
        <w:t>General Instruction A.2. below):</w:t>
      </w:r>
    </w:p>
    <w:p>
      <w:pPr>
        <w:pStyle w:val="TextBody"/>
        <w:bidi w:val="0"/>
        <w:spacing w:lineRule="auto" w:line="288" w:before="0" w:after="0"/>
        <w:ind w:left="0" w:right="0" w:hanging="450"/>
        <w:jc w:val="both"/>
        <w:rPr>
          <w:color w:val="000000"/>
        </w:rPr>
      </w:pPr>
      <w:r>
        <w:rPr>
          <w:color w:val="000000"/>
        </w:rPr>
        <w:t>☐    </w:t>
      </w:r>
      <w:r>
        <w:rPr>
          <w:rFonts w:ascii="Times New Roman;serif" w:hAnsi="Times New Roman;serif"/>
          <w:b w:val="false"/>
          <w:color w:val="000000"/>
          <w:sz w:val="22"/>
        </w:rPr>
        <w:t>Written communications pursuant to Rule 425 under the Securities Act (17 CFR 230.425)</w:t>
      </w:r>
    </w:p>
    <w:p>
      <w:pPr>
        <w:pStyle w:val="TextBody"/>
        <w:bidi w:val="0"/>
        <w:spacing w:lineRule="auto" w:line="288" w:before="0" w:after="0"/>
        <w:ind w:left="0" w:right="0" w:hanging="450"/>
        <w:jc w:val="both"/>
        <w:rPr/>
      </w:pPr>
      <w:r>
        <w:rPr>
          <w:color w:val="000000"/>
        </w:rPr>
        <w:t>☐    </w:t>
      </w:r>
      <w:r>
        <w:rPr>
          <w:rFonts w:ascii="Times New Roman;serif" w:hAnsi="Times New Roman;serif"/>
          <w:b w:val="false"/>
          <w:color w:val="231F20"/>
          <w:sz w:val="22"/>
        </w:rPr>
        <w:t xml:space="preserve">Soliciting material pursuant to Rule 14a-12 under the Exchange Act (17 CFR 240.14a-12) </w:t>
      </w:r>
    </w:p>
    <w:p>
      <w:pPr>
        <w:pStyle w:val="TextBody"/>
        <w:bidi w:val="0"/>
        <w:spacing w:lineRule="auto" w:line="288" w:before="0" w:after="0"/>
        <w:ind w:left="0" w:right="0" w:hanging="450"/>
        <w:jc w:val="both"/>
        <w:rPr/>
      </w:pPr>
      <w:r>
        <w:rPr>
          <w:color w:val="000000"/>
        </w:rPr>
        <w:t>☐    </w:t>
      </w:r>
      <w:r>
        <w:rPr>
          <w:rFonts w:ascii="Times New Roman;serif" w:hAnsi="Times New Roman;serif"/>
          <w:b w:val="false"/>
          <w:color w:val="231F20"/>
          <w:sz w:val="22"/>
        </w:rPr>
        <w:t xml:space="preserve">Pre-commencement communications pursuant to Rule 14d-2(b) under the Exchange Act (17 CFR 240.14d-2(b)) </w:t>
      </w:r>
    </w:p>
    <w:p>
      <w:pPr>
        <w:pStyle w:val="TextBody"/>
        <w:bidi w:val="0"/>
        <w:spacing w:lineRule="auto" w:line="288" w:before="0" w:after="0"/>
        <w:ind w:left="0" w:right="0" w:hanging="450"/>
        <w:jc w:val="both"/>
        <w:rPr/>
      </w:pPr>
      <w:r>
        <w:rPr>
          <w:color w:val="000000"/>
        </w:rPr>
        <w:t>☐    </w:t>
      </w:r>
      <w:r>
        <w:rPr>
          <w:rFonts w:ascii="Times New Roman;serif" w:hAnsi="Times New Roman;serif"/>
          <w:b w:val="false"/>
          <w:color w:val="231F20"/>
          <w:sz w:val="22"/>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06"/>
        <w:gridCol w:w="1314"/>
        <w:gridCol w:w="1329"/>
        <w:gridCol w:w="109"/>
        <w:gridCol w:w="109"/>
        <w:gridCol w:w="109"/>
        <w:gridCol w:w="554"/>
        <w:gridCol w:w="554"/>
        <w:gridCol w:w="556"/>
        <w:gridCol w:w="109"/>
        <w:gridCol w:w="109"/>
        <w:gridCol w:w="109"/>
        <w:gridCol w:w="1091"/>
        <w:gridCol w:w="1091"/>
        <w:gridCol w:w="1556"/>
      </w:tblGrid>
      <w:tr>
        <w:trPr/>
        <w:tc>
          <w:tcPr>
            <w:tcW w:w="15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4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2"/>
        </w:rPr>
        <w:t xml:space="preserve">Emerging growth company </w:t>
      </w:r>
      <w:r>
        <w:rPr>
          <w:color w:val="000000"/>
        </w:rPr>
        <w: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color w:val="000000"/>
          <w:sz w:val="24"/>
        </w:rPr>
      </w:pPr>
      <w:r>
        <w:rPr>
          <w:rFonts w:ascii="Times New Roman;serif" w:hAnsi="Times New Roman;serif"/>
          <w:b/>
          <w:color w:val="000000"/>
          <w:sz w:val="24"/>
        </w:rPr>
        <w:t>Item 8.01 Other Events.</w:t>
      </w:r>
    </w:p>
    <w:p>
      <w:pPr>
        <w:pStyle w:val="TextBody"/>
        <w:bidi w:val="0"/>
        <w:spacing w:lineRule="auto" w:line="268" w:before="0" w:after="0"/>
        <w:jc w:val="left"/>
        <w:rPr>
          <w:rFonts w:ascii="Times New Roman;serif" w:hAnsi="Times New Roman;serif"/>
          <w:b/>
          <w:i/>
          <w:color w:val="000000"/>
          <w:sz w:val="24"/>
        </w:rPr>
      </w:pPr>
      <w:r>
        <w:rPr>
          <w:rFonts w:ascii="Times New Roman;serif" w:hAnsi="Times New Roman;serif"/>
          <w:b/>
          <w:i/>
          <w:color w:val="000000"/>
          <w:sz w:val="24"/>
        </w:rPr>
        <w:t>Ruling on Motion to Dismiss Securities Class Action Complaint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 xml:space="preserve">As previously disclosed, a putative securities class action complaint (captioned </w:t>
      </w:r>
      <w:r>
        <w:rPr>
          <w:rFonts w:ascii="Times New Roman;serif" w:hAnsi="Times New Roman;serif"/>
          <w:b w:val="false"/>
          <w:i/>
          <w:color w:val="000000"/>
          <w:sz w:val="24"/>
        </w:rPr>
        <w:t>John Liggett, Sr., et al. v. C3 AI, Inc., et al.</w:t>
      </w:r>
      <w:r>
        <w:rPr>
          <w:rFonts w:ascii="Times New Roman;serif" w:hAnsi="Times New Roman;serif"/>
          <w:b w:val="false"/>
          <w:color w:val="000000"/>
          <w:sz w:val="24"/>
        </w:rPr>
        <w:t>, No. 3:25-cv-07129-TLT) was filed on August 22, 2025, in the U.S. District Court for the Northern District of California against C3.ai, Inc. (the “Company”) and certain of its officers.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On July 14, 2026, the Court granted defendants’ motion to dismiss the complaint in its entirety. The Court dismissed every cause of action.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4" w:before="0" w:after="0"/>
        <w:jc w:val="both"/>
        <w:rPr>
          <w:rFonts w:ascii="Times New Roman;serif" w:hAnsi="Times New Roman;serif"/>
          <w:b/>
          <w:i/>
          <w:color w:val="000000"/>
          <w:sz w:val="24"/>
        </w:rPr>
      </w:pPr>
      <w:r>
        <w:rPr>
          <w:rFonts w:ascii="Times New Roman;serif" w:hAnsi="Times New Roman;serif"/>
          <w:b/>
          <w:i/>
          <w:color w:val="000000"/>
          <w:sz w:val="24"/>
        </w:rPr>
        <w:t>Caution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This Current Report on Form 8-K contains forward-looking statements within the meaning of United States federal securities laws. Words such as "believe," "may," "will," "estimate," "continue," "anticipate," "intend," "expect," "plans," and similar expressions are intended to identify forward-looking statements. We have based these forward-looking statements, including our statements regarding our expectations around the pending litigation, largely on our current expectations and projections about future events. These forward-looking statements speak only as of the date of this report and are subject to risks, uncertainties, and assumptions, including, among other things, the risk that the remaining claims may not be resolved in our favor, which could lead to unexpected costs, liabilities, or delays in the resolution of this matter. Further information on risks that could affect the Company’s results is included in our filings with SEC, including our Form 10-K for the year ended April 30, 2026, and other reports that we may file with the SEC from time to time, which could cause actual results to vary from expectations. If the risks materialize or assumptions prove incorrect, actual results could differ materially from the results implied by these forward-looking statements. The Company assumes no obligation to, and does not currently intend to, update any such forward-looking statements after the date of this Current Report on Form 8-K,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tbl>
      <w:tblPr>
        <w:tblW w:w="8900" w:type="dxa"/>
        <w:jc w:val="left"/>
        <w:tblInd w:w="0" w:type="dxa"/>
        <w:tblLayout w:type="fixed"/>
        <w:tblCellMar>
          <w:top w:w="28" w:type="dxa"/>
          <w:left w:w="28" w:type="dxa"/>
          <w:bottom w:w="28" w:type="dxa"/>
          <w:right w:w="28" w:type="dxa"/>
        </w:tblCellMar>
      </w:tblPr>
      <w:tblGrid>
        <w:gridCol w:w="760"/>
        <w:gridCol w:w="668"/>
        <w:gridCol w:w="671"/>
        <w:gridCol w:w="187"/>
        <w:gridCol w:w="187"/>
        <w:gridCol w:w="187"/>
        <w:gridCol w:w="1823"/>
        <w:gridCol w:w="1823"/>
        <w:gridCol w:w="2594"/>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C3.ai,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Dated: July 17, 2026</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 Thomas M. Siebel</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Thomas M. Siebel</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Chief Executive Officer and Chairman of the Board of Directors</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677</Words>
  <Characters>3755</Characters>
  <CharactersWithSpaces>4399</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