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346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3461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Lath Hitesh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C3.AI,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SEAPORT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C3.ai,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700" w:type="dxa"/>
            <w:vAlign w:val="bottom"/>
            <w:gridSpan w:val="7"/>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7"/>
            <w:vMerge w:val="continue"/>
          </w:tcPr>
          <w:p>
            <w:pPr>
              <w:spacing w:after="0"/>
              <w:rPr>
                <w:sz w:val="9"/>
                <w:szCs w:val="9"/>
                <w:color w:val="auto"/>
              </w:rPr>
            </w:pPr>
          </w:p>
        </w:tc>
        <w:tc>
          <w:tcPr>
            <w:tcW w:w="36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9"/>
              </w:rPr>
              <w:t>8,008</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5"/>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246,316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9"/>
              </w:rPr>
              <w:t>1,000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5"/>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247,316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8"/>
              </w:rPr>
              <w:t>20,000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5"/>
              <w:spacing w:after="0" w:line="310"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267,316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49"/>
              <w:spacing w:after="0"/>
              <w:rPr>
                <w:sz w:val="20"/>
                <w:szCs w:val="20"/>
                <w:color w:val="auto"/>
              </w:rPr>
            </w:pPr>
            <w:r>
              <w:rPr>
                <w:rFonts w:ascii="Times New Roman" w:cs="Times New Roman" w:eastAsia="Times New Roman" w:hAnsi="Times New Roman"/>
                <w:sz w:val="17"/>
                <w:szCs w:val="17"/>
                <w:color w:val="0000FF"/>
              </w:rPr>
              <w:t>06/16/2026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94"/>
              <w:spacing w:after="0"/>
              <w:rPr>
                <w:sz w:val="20"/>
                <w:szCs w:val="20"/>
                <w:color w:val="auto"/>
              </w:rPr>
            </w:pPr>
            <w:r>
              <w:rPr>
                <w:rFonts w:ascii="Times New Roman" w:cs="Times New Roman" w:eastAsia="Times New Roman" w:hAnsi="Times New Roman"/>
                <w:sz w:val="17"/>
                <w:szCs w:val="17"/>
                <w:color w:val="0000FF"/>
                <w:w w:val="98"/>
              </w:rPr>
              <w:t>34,210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10.95</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233,106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14"/>
              <w:spacing w:after="0" w:line="129"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8,008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8,008</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80,077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rPr>
              <w:t>1,000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12,000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center"/>
              <w:ind w:left="200"/>
              <w:spacing w:after="0" w:line="142" w:lineRule="exact"/>
              <w:rPr>
                <w:sz w:val="20"/>
                <w:szCs w:val="20"/>
                <w:color w:val="auto"/>
              </w:rPr>
            </w:pPr>
            <w:r>
              <w:rPr>
                <w:rFonts w:ascii="Times New Roman" w:cs="Times New Roman" w:eastAsia="Times New Roman" w:hAnsi="Times New Roman"/>
                <w:sz w:val="13"/>
                <w:szCs w:val="13"/>
                <w:color w:val="0000FF"/>
                <w:w w:val="94"/>
              </w:rPr>
              <w:t>20,000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42" w:lineRule="exact"/>
              <w:rPr>
                <w:sz w:val="20"/>
                <w:szCs w:val="20"/>
                <w:color w:val="auto"/>
              </w:rPr>
            </w:pPr>
            <w:r>
              <w:rPr>
                <w:rFonts w:ascii="Times New Roman" w:cs="Times New Roman" w:eastAsia="Times New Roman" w:hAnsi="Times New Roman"/>
                <w:sz w:val="13"/>
                <w:szCs w:val="13"/>
                <w:color w:val="0000FF"/>
                <w:w w:val="99"/>
              </w:rPr>
              <w:t>260,000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 upon settlement.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policies and practice, these shares of Class A Common Stock were automatically withheld and sold by the Issuer to satisfy the Reporting Person's tax withholding obligations related to the vesting of RSUs reported herein.</w:t>
      </w:r>
    </w:p>
    <w:p>
      <w:pPr>
        <w:spacing w:after="0" w:line="16"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$10.75 to $11.09, inclusive. The Reporting Person will provide upon request to the staff of the Securities and Exchange Commission, the Issuer or any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 of such RSU award vested on March 15, 2024 and 5% of such RSU award vest on a quarterly basis thereafter, so long as the Reporting Person continues to provide services through such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of such RSU award vested on June 15, 2025 and 5% of such RSU award vest on a quarterly basis thereafter, so long as the Reporting Person continues to provide services through such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of such RSU award vested on September 15, 2025 and 5% of such RSU award vest on a quarterly basis thereafter, so long as the Reporting Person continues to provide services through such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Sasha Pesic,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154"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2026-06-17T18:54:17Z</dcterms:created>
  <dcterms:modified xsi:type="dcterms:W3CDTF">2026-06-17T18:54:17Z</dcterms:modified>
</cp:coreProperties>
</file>