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91723.xml.htm"/>
      <w:bookmarkStart w:id="1" w:name="kswkform4_178589172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SIEBEL THOMAS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C3.AI,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1400 SEAPORT BLVD,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C3.ai, Inc.</w:t>
              </w:r>
            </w:hyperlink>
            <w:r>
              <w:rPr/>
              <w:t xml:space="preserve"> [ </w:t>
            </w:r>
            <w:r>
              <w:rPr>
                <w:rFonts w:ascii="Times;serif" w:hAnsi="Times;serif"/>
                <w:color w:val="0000FF"/>
                <w:sz w:val="24"/>
                <w:shd w:fill="FFFFFF" w:val="clear"/>
              </w:rPr>
              <w:t>AI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Chairman of the Board</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3"/>
        <w:gridCol w:w="902"/>
        <w:gridCol w:w="773"/>
        <w:gridCol w:w="599"/>
        <w:gridCol w:w="341"/>
        <w:gridCol w:w="1001"/>
        <w:gridCol w:w="433"/>
        <w:gridCol w:w="698"/>
        <w:gridCol w:w="1252"/>
        <w:gridCol w:w="972"/>
        <w:gridCol w:w="107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283,334</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1,005,696</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139,500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9.61</w:t>
            </w:r>
            <w:r>
              <w:rPr>
                <w:rFonts w:ascii="Times;serif" w:hAnsi="Times;serif"/>
                <w:color w:val="008000"/>
                <w:position w:val="7"/>
                <w:sz w:val="16"/>
                <w:sz w:val="20"/>
                <w:shd w:fill="FFFFFF" w:val="clear"/>
              </w:rPr>
              <w:t>(3)</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866,196</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143,834</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722,362</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143,834</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7,067,187</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9,216</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170,294</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72,695</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p>
        </w:tc>
      </w:tr>
      <w:tr>
        <w:trPr/>
        <w:tc>
          <w:tcPr>
            <w:tcW w:w="21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1,237,115</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(8)</w:t>
            </w:r>
          </w:p>
        </w:tc>
      </w:tr>
    </w:tbl>
    <w:tbl>
      <w:tblPr>
        <w:tblW w:w="1259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5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283,334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283,334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Performance Restricted Stock Unit (PRSU) represents a contingent right to receive one share of the Issuer's Class A Common Stock. The PRSUs vest upon the Issuer's Class A Common Stock achieving a specified price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Issuer's policies and practice, these shares of Class A Common Stock were automatically withheld and sold by the Issuer to satisfy the Reporting Person's tax withholding obligations related to the vesting of PRSUs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weighted-average price. These shares were sold in multiple transactions at prices ranging from $9.5 to $9.685, inclusive. The Reporting Person will provide upon request to the staff of the Securities and Exchange Commission, the Issuer or any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are held by The Siebel Living Trust u/a/d 7/27/93, as amended, of which the Reporting Person is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are held by First Virtual Holdings, LLC, of which the Reporting Person is Chairman.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shares are held by Siebel Asset Management, L.P., of which the Reporting Person is the general partner.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shares are held by Siebel Asset Management III, L.P., of which the Reporting Person is the general partner.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shares are held by The Siebel 2011 Irrevocable Children's Trust, of which the Reporting Person is co-trustee.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Tom MacMitchell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exhibit241.htm"/>
      <w:bookmarkStart w:id="3" w:name="ksexhibit241"/>
      <w:bookmarkEnd w:id="2"/>
      <w:bookmarkEnd w:id="3"/>
      <w:r>
        <w:rPr/>
        <w:drawing>
          <wp:inline distT="0" distB="0" distL="0" distR="0">
            <wp:extent cx="10048875" cy="13001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317104515 v1 POWER OF ATTORNEY Know all by these presents that the undersigned hereby constitutes and appoints each of Hitesh Lath and Tom MacMitchell of C3.ai, Inc. (the “Company”), signing individually, as the undersigned’s true and lawful attorneys-in-fact and agents to: (1) Prepare, execute for and on behalf of the undersigned, and submit to the Securities and Exchange Commission (the “SEC”), in the undersigned’s name and capacity as an officer, director and/or beneficial owner more than 10% of a registered class of securities of the Company, Forms 3, 4 and 5 (including any amendments thereto and joint filing agreements in connection therewith) in accordance with Section 16 of the Securities Exchange Act of 1934, as amended, and the rules thereunder (the “Exchange Act”); (2) do and perform any and all acts for and on behalf of the undersigned which may be necessary or desirable to prepare and execute any such Forms 3, 4 or 5, prepare and execute any amendment or amendments thereto, and joint filing agreements in connection therewith, and file such forms with the SEC and any stock exchange, self-regulatory association or similar authority; and (3) take any other action of any type whatsoever in connection with the foregoing which,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 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attorneys-in-fact or (c) as to any attorney-in-fact individually, until such attorney-in-fact is no longer employed by the Company. The undersigned has caused this Power of Attorney to be executed as of August 4, 2026. By: /s/ Thomas M. Siebel Name: Thomas M. Siebel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31530" TargetMode="External"/><Relationship Id="rId5" Type="http://schemas.openxmlformats.org/officeDocument/2006/relationships/hyperlink" Target="http://www.sec.gov/cgi-bin/browse-edgar?action=getcompany&amp;CIK=00015775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image" Target="media/image1.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1406</Words>
  <Characters>7360</Characters>
  <CharactersWithSpaces>8639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exhibit241</dc:title>
</cp:coreProperties>
</file>