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945515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4100" w:right="2040" w:hanging="4074"/>
        <w:spacing w:after="0" w:line="396" w:lineRule="auto"/>
        <w:tabs>
          <w:tab w:leader="none" w:pos="40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April 30, 2024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3420" w:right="1660" w:hanging="3394"/>
        <w:spacing w:after="0" w:line="422" w:lineRule="auto"/>
        <w:tabs>
          <w:tab w:leader="none" w:pos="41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001-39744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C3.ai,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60" w:type="dxa"/>
        <w:tblCellMar>
          <w:top w:w="0" w:type="dxa"/>
          <w:left w:w="0" w:type="dxa"/>
          <w:bottom w:w="0" w:type="dxa"/>
          <w:right w:w="0" w:type="dxa"/>
        </w:tblCellMar>
      </w:tblPr>
      <w:tr>
        <w:trPr>
          <w:trHeight w:val="252"/>
        </w:trPr>
        <w:tc>
          <w:tcPr>
            <w:tcW w:w="38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Borders>
              <w:top w:val="single" w:sz="8" w:color="auto"/>
            </w:tcBorders>
          </w:tcPr>
          <w:p>
            <w:pPr>
              <w:spacing w:after="0"/>
              <w:rPr>
                <w:sz w:val="21"/>
                <w:szCs w:val="21"/>
                <w:color w:val="auto"/>
              </w:rPr>
            </w:pP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26-3999357</w:t>
            </w:r>
          </w:p>
        </w:tc>
        <w:tc>
          <w:tcPr>
            <w:tcW w:w="0" w:type="dxa"/>
            <w:vAlign w:val="bottom"/>
          </w:tcPr>
          <w:p>
            <w:pPr>
              <w:spacing w:after="0"/>
              <w:rPr>
                <w:sz w:val="1"/>
                <w:szCs w:val="1"/>
                <w:color w:val="auto"/>
              </w:rPr>
            </w:pPr>
          </w:p>
        </w:tc>
      </w:tr>
      <w:tr>
        <w:trPr>
          <w:trHeight w:val="243"/>
        </w:trPr>
        <w:tc>
          <w:tcPr>
            <w:tcW w:w="38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480" w:type="dxa"/>
            <w:vAlign w:val="bottom"/>
          </w:tcPr>
          <w:p>
            <w:pPr>
              <w:spacing w:after="0"/>
              <w:rPr>
                <w:sz w:val="21"/>
                <w:szCs w:val="21"/>
                <w:color w:val="auto"/>
              </w:rPr>
            </w:pPr>
          </w:p>
        </w:tc>
        <w:tc>
          <w:tcPr>
            <w:tcW w:w="3200" w:type="dxa"/>
            <w:vAlign w:val="bottom"/>
            <w:vMerge w:val="restart"/>
          </w:tcPr>
          <w:p>
            <w:pPr>
              <w:jc w:val="center"/>
              <w:ind w:left="4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26"/>
        </w:trPr>
        <w:tc>
          <w:tcPr>
            <w:tcW w:w="380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9"/>
              </w:rPr>
              <w:t>organization)</w:t>
            </w:r>
          </w:p>
        </w:tc>
        <w:tc>
          <w:tcPr>
            <w:tcW w:w="348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38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1400 Seaport Blvd</w:t>
            </w: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Redwood City, CA</w:t>
            </w:r>
          </w:p>
        </w:tc>
        <w:tc>
          <w:tcPr>
            <w:tcW w:w="668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94063</w:t>
            </w:r>
          </w:p>
        </w:tc>
        <w:tc>
          <w:tcPr>
            <w:tcW w:w="0" w:type="dxa"/>
            <w:vAlign w:val="bottom"/>
          </w:tcPr>
          <w:p>
            <w:pPr>
              <w:spacing w:after="0"/>
              <w:rPr>
                <w:sz w:val="1"/>
                <w:szCs w:val="1"/>
                <w:color w:val="auto"/>
              </w:rPr>
            </w:pPr>
          </w:p>
        </w:tc>
      </w:tr>
      <w:tr>
        <w:trPr>
          <w:trHeight w:val="243"/>
        </w:trPr>
        <w:tc>
          <w:tcPr>
            <w:tcW w:w="38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80" w:type="dxa"/>
            <w:vAlign w:val="bottom"/>
          </w:tcPr>
          <w:p>
            <w:pPr>
              <w:spacing w:after="0"/>
              <w:rPr>
                <w:sz w:val="21"/>
                <w:szCs w:val="21"/>
                <w:color w:val="auto"/>
              </w:rPr>
            </w:pPr>
          </w:p>
        </w:tc>
        <w:tc>
          <w:tcPr>
            <w:tcW w:w="3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(Zip code)</w:t>
            </w:r>
          </w:p>
        </w:tc>
        <w:tc>
          <w:tcPr>
            <w:tcW w:w="0" w:type="dxa"/>
            <w:vAlign w:val="bottom"/>
          </w:tcPr>
          <w:p>
            <w:pPr>
              <w:spacing w:after="0"/>
              <w:rPr>
                <w:sz w:val="1"/>
                <w:szCs w:val="1"/>
                <w:color w:val="auto"/>
              </w:rPr>
            </w:pPr>
          </w:p>
        </w:tc>
      </w:tr>
    </w:tbl>
    <w:p>
      <w:pPr>
        <w:spacing w:after="0" w:line="2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503-2200</w:t>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3"/>
          </w:tcPr>
          <w:p>
            <w:pPr>
              <w:spacing w:after="0"/>
              <w:rPr>
                <w:sz w:val="2"/>
                <w:szCs w:val="2"/>
                <w:color w:val="auto"/>
              </w:rPr>
            </w:pPr>
          </w:p>
        </w:tc>
      </w:tr>
      <w:tr>
        <w:trPr>
          <w:trHeight w:val="237"/>
        </w:trPr>
        <w:tc>
          <w:tcPr>
            <w:tcW w:w="4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$0.001 per share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w:t>
            </w:r>
          </w:p>
        </w:tc>
        <w:tc>
          <w:tcPr>
            <w:tcW w:w="412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513"/>
        </w:trPr>
        <w:tc>
          <w:tcPr>
            <w:tcW w:w="862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0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5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2080" w:type="dxa"/>
            <w:vAlign w:val="bottom"/>
          </w:tcPr>
          <w:p>
            <w:pPr>
              <w:jc w:val="center"/>
              <w:ind w:right="119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05"/>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Yes</w:t>
            </w:r>
          </w:p>
        </w:tc>
        <w:tc>
          <w:tcPr>
            <w:tcW w:w="2080" w:type="dxa"/>
            <w:vAlign w:val="bottom"/>
          </w:tcPr>
          <w:p>
            <w:pPr>
              <w:jc w:val="center"/>
              <w:ind w:right="117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1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82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Accelerated filer</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7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3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225" w:right="339" w:bottom="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tabs>
          <w:tab w:leader="none" w:pos="7620" w:val="left"/>
          <w:tab w:leader="none" w:pos="84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on October 31, 2023 (the last business day of the registrant’s fiscal second quarter), based on the closing price of $24.40 for shares of the registrant’s Class A common stock as reported by the New York Stock Exchange, was approximately $1.7 billion.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12, 2024, the registrant had outstanding 121,317,784 shares of Class A common stock and 3,499,992 shares of Class B common stock.</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2024 annual meeting of shareholders (the “2024 Proxy Statement”) are incorporated by reference into Part III of this Annual Report on Form 10-K where indicated. The 2024 Proxy Statement will be filed with the U.S. Securities and Exchange Commission within 120 days after the end of the registrant’s fiscal year ended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20" w:type="dxa"/>
            <w:vAlign w:val="bottom"/>
            <w:gridSpan w:val="16"/>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0E32E1"/>
              </w:rPr>
              <w:t>Page</w:t>
            </w:r>
          </w:p>
        </w:tc>
        <w:tc>
          <w:tcPr>
            <w:tcW w:w="0" w:type="dxa"/>
            <w:vAlign w:val="bottom"/>
          </w:tcPr>
          <w:p>
            <w:pPr>
              <w:spacing w:after="0"/>
              <w:rPr>
                <w:sz w:val="1"/>
                <w:szCs w:val="1"/>
                <w:color w:val="auto"/>
              </w:rPr>
            </w:pPr>
          </w:p>
        </w:tc>
      </w:tr>
      <w:tr>
        <w:trPr>
          <w:trHeight w:val="37"/>
        </w:trPr>
        <w:tc>
          <w:tcPr>
            <w:tcW w:w="41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E32E1"/>
                <w:w w:val="99"/>
              </w:rPr>
              <w:t>Special Note Regarding Forward-Looking Statements</w:t>
            </w:r>
          </w:p>
        </w:tc>
        <w:tc>
          <w:tcPr>
            <w:tcW w:w="6020" w:type="dxa"/>
            <w:vAlign w:val="bottom"/>
            <w:gridSpan w:val="18"/>
            <w:vMerge w:val="restart"/>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140" w:type="dxa"/>
            <w:vAlign w:val="bottom"/>
            <w:tcBorders>
              <w:bottom w:val="single" w:sz="8" w:color="0E32E1"/>
            </w:tcBorders>
            <w:gridSpan w:val="18"/>
            <w:vMerge w:val="continue"/>
          </w:tcPr>
          <w:p>
            <w:pPr>
              <w:spacing w:after="0"/>
              <w:rPr>
                <w:sz w:val="15"/>
                <w:szCs w:val="15"/>
                <w:color w:val="auto"/>
              </w:rPr>
            </w:pPr>
          </w:p>
        </w:tc>
        <w:tc>
          <w:tcPr>
            <w:tcW w:w="6020" w:type="dxa"/>
            <w:vAlign w:val="bottom"/>
            <w:gridSpan w:val="18"/>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16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E32E1"/>
              </w:rPr>
              <w:t>Selected Risks Affecting Our Business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top w:val="single" w:sz="8" w:color="0E32E1"/>
            </w:tcBorders>
          </w:tcPr>
          <w:p>
            <w:pPr>
              <w:spacing w:after="0"/>
              <w:rPr>
                <w:sz w:val="21"/>
                <w:szCs w:val="21"/>
                <w:color w:val="auto"/>
              </w:rPr>
            </w:pPr>
          </w:p>
        </w:tc>
        <w:tc>
          <w:tcPr>
            <w:tcW w:w="500" w:type="dxa"/>
            <w:vAlign w:val="bottom"/>
            <w:tcBorders>
              <w:top w:val="single" w:sz="8" w:color="0E32E1"/>
            </w:tcBorders>
          </w:tcPr>
          <w:p>
            <w:pPr>
              <w:spacing w:after="0"/>
              <w:rPr>
                <w:sz w:val="21"/>
                <w:szCs w:val="21"/>
                <w:color w:val="auto"/>
              </w:rPr>
            </w:pPr>
          </w:p>
        </w:tc>
        <w:tc>
          <w:tcPr>
            <w:tcW w:w="80" w:type="dxa"/>
            <w:vAlign w:val="bottom"/>
            <w:tcBorders>
              <w:top w:val="single" w:sz="8" w:color="0E32E1"/>
            </w:tcBorders>
          </w:tcPr>
          <w:p>
            <w:pPr>
              <w:spacing w:after="0"/>
              <w:rPr>
                <w:sz w:val="21"/>
                <w:szCs w:val="21"/>
                <w:color w:val="auto"/>
              </w:rPr>
            </w:pPr>
          </w:p>
        </w:tc>
        <w:tc>
          <w:tcPr>
            <w:tcW w:w="120" w:type="dxa"/>
            <w:vAlign w:val="bottom"/>
            <w:tcBorders>
              <w:top w:val="single" w:sz="8" w:color="0E32E1"/>
            </w:tcBorders>
          </w:tcPr>
          <w:p>
            <w:pPr>
              <w:spacing w:after="0"/>
              <w:rPr>
                <w:sz w:val="21"/>
                <w:szCs w:val="21"/>
                <w:color w:val="auto"/>
              </w:rPr>
            </w:pPr>
          </w:p>
        </w:tc>
        <w:tc>
          <w:tcPr>
            <w:tcW w:w="300" w:type="dxa"/>
            <w:vAlign w:val="bottom"/>
            <w:tcBorders>
              <w:top w:val="single" w:sz="8" w:color="0E32E1"/>
            </w:tcBorders>
          </w:tcPr>
          <w:p>
            <w:pPr>
              <w:spacing w:after="0"/>
              <w:rPr>
                <w:sz w:val="21"/>
                <w:szCs w:val="21"/>
                <w:color w:val="auto"/>
              </w:rPr>
            </w:pPr>
          </w:p>
        </w:tc>
        <w:tc>
          <w:tcPr>
            <w:tcW w:w="640" w:type="dxa"/>
            <w:vAlign w:val="bottom"/>
            <w:tcBorders>
              <w:top w:val="single" w:sz="8" w:color="0E32E1"/>
            </w:tcBorders>
          </w:tcPr>
          <w:p>
            <w:pPr>
              <w:spacing w:after="0"/>
              <w:rPr>
                <w:sz w:val="21"/>
                <w:szCs w:val="21"/>
                <w:color w:val="auto"/>
              </w:rPr>
            </w:pPr>
          </w:p>
        </w:tc>
        <w:tc>
          <w:tcPr>
            <w:tcW w:w="80" w:type="dxa"/>
            <w:vAlign w:val="bottom"/>
            <w:tcBorders>
              <w:top w:val="single" w:sz="8" w:color="0E32E1"/>
            </w:tcBorders>
          </w:tcPr>
          <w:p>
            <w:pPr>
              <w:spacing w:after="0"/>
              <w:rPr>
                <w:sz w:val="21"/>
                <w:szCs w:val="21"/>
                <w:color w:val="auto"/>
              </w:rPr>
            </w:pPr>
          </w:p>
        </w:tc>
        <w:tc>
          <w:tcPr>
            <w:tcW w:w="60" w:type="dxa"/>
            <w:vAlign w:val="bottom"/>
            <w:tcBorders>
              <w:top w:val="single" w:sz="8" w:color="0E32E1"/>
            </w:tcBorders>
          </w:tcPr>
          <w:p>
            <w:pPr>
              <w:spacing w:after="0"/>
              <w:rPr>
                <w:sz w:val="21"/>
                <w:szCs w:val="21"/>
                <w:color w:val="auto"/>
              </w:rPr>
            </w:pPr>
          </w:p>
        </w:tc>
        <w:tc>
          <w:tcPr>
            <w:tcW w:w="120" w:type="dxa"/>
            <w:vAlign w:val="bottom"/>
            <w:tcBorders>
              <w:top w:val="single" w:sz="8" w:color="0E32E1"/>
            </w:tcBorders>
          </w:tcPr>
          <w:p>
            <w:pPr>
              <w:spacing w:after="0"/>
              <w:rPr>
                <w:sz w:val="21"/>
                <w:szCs w:val="21"/>
                <w:color w:val="auto"/>
              </w:rPr>
            </w:pPr>
          </w:p>
        </w:tc>
        <w:tc>
          <w:tcPr>
            <w:tcW w:w="100" w:type="dxa"/>
            <w:vAlign w:val="bottom"/>
            <w:tcBorders>
              <w:top w:val="single" w:sz="8" w:color="0E32E1"/>
            </w:tcBorders>
          </w:tcPr>
          <w:p>
            <w:pPr>
              <w:spacing w:after="0"/>
              <w:rPr>
                <w:sz w:val="21"/>
                <w:szCs w:val="21"/>
                <w:color w:val="auto"/>
              </w:rPr>
            </w:pPr>
          </w:p>
        </w:tc>
        <w:tc>
          <w:tcPr>
            <w:tcW w:w="300" w:type="dxa"/>
            <w:vAlign w:val="bottom"/>
            <w:tcBorders>
              <w:top w:val="single" w:sz="8" w:color="0E32E1"/>
            </w:tcBorders>
          </w:tcPr>
          <w:p>
            <w:pPr>
              <w:spacing w:after="0"/>
              <w:rPr>
                <w:sz w:val="21"/>
                <w:szCs w:val="21"/>
                <w:color w:val="auto"/>
              </w:rPr>
            </w:pPr>
          </w:p>
        </w:tc>
        <w:tc>
          <w:tcPr>
            <w:tcW w:w="240" w:type="dxa"/>
            <w:vAlign w:val="bottom"/>
            <w:tcBorders>
              <w:top w:val="single" w:sz="8" w:color="0E32E1"/>
            </w:tcBorders>
          </w:tcPr>
          <w:p>
            <w:pPr>
              <w:spacing w:after="0"/>
              <w:rPr>
                <w:sz w:val="21"/>
                <w:szCs w:val="21"/>
                <w:color w:val="auto"/>
              </w:rPr>
            </w:pPr>
          </w:p>
        </w:tc>
        <w:tc>
          <w:tcPr>
            <w:tcW w:w="220" w:type="dxa"/>
            <w:vAlign w:val="bottom"/>
            <w:tcBorders>
              <w:top w:val="single" w:sz="8" w:color="0E32E1"/>
            </w:tcBorders>
          </w:tcPr>
          <w:p>
            <w:pPr>
              <w:spacing w:after="0"/>
              <w:rPr>
                <w:sz w:val="21"/>
                <w:szCs w:val="21"/>
                <w:color w:val="auto"/>
              </w:rPr>
            </w:pPr>
          </w:p>
        </w:tc>
        <w:tc>
          <w:tcPr>
            <w:tcW w:w="40" w:type="dxa"/>
            <w:vAlign w:val="bottom"/>
            <w:tcBorders>
              <w:top w:val="single" w:sz="8" w:color="0E32E1"/>
            </w:tcBorders>
          </w:tcPr>
          <w:p>
            <w:pPr>
              <w:spacing w:after="0"/>
              <w:rPr>
                <w:sz w:val="21"/>
                <w:szCs w:val="21"/>
                <w:color w:val="auto"/>
              </w:rPr>
            </w:pPr>
          </w:p>
        </w:tc>
        <w:tc>
          <w:tcPr>
            <w:tcW w:w="20" w:type="dxa"/>
            <w:vAlign w:val="bottom"/>
            <w:tcBorders>
              <w:top w:val="single" w:sz="8" w:color="0E32E1"/>
            </w:tcBorders>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gridSpan w:val="13"/>
          </w:tcPr>
          <w:p>
            <w:pPr>
              <w:jc w:val="center"/>
              <w:ind w:right="4840"/>
              <w:spacing w:after="0"/>
              <w:rPr>
                <w:sz w:val="20"/>
                <w:szCs w:val="20"/>
                <w:color w:val="auto"/>
              </w:rPr>
            </w:pPr>
            <w:r>
              <w:rPr>
                <w:rFonts w:ascii="Times New Roman" w:cs="Times New Roman" w:eastAsia="Times New Roman" w:hAnsi="Times New Roman"/>
                <w:sz w:val="18"/>
                <w:szCs w:val="18"/>
                <w:b w:val="1"/>
                <w:bCs w:val="1"/>
                <w:color w:val="0E32E1"/>
                <w:w w:val="99"/>
              </w:rPr>
              <w:t>Part I.</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1.</w:t>
            </w:r>
          </w:p>
        </w:tc>
        <w:tc>
          <w:tcPr>
            <w:tcW w:w="370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Business</w:t>
            </w:r>
          </w:p>
        </w:tc>
        <w:tc>
          <w:tcPr>
            <w:tcW w:w="500" w:type="dxa"/>
            <w:vAlign w:val="bottom"/>
            <w:tcBorders>
              <w:top w:val="single" w:sz="8" w:color="0E32E1"/>
            </w:tcBorders>
            <w:gridSpan w:val="2"/>
          </w:tcPr>
          <w:p>
            <w:pPr>
              <w:spacing w:after="0"/>
              <w:rPr>
                <w:sz w:val="21"/>
                <w:szCs w:val="21"/>
                <w:color w:val="auto"/>
              </w:rPr>
            </w:pPr>
          </w:p>
        </w:tc>
        <w:tc>
          <w:tcPr>
            <w:tcW w:w="4840" w:type="dxa"/>
            <w:vAlign w:val="bottom"/>
            <w:gridSpan w:val="11"/>
          </w:tcPr>
          <w:p>
            <w:pPr>
              <w:spacing w:after="0"/>
              <w:rPr>
                <w:sz w:val="21"/>
                <w:szCs w:val="21"/>
                <w:color w:val="auto"/>
              </w:rPr>
            </w:pP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rPr>
              <w:t>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4"/>
              </w:rPr>
              <w:t>Item 1A.</w:t>
            </w:r>
          </w:p>
        </w:tc>
        <w:tc>
          <w:tcPr>
            <w:tcW w:w="420" w:type="dxa"/>
            <w:vAlign w:val="bottom"/>
            <w:gridSpan w:val="2"/>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8140" w:type="dxa"/>
            <w:vAlign w:val="bottom"/>
            <w:gridSpan w:val="27"/>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23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20" w:type="dxa"/>
            <w:vAlign w:val="bottom"/>
            <w:tcBorders>
              <w:left w:val="single" w:sz="8" w:color="0E32E1"/>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5"/>
              </w:rPr>
              <w:t>Item 1B.</w:t>
            </w:r>
          </w:p>
        </w:tc>
        <w:tc>
          <w:tcPr>
            <w:tcW w:w="420" w:type="dxa"/>
            <w:vAlign w:val="bottom"/>
            <w:gridSpan w:val="2"/>
          </w:tcPr>
          <w:p>
            <w:pPr>
              <w:spacing w:after="0"/>
              <w:rPr>
                <w:sz w:val="21"/>
                <w:szCs w:val="21"/>
                <w:color w:val="auto"/>
              </w:rPr>
            </w:pP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Unresolved Staff Comments</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1C.</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Cybersecurity</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61</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gridSpan w:val="2"/>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2.</w:t>
            </w:r>
          </w:p>
        </w:tc>
        <w:tc>
          <w:tcPr>
            <w:tcW w:w="420" w:type="dxa"/>
            <w:vAlign w:val="bottom"/>
            <w:gridSpan w:val="2"/>
          </w:tcPr>
          <w:p>
            <w:pPr>
              <w:spacing w:after="0"/>
              <w:rPr>
                <w:sz w:val="21"/>
                <w:szCs w:val="21"/>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E32E1"/>
              </w:rPr>
              <w:t>Properties</w:t>
            </w:r>
          </w:p>
        </w:tc>
        <w:tc>
          <w:tcPr>
            <w:tcW w:w="8040" w:type="dxa"/>
            <w:vAlign w:val="bottom"/>
            <w:gridSpan w:val="26"/>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62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3.</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240" w:type="dxa"/>
            <w:vAlign w:val="bottom"/>
            <w:tcBorders>
              <w:left w:val="single" w:sz="8" w:color="0E32E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4.</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120" w:type="dxa"/>
            <w:vAlign w:val="bottom"/>
          </w:tcPr>
          <w:p>
            <w:pPr>
              <w:spacing w:after="0"/>
              <w:rPr>
                <w:sz w:val="24"/>
                <w:szCs w:val="24"/>
                <w:color w:val="auto"/>
              </w:rPr>
            </w:pPr>
          </w:p>
        </w:tc>
        <w:tc>
          <w:tcPr>
            <w:tcW w:w="500" w:type="dxa"/>
            <w:vAlign w:val="bottom"/>
            <w:tcBorders>
              <w:top w:val="single" w:sz="8" w:color="0E32E1"/>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24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E32E1"/>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E32E1"/>
                <w:w w:val="98"/>
              </w:rPr>
              <w:t>Part II</w:t>
            </w:r>
          </w:p>
        </w:tc>
        <w:tc>
          <w:tcPr>
            <w:tcW w:w="482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5.</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Market for Registrant’s Common Equity, Related Stockholder Matters and Issuer Purchases of Equity Securities</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20" w:type="dxa"/>
            <w:vAlign w:val="bottom"/>
            <w:shd w:val="clear" w:color="auto" w:fill="0E32E1"/>
          </w:tcPr>
          <w:p>
            <w:pPr>
              <w:spacing w:after="0" w:line="20" w:lineRule="exact"/>
              <w:rPr>
                <w:sz w:val="1"/>
                <w:szCs w:val="1"/>
                <w:color w:val="auto"/>
              </w:rPr>
            </w:pPr>
          </w:p>
        </w:tc>
        <w:tc>
          <w:tcPr>
            <w:tcW w:w="780" w:type="dxa"/>
            <w:vAlign w:val="bottom"/>
            <w:shd w:val="clear" w:color="auto" w:fill="0E32E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6.</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[Reserved]</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7.</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62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E32E1"/>
                <w:w w:val="99"/>
              </w:rPr>
              <w:t>65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0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4"/>
              </w:rPr>
              <w:t>Item 7A.</w:t>
            </w:r>
          </w:p>
        </w:tc>
        <w:tc>
          <w:tcPr>
            <w:tcW w:w="420" w:type="dxa"/>
            <w:vAlign w:val="bottom"/>
            <w:gridSpan w:val="2"/>
          </w:tcPr>
          <w:p>
            <w:pPr>
              <w:spacing w:after="0"/>
              <w:rPr>
                <w:sz w:val="21"/>
                <w:szCs w:val="21"/>
                <w:color w:val="auto"/>
              </w:rPr>
            </w:pPr>
          </w:p>
        </w:tc>
        <w:tc>
          <w:tcPr>
            <w:tcW w:w="436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w w:val="99"/>
              </w:rPr>
              <w:t>Quantitative and Qualitative Disclosures About Market Risk</w:t>
            </w:r>
          </w:p>
        </w:tc>
        <w:tc>
          <w:tcPr>
            <w:tcW w:w="468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85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20" w:type="dxa"/>
            <w:vAlign w:val="bottom"/>
            <w:tcBorders>
              <w:left w:val="single" w:sz="8" w:color="0E32E1"/>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8.</w:t>
            </w:r>
          </w:p>
        </w:tc>
        <w:tc>
          <w:tcPr>
            <w:tcW w:w="420" w:type="dxa"/>
            <w:vAlign w:val="bottom"/>
            <w:gridSpan w:val="2"/>
          </w:tcPr>
          <w:p>
            <w:pPr>
              <w:spacing w:after="0"/>
              <w:rPr>
                <w:sz w:val="21"/>
                <w:szCs w:val="21"/>
                <w:color w:val="auto"/>
              </w:rPr>
            </w:pPr>
          </w:p>
        </w:tc>
        <w:tc>
          <w:tcPr>
            <w:tcW w:w="436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Financial Statements and Supplementary Data</w:t>
            </w:r>
          </w:p>
        </w:tc>
        <w:tc>
          <w:tcPr>
            <w:tcW w:w="468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E32E1"/>
                <w:w w:val="77"/>
              </w:rPr>
              <w:t>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9.</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Changes in and Disagreements with Accountants on Accounting and Financial Disclosure</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500" w:type="dxa"/>
            <w:vAlign w:val="bottom"/>
            <w:gridSpan w:val="2"/>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640" w:type="dxa"/>
            <w:vAlign w:val="bottom"/>
            <w:gridSpan w:val="2"/>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20" w:type="dxa"/>
            <w:vAlign w:val="bottom"/>
            <w:gridSpan w:val="2"/>
            <w:shd w:val="clear" w:color="auto" w:fill="0E32E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4"/>
              </w:rPr>
              <w:t>Item 9A.</w:t>
            </w:r>
          </w:p>
        </w:tc>
        <w:tc>
          <w:tcPr>
            <w:tcW w:w="420" w:type="dxa"/>
            <w:vAlign w:val="bottom"/>
            <w:gridSpan w:val="2"/>
          </w:tcPr>
          <w:p>
            <w:pPr>
              <w:spacing w:after="0"/>
              <w:rPr>
                <w:sz w:val="21"/>
                <w:szCs w:val="21"/>
                <w:color w:val="auto"/>
              </w:rPr>
            </w:pP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20" w:type="dxa"/>
            <w:vAlign w:val="bottom"/>
            <w:tcBorders>
              <w:left w:val="single" w:sz="8" w:color="0E32E1"/>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Borders>
              <w:left w:val="single" w:sz="8" w:color="0E32E1"/>
            </w:tcBorders>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5"/>
              </w:rPr>
              <w:t>Item 9B.</w:t>
            </w:r>
          </w:p>
        </w:tc>
        <w:tc>
          <w:tcPr>
            <w:tcW w:w="420" w:type="dxa"/>
            <w:vAlign w:val="bottom"/>
            <w:gridSpan w:val="2"/>
          </w:tcPr>
          <w:p>
            <w:pPr>
              <w:spacing w:after="0"/>
              <w:rPr>
                <w:sz w:val="21"/>
                <w:szCs w:val="21"/>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7280" w:type="dxa"/>
            <w:vAlign w:val="bottom"/>
            <w:gridSpan w:val="23"/>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6"/>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rPr>
              <w:t>Item 9C.</w:t>
            </w: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Disclosure Regarding Foreign Jurisdictions that Prevent Inspections</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128</w:t>
            </w:r>
          </w:p>
        </w:tc>
        <w:tc>
          <w:tcPr>
            <w:tcW w:w="0" w:type="dxa"/>
            <w:vAlign w:val="bottom"/>
          </w:tcPr>
          <w:p>
            <w:pPr>
              <w:spacing w:after="0"/>
              <w:rPr>
                <w:sz w:val="1"/>
                <w:szCs w:val="1"/>
                <w:color w:val="auto"/>
              </w:rPr>
            </w:pPr>
          </w:p>
        </w:tc>
      </w:tr>
      <w:tr>
        <w:trPr>
          <w:trHeight w:val="506"/>
        </w:trPr>
        <w:tc>
          <w:tcPr>
            <w:tcW w:w="120" w:type="dxa"/>
            <w:vAlign w:val="bottom"/>
          </w:tcPr>
          <w:p>
            <w:pPr>
              <w:spacing w:after="0"/>
              <w:rPr>
                <w:sz w:val="24"/>
                <w:szCs w:val="24"/>
                <w:color w:val="auto"/>
              </w:rPr>
            </w:pPr>
          </w:p>
        </w:tc>
        <w:tc>
          <w:tcPr>
            <w:tcW w:w="5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24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820" w:type="dxa"/>
            <w:vAlign w:val="bottom"/>
            <w:tcBorders>
              <w:top w:val="single" w:sz="8" w:color="0E32E1"/>
            </w:tcBorders>
          </w:tcPr>
          <w:p>
            <w:pPr>
              <w:spacing w:after="0"/>
              <w:rPr>
                <w:sz w:val="24"/>
                <w:szCs w:val="24"/>
                <w:color w:val="auto"/>
              </w:rPr>
            </w:pPr>
          </w:p>
        </w:tc>
        <w:tc>
          <w:tcPr>
            <w:tcW w:w="160" w:type="dxa"/>
            <w:vAlign w:val="bottom"/>
            <w:tcBorders>
              <w:top w:val="single" w:sz="8" w:color="0E32E1"/>
            </w:tcBorders>
          </w:tcPr>
          <w:p>
            <w:pPr>
              <w:spacing w:after="0"/>
              <w:rPr>
                <w:sz w:val="24"/>
                <w:szCs w:val="24"/>
                <w:color w:val="auto"/>
              </w:rPr>
            </w:pPr>
          </w:p>
        </w:tc>
        <w:tc>
          <w:tcPr>
            <w:tcW w:w="140" w:type="dxa"/>
            <w:vAlign w:val="bottom"/>
            <w:tcBorders>
              <w:top w:val="single" w:sz="8" w:color="0E32E1"/>
            </w:tcBorders>
          </w:tcPr>
          <w:p>
            <w:pPr>
              <w:spacing w:after="0"/>
              <w:rPr>
                <w:sz w:val="24"/>
                <w:szCs w:val="24"/>
                <w:color w:val="auto"/>
              </w:rPr>
            </w:pPr>
          </w:p>
        </w:tc>
        <w:tc>
          <w:tcPr>
            <w:tcW w:w="160" w:type="dxa"/>
            <w:vAlign w:val="bottom"/>
            <w:tcBorders>
              <w:top w:val="single" w:sz="8" w:color="0E32E1"/>
            </w:tcBorders>
          </w:tcPr>
          <w:p>
            <w:pPr>
              <w:spacing w:after="0"/>
              <w:rPr>
                <w:sz w:val="24"/>
                <w:szCs w:val="24"/>
                <w:color w:val="auto"/>
              </w:rPr>
            </w:pPr>
          </w:p>
        </w:tc>
        <w:tc>
          <w:tcPr>
            <w:tcW w:w="340" w:type="dxa"/>
            <w:vAlign w:val="bottom"/>
            <w:tcBorders>
              <w:top w:val="single" w:sz="8" w:color="0E32E1"/>
            </w:tcBorders>
          </w:tcPr>
          <w:p>
            <w:pPr>
              <w:spacing w:after="0"/>
              <w:rPr>
                <w:sz w:val="24"/>
                <w:szCs w:val="24"/>
                <w:color w:val="auto"/>
              </w:rPr>
            </w:pPr>
          </w:p>
        </w:tc>
        <w:tc>
          <w:tcPr>
            <w:tcW w:w="600" w:type="dxa"/>
            <w:vAlign w:val="bottom"/>
            <w:tcBorders>
              <w:top w:val="single" w:sz="8" w:color="0E32E1"/>
              <w:bottom w:val="single" w:sz="8" w:color="0E32E1"/>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E32E1"/>
              </w:rPr>
              <w:t>Part III</w:t>
            </w:r>
          </w:p>
        </w:tc>
        <w:tc>
          <w:tcPr>
            <w:tcW w:w="640" w:type="dxa"/>
            <w:vAlign w:val="bottom"/>
            <w:tcBorders>
              <w:top w:val="single" w:sz="8" w:color="0E32E1"/>
            </w:tcBorders>
            <w:gridSpan w:val="2"/>
          </w:tcPr>
          <w:p>
            <w:pPr>
              <w:spacing w:after="0"/>
              <w:rPr>
                <w:sz w:val="24"/>
                <w:szCs w:val="24"/>
                <w:color w:val="auto"/>
              </w:rPr>
            </w:pPr>
          </w:p>
        </w:tc>
        <w:tc>
          <w:tcPr>
            <w:tcW w:w="41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10.</w:t>
            </w:r>
          </w:p>
        </w:tc>
        <w:tc>
          <w:tcPr>
            <w:tcW w:w="420" w:type="dxa"/>
            <w:vAlign w:val="bottom"/>
            <w:gridSpan w:val="2"/>
          </w:tcPr>
          <w:p>
            <w:pPr>
              <w:spacing w:after="0"/>
              <w:rPr>
                <w:sz w:val="21"/>
                <w:szCs w:val="21"/>
                <w:color w:val="auto"/>
              </w:rPr>
            </w:pP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Directors, Executive Officers and Corporate Governance</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11.</w:t>
            </w:r>
          </w:p>
        </w:tc>
        <w:tc>
          <w:tcPr>
            <w:tcW w:w="420" w:type="dxa"/>
            <w:vAlign w:val="bottom"/>
            <w:gridSpan w:val="2"/>
          </w:tcPr>
          <w:p>
            <w:pPr>
              <w:spacing w:after="0"/>
              <w:rPr>
                <w:sz w:val="21"/>
                <w:szCs w:val="21"/>
                <w:color w:val="auto"/>
              </w:rPr>
            </w:pPr>
          </w:p>
        </w:tc>
        <w:tc>
          <w:tcPr>
            <w:tcW w:w="408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Executive Compensation</w:t>
            </w:r>
          </w:p>
        </w:tc>
        <w:tc>
          <w:tcPr>
            <w:tcW w:w="4960" w:type="dxa"/>
            <w:vAlign w:val="bottom"/>
            <w:gridSpan w:val="12"/>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12.</w:t>
            </w:r>
          </w:p>
        </w:tc>
        <w:tc>
          <w:tcPr>
            <w:tcW w:w="420" w:type="dxa"/>
            <w:vAlign w:val="bottom"/>
            <w:gridSpan w:val="2"/>
          </w:tcPr>
          <w:p>
            <w:pPr>
              <w:spacing w:after="0"/>
              <w:rPr>
                <w:sz w:val="21"/>
                <w:szCs w:val="21"/>
                <w:color w:val="auto"/>
              </w:rPr>
            </w:pPr>
          </w:p>
        </w:tc>
        <w:tc>
          <w:tcPr>
            <w:tcW w:w="9040" w:type="dxa"/>
            <w:vAlign w:val="bottom"/>
            <w:gridSpan w:val="31"/>
          </w:tcPr>
          <w:p>
            <w:pPr>
              <w:spacing w:after="0"/>
              <w:rPr>
                <w:sz w:val="20"/>
                <w:szCs w:val="20"/>
                <w:color w:val="auto"/>
              </w:rPr>
            </w:pPr>
            <w:r>
              <w:rPr>
                <w:rFonts w:ascii="Times New Roman" w:cs="Times New Roman" w:eastAsia="Times New Roman" w:hAnsi="Times New Roman"/>
                <w:sz w:val="18"/>
                <w:szCs w:val="18"/>
                <w:color w:val="0E32E1"/>
              </w:rPr>
              <w:t>Security Ownership of Certain Beneficial Owners and Management and Related Stockholder Matters</w:t>
            </w: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1320" w:type="dxa"/>
            <w:vAlign w:val="bottom"/>
            <w:gridSpan w:val="5"/>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560" w:type="dxa"/>
            <w:vAlign w:val="bottom"/>
            <w:gridSpan w:val="5"/>
            <w:shd w:val="clear" w:color="auto" w:fill="0E32E1"/>
          </w:tcPr>
          <w:p>
            <w:pPr>
              <w:spacing w:after="0" w:line="20" w:lineRule="exact"/>
              <w:rPr>
                <w:sz w:val="1"/>
                <w:szCs w:val="1"/>
                <w:color w:val="auto"/>
              </w:rPr>
            </w:pPr>
          </w:p>
        </w:tc>
        <w:tc>
          <w:tcPr>
            <w:tcW w:w="1200" w:type="dxa"/>
            <w:vAlign w:val="bottom"/>
            <w:gridSpan w:val="4"/>
            <w:shd w:val="clear" w:color="auto" w:fill="0E32E1"/>
          </w:tcPr>
          <w:p>
            <w:pPr>
              <w:spacing w:after="0" w:line="20" w:lineRule="exact"/>
              <w:rPr>
                <w:sz w:val="1"/>
                <w:szCs w:val="1"/>
                <w:color w:val="auto"/>
              </w:rPr>
            </w:pPr>
          </w:p>
        </w:tc>
        <w:tc>
          <w:tcPr>
            <w:tcW w:w="1840" w:type="dxa"/>
            <w:vAlign w:val="bottom"/>
            <w:gridSpan w:val="3"/>
            <w:shd w:val="clear" w:color="auto" w:fill="0E32E1"/>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13.</w:t>
            </w:r>
          </w:p>
        </w:tc>
        <w:tc>
          <w:tcPr>
            <w:tcW w:w="420" w:type="dxa"/>
            <w:vAlign w:val="bottom"/>
            <w:gridSpan w:val="2"/>
          </w:tcPr>
          <w:p>
            <w:pPr>
              <w:spacing w:after="0"/>
              <w:rPr>
                <w:sz w:val="21"/>
                <w:szCs w:val="21"/>
                <w:color w:val="auto"/>
              </w:rPr>
            </w:pPr>
          </w:p>
        </w:tc>
        <w:tc>
          <w:tcPr>
            <w:tcW w:w="7280" w:type="dxa"/>
            <w:vAlign w:val="bottom"/>
            <w:gridSpan w:val="29"/>
          </w:tcPr>
          <w:p>
            <w:pPr>
              <w:spacing w:after="0"/>
              <w:rPr>
                <w:sz w:val="20"/>
                <w:szCs w:val="20"/>
                <w:color w:val="auto"/>
              </w:rPr>
            </w:pPr>
            <w:r>
              <w:rPr>
                <w:rFonts w:ascii="Times New Roman" w:cs="Times New Roman" w:eastAsia="Times New Roman" w:hAnsi="Times New Roman"/>
                <w:sz w:val="18"/>
                <w:szCs w:val="18"/>
                <w:color w:val="0E32E1"/>
              </w:rPr>
              <w:t>Certain Relationships and Related Transactions, and Director Independence</w:t>
            </w:r>
          </w:p>
        </w:tc>
        <w:tc>
          <w:tcPr>
            <w:tcW w:w="1760" w:type="dxa"/>
            <w:vAlign w:val="bottom"/>
            <w:gridSpan w:val="2"/>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1320" w:type="dxa"/>
            <w:vAlign w:val="bottom"/>
            <w:gridSpan w:val="5"/>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520" w:type="dxa"/>
            <w:vAlign w:val="bottom"/>
            <w:gridSpan w:val="3"/>
            <w:shd w:val="clear" w:color="auto" w:fill="0E32E1"/>
          </w:tcPr>
          <w:p>
            <w:pPr>
              <w:spacing w:after="0" w:line="20" w:lineRule="exact"/>
              <w:rPr>
                <w:sz w:val="1"/>
                <w:szCs w:val="1"/>
                <w:color w:val="auto"/>
              </w:rPr>
            </w:pPr>
          </w:p>
        </w:tc>
        <w:tc>
          <w:tcPr>
            <w:tcW w:w="560" w:type="dxa"/>
            <w:vAlign w:val="bottom"/>
            <w:gridSpan w:val="5"/>
            <w:shd w:val="clear" w:color="auto" w:fill="0E32E1"/>
          </w:tcPr>
          <w:p>
            <w:pPr>
              <w:spacing w:after="0" w:line="20" w:lineRule="exact"/>
              <w:rPr>
                <w:sz w:val="1"/>
                <w:szCs w:val="1"/>
                <w:color w:val="auto"/>
              </w:rPr>
            </w:pPr>
          </w:p>
        </w:tc>
        <w:tc>
          <w:tcPr>
            <w:tcW w:w="1200" w:type="dxa"/>
            <w:vAlign w:val="bottom"/>
            <w:gridSpan w:val="4"/>
            <w:shd w:val="clear" w:color="auto" w:fill="0E32E1"/>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14.</w:t>
            </w:r>
          </w:p>
        </w:tc>
        <w:tc>
          <w:tcPr>
            <w:tcW w:w="420" w:type="dxa"/>
            <w:vAlign w:val="bottom"/>
            <w:gridSpan w:val="2"/>
          </w:tcPr>
          <w:p>
            <w:pPr>
              <w:spacing w:after="0"/>
              <w:rPr>
                <w:sz w:val="21"/>
                <w:szCs w:val="21"/>
                <w:color w:val="auto"/>
              </w:rPr>
            </w:pPr>
          </w:p>
        </w:tc>
        <w:tc>
          <w:tcPr>
            <w:tcW w:w="5440" w:type="dxa"/>
            <w:vAlign w:val="bottom"/>
            <w:gridSpan w:val="26"/>
          </w:tcPr>
          <w:p>
            <w:pPr>
              <w:spacing w:after="0"/>
              <w:rPr>
                <w:sz w:val="20"/>
                <w:szCs w:val="20"/>
                <w:color w:val="auto"/>
              </w:rPr>
            </w:pPr>
            <w:r>
              <w:rPr>
                <w:rFonts w:ascii="Times New Roman" w:cs="Times New Roman" w:eastAsia="Times New Roman" w:hAnsi="Times New Roman"/>
                <w:sz w:val="18"/>
                <w:szCs w:val="18"/>
                <w:color w:val="0E32E1"/>
              </w:rPr>
              <w:t>Principal Accounting Fees and Services</w:t>
            </w:r>
          </w:p>
        </w:tc>
        <w:tc>
          <w:tcPr>
            <w:tcW w:w="3600" w:type="dxa"/>
            <w:vAlign w:val="bottom"/>
            <w:gridSpan w:val="5"/>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129</w:t>
            </w:r>
          </w:p>
        </w:tc>
        <w:tc>
          <w:tcPr>
            <w:tcW w:w="0" w:type="dxa"/>
            <w:vAlign w:val="bottom"/>
          </w:tcPr>
          <w:p>
            <w:pPr>
              <w:spacing w:after="0"/>
              <w:rPr>
                <w:sz w:val="1"/>
                <w:szCs w:val="1"/>
                <w:color w:val="auto"/>
              </w:rPr>
            </w:pPr>
          </w:p>
        </w:tc>
      </w:tr>
      <w:tr>
        <w:trPr>
          <w:trHeight w:val="507"/>
        </w:trPr>
        <w:tc>
          <w:tcPr>
            <w:tcW w:w="120" w:type="dxa"/>
            <w:vAlign w:val="bottom"/>
          </w:tcPr>
          <w:p>
            <w:pPr>
              <w:spacing w:after="0"/>
              <w:rPr>
                <w:sz w:val="24"/>
                <w:szCs w:val="24"/>
                <w:color w:val="auto"/>
              </w:rPr>
            </w:pPr>
          </w:p>
        </w:tc>
        <w:tc>
          <w:tcPr>
            <w:tcW w:w="5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60" w:type="dxa"/>
            <w:vAlign w:val="bottom"/>
            <w:tcBorders>
              <w:top w:val="single" w:sz="8" w:color="0E32E1"/>
            </w:tcBorders>
          </w:tcPr>
          <w:p>
            <w:pPr>
              <w:spacing w:after="0"/>
              <w:rPr>
                <w:sz w:val="24"/>
                <w:szCs w:val="24"/>
                <w:color w:val="auto"/>
              </w:rPr>
            </w:pPr>
          </w:p>
        </w:tc>
        <w:tc>
          <w:tcPr>
            <w:tcW w:w="120" w:type="dxa"/>
            <w:vAlign w:val="bottom"/>
            <w:tcBorders>
              <w:top w:val="single" w:sz="8" w:color="0E32E1"/>
            </w:tcBorders>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24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220" w:type="dxa"/>
            <w:vAlign w:val="bottom"/>
            <w:tcBorders>
              <w:top w:val="single" w:sz="8" w:color="0E32E1"/>
            </w:tcBorders>
          </w:tcPr>
          <w:p>
            <w:pPr>
              <w:spacing w:after="0"/>
              <w:rPr>
                <w:sz w:val="24"/>
                <w:szCs w:val="24"/>
                <w:color w:val="auto"/>
              </w:rPr>
            </w:pPr>
          </w:p>
        </w:tc>
        <w:tc>
          <w:tcPr>
            <w:tcW w:w="820" w:type="dxa"/>
            <w:vAlign w:val="bottom"/>
            <w:tcBorders>
              <w:top w:val="single" w:sz="8" w:color="0E32E1"/>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4"/>
          </w:tcPr>
          <w:p>
            <w:pPr>
              <w:jc w:val="center"/>
              <w:ind w:right="4800"/>
              <w:spacing w:after="0"/>
              <w:rPr>
                <w:sz w:val="20"/>
                <w:szCs w:val="20"/>
                <w:color w:val="auto"/>
              </w:rPr>
            </w:pPr>
            <w:r>
              <w:rPr>
                <w:rFonts w:ascii="Times New Roman" w:cs="Times New Roman" w:eastAsia="Times New Roman" w:hAnsi="Times New Roman"/>
                <w:sz w:val="18"/>
                <w:szCs w:val="18"/>
                <w:b w:val="1"/>
                <w:bCs w:val="1"/>
                <w:color w:val="0E32E1"/>
                <w:w w:val="95"/>
              </w:rPr>
              <w:t>Part IV</w:t>
            </w:r>
          </w:p>
        </w:tc>
        <w:tc>
          <w:tcPr>
            <w:tcW w:w="48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4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15.</w:t>
            </w:r>
          </w:p>
        </w:tc>
        <w:tc>
          <w:tcPr>
            <w:tcW w:w="420" w:type="dxa"/>
            <w:vAlign w:val="bottom"/>
            <w:gridSpan w:val="2"/>
          </w:tcPr>
          <w:p>
            <w:pPr>
              <w:spacing w:after="0"/>
              <w:rPr>
                <w:sz w:val="21"/>
                <w:szCs w:val="21"/>
                <w:color w:val="auto"/>
              </w:rPr>
            </w:pPr>
          </w:p>
        </w:tc>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w w:val="99"/>
              </w:rPr>
              <w:t>Exhibits and Financial Statement Schedules</w:t>
            </w:r>
          </w:p>
        </w:tc>
        <w:tc>
          <w:tcPr>
            <w:tcW w:w="520" w:type="dxa"/>
            <w:vAlign w:val="bottom"/>
            <w:gridSpan w:val="3"/>
          </w:tcPr>
          <w:p>
            <w:pPr>
              <w:spacing w:after="0"/>
              <w:rPr>
                <w:sz w:val="21"/>
                <w:szCs w:val="21"/>
                <w:color w:val="auto"/>
              </w:rPr>
            </w:pPr>
          </w:p>
        </w:tc>
        <w:tc>
          <w:tcPr>
            <w:tcW w:w="560" w:type="dxa"/>
            <w:vAlign w:val="bottom"/>
            <w:tcBorders>
              <w:top w:val="single" w:sz="8" w:color="0E32E1"/>
            </w:tcBorders>
            <w:gridSpan w:val="5"/>
          </w:tcPr>
          <w:p>
            <w:pPr>
              <w:spacing w:after="0"/>
              <w:rPr>
                <w:sz w:val="21"/>
                <w:szCs w:val="21"/>
                <w:color w:val="auto"/>
              </w:rPr>
            </w:pPr>
          </w:p>
        </w:tc>
        <w:tc>
          <w:tcPr>
            <w:tcW w:w="4800" w:type="dxa"/>
            <w:vAlign w:val="bottom"/>
            <w:gridSpan w:val="9"/>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7"/>
            <w:shd w:val="clear" w:color="auto" w:fill="0E32E1"/>
          </w:tcPr>
          <w:p>
            <w:pPr>
              <w:spacing w:after="0" w:line="20" w:lineRule="exact"/>
              <w:rPr>
                <w:sz w:val="1"/>
                <w:szCs w:val="1"/>
                <w:color w:val="auto"/>
              </w:rPr>
            </w:pPr>
          </w:p>
        </w:tc>
        <w:tc>
          <w:tcPr>
            <w:tcW w:w="1620" w:type="dxa"/>
            <w:vAlign w:val="bottom"/>
            <w:gridSpan w:val="7"/>
            <w:shd w:val="clear" w:color="auto" w:fill="0E32E1"/>
          </w:tcPr>
          <w:p>
            <w:pPr>
              <w:spacing w:after="0" w:line="20" w:lineRule="exact"/>
              <w:rPr>
                <w:sz w:val="1"/>
                <w:szCs w:val="1"/>
                <w:color w:val="auto"/>
              </w:rPr>
            </w:pPr>
          </w:p>
        </w:tc>
        <w:tc>
          <w:tcPr>
            <w:tcW w:w="5880" w:type="dxa"/>
            <w:vAlign w:val="bottom"/>
            <w:gridSpan w:val="17"/>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9"/>
              </w:rPr>
              <w:t>Item 16.</w:t>
            </w:r>
          </w:p>
        </w:tc>
        <w:tc>
          <w:tcPr>
            <w:tcW w:w="420" w:type="dxa"/>
            <w:vAlign w:val="bottom"/>
            <w:gridSpan w:val="2"/>
          </w:tcPr>
          <w:p>
            <w:pPr>
              <w:spacing w:after="0"/>
              <w:rPr>
                <w:sz w:val="21"/>
                <w:szCs w:val="21"/>
                <w:color w:val="auto"/>
              </w:rPr>
            </w:pPr>
          </w:p>
        </w:tc>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rPr>
              <w:t>Form 10-K Summary</w:t>
            </w:r>
          </w:p>
        </w:tc>
        <w:tc>
          <w:tcPr>
            <w:tcW w:w="5880" w:type="dxa"/>
            <w:vAlign w:val="bottom"/>
            <w:gridSpan w:val="17"/>
          </w:tcPr>
          <w:p>
            <w:pPr>
              <w:spacing w:after="0"/>
              <w:rPr>
                <w:sz w:val="21"/>
                <w:szCs w:val="21"/>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E32E1"/>
                <w:w w:val="96"/>
              </w:rPr>
              <w:t>132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0E32E1"/>
            </w:tcBorders>
            <w:shd w:val="clear" w:color="auto" w:fill="0E32E1"/>
          </w:tcPr>
          <w:p>
            <w:pPr>
              <w:spacing w:after="0" w:line="20" w:lineRule="exact"/>
              <w:rPr>
                <w:sz w:val="1"/>
                <w:szCs w:val="1"/>
                <w:color w:val="auto"/>
              </w:rPr>
            </w:pPr>
          </w:p>
        </w:tc>
        <w:tc>
          <w:tcPr>
            <w:tcW w:w="80" w:type="dxa"/>
            <w:vAlign w:val="bottom"/>
            <w:tcBorders>
              <w:bottom w:val="single" w:sz="8" w:color="0E32E1"/>
            </w:tcBorders>
            <w:shd w:val="clear" w:color="auto" w:fill="0E32E1"/>
          </w:tcPr>
          <w:p>
            <w:pPr>
              <w:spacing w:after="0" w:line="20" w:lineRule="exact"/>
              <w:rPr>
                <w:sz w:val="1"/>
                <w:szCs w:val="1"/>
                <w:color w:val="auto"/>
              </w:rPr>
            </w:pPr>
          </w:p>
        </w:tc>
        <w:tc>
          <w:tcPr>
            <w:tcW w:w="60" w:type="dxa"/>
            <w:vAlign w:val="bottom"/>
            <w:tcBorders>
              <w:bottom w:val="single" w:sz="8" w:color="0E32E1"/>
            </w:tcBorders>
            <w:shd w:val="clear" w:color="auto" w:fill="0E32E1"/>
          </w:tcPr>
          <w:p>
            <w:pPr>
              <w:spacing w:after="0" w:line="20" w:lineRule="exact"/>
              <w:rPr>
                <w:sz w:val="1"/>
                <w:szCs w:val="1"/>
                <w:color w:val="auto"/>
              </w:rPr>
            </w:pPr>
          </w:p>
        </w:tc>
        <w:tc>
          <w:tcPr>
            <w:tcW w:w="120" w:type="dxa"/>
            <w:vAlign w:val="bottom"/>
            <w:tcBorders>
              <w:bottom w:val="single" w:sz="8" w:color="0E32E1"/>
            </w:tcBorders>
            <w:shd w:val="clear" w:color="auto" w:fill="0E32E1"/>
          </w:tcPr>
          <w:p>
            <w:pPr>
              <w:spacing w:after="0" w:line="20" w:lineRule="exact"/>
              <w:rPr>
                <w:sz w:val="1"/>
                <w:szCs w:val="1"/>
                <w:color w:val="auto"/>
              </w:rPr>
            </w:pPr>
          </w:p>
        </w:tc>
        <w:tc>
          <w:tcPr>
            <w:tcW w:w="100" w:type="dxa"/>
            <w:vAlign w:val="bottom"/>
            <w:tcBorders>
              <w:bottom w:val="single" w:sz="8" w:color="0E32E1"/>
            </w:tcBorders>
            <w:shd w:val="clear" w:color="auto" w:fill="0E32E1"/>
          </w:tcPr>
          <w:p>
            <w:pPr>
              <w:spacing w:after="0" w:line="20" w:lineRule="exact"/>
              <w:rPr>
                <w:sz w:val="1"/>
                <w:szCs w:val="1"/>
                <w:color w:val="auto"/>
              </w:rPr>
            </w:pPr>
          </w:p>
        </w:tc>
        <w:tc>
          <w:tcPr>
            <w:tcW w:w="300" w:type="dxa"/>
            <w:vAlign w:val="bottom"/>
            <w:tcBorders>
              <w:bottom w:val="single" w:sz="8" w:color="0E32E1"/>
            </w:tcBorders>
            <w:shd w:val="clear" w:color="auto" w:fill="0E32E1"/>
          </w:tcPr>
          <w:p>
            <w:pPr>
              <w:spacing w:after="0" w:line="20" w:lineRule="exact"/>
              <w:rPr>
                <w:sz w:val="1"/>
                <w:szCs w:val="1"/>
                <w:color w:val="auto"/>
              </w:rPr>
            </w:pPr>
          </w:p>
        </w:tc>
        <w:tc>
          <w:tcPr>
            <w:tcW w:w="240" w:type="dxa"/>
            <w:vAlign w:val="bottom"/>
            <w:tcBorders>
              <w:left w:val="single" w:sz="8" w:color="0E32E1"/>
              <w:bottom w:val="single" w:sz="8" w:color="0E32E1"/>
            </w:tcBorders>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E32E1"/>
              </w:rPr>
              <w:t>Signatures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20" w:type="dxa"/>
            <w:vAlign w:val="bottom"/>
            <w:tcBorders>
              <w:left w:val="single" w:sz="8" w:color="0E32E1"/>
            </w:tcBorders>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plans and objectives of management for future operations, and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35" w:lineRule="exact"/>
        <w:rPr>
          <w:sz w:val="20"/>
          <w:szCs w:val="20"/>
          <w:color w:val="auto"/>
        </w:rPr>
      </w:pPr>
    </w:p>
    <w:p>
      <w:pPr>
        <w:ind w:left="1300" w:hanging="320"/>
        <w:spacing w:after="0" w:line="282" w:lineRule="auto"/>
        <w:tabs>
          <w:tab w:leader="none" w:pos="12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 including statements relating to the portion of our remaining performance obligations that we expect to be recognized as revenue in future periods;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C3 AI Software, which includes our C3 AI Platform, C3 AI Applications and C3 Generative AI;</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for our C3 AI Software;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C3 AI Software;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addressable market opportunity for our C3 AI Software;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our product releases;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pricing model;</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customer engagement;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uncertainties;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contained in Part I, Item 1A of this Annual Report on Form 10-K and those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including the risks described in the section titled “Risk Factors” in Part I, Item 1A of this Annual Report on Form 10-K. Below is a summary of some of the risks and uncertainties as of the date of the filing of this Annual Report on Form 10-K, any one of which could materially adversely affect our business, financial condition, operating results, and prospects. You should read this summary together with the more detailed description of each risk factor contained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75" w:lineRule="exact"/>
        <w:rPr>
          <w:sz w:val="20"/>
          <w:szCs w:val="20"/>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we anticipate our operating expenses will continue to increase in the future, and we may not be able to achieve or maintain profitability in the future.</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limited number of customers have accounted for a substantial portion of our revenue. If existing customers do not renew their contracts with us, or if our relationships with our largest customers are impaired or terminated, our revenue could decline, and our results of operations would be adversely impacted.</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attract new customers and on our existing customers purchasing additional subscriptions from us and renewing their existing subscriptions.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 which could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long and unpredictable, particularly with respect to large subscriptions, and our sales efforts require considerable time and expense.</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our C3 AI Software fails to grow as we expect, or if businesses fail to adopt our C3 AI Software, our business, operating results, and financial condition could be adversely affected.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respond to rapid technological changes, extend our C3 AI Software, or develop new features and functionality, our ability to remain competitive could be impaired.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the services of our Chief Executive Officer, or CEO, or other members of our senior management team, we may not be able to execute our business strategy.</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uncertainties have had, and could continue to have, an adverse impact on our business, our operations, and the markets and communities in which we, our partners, and users operate.</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and rules, contractual obligations, industry standards, policies, self-regulatory schemes, standards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2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raised by the use of artificial intelligence, or AI, including machine learning, or ML, in our C3 AI Platform may result in reputational harm or liability or otherwise adversely affect our business, financial condition and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hanging="320"/>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 subjective assumptions, estimates and judgments by management related to complex accounting matters could adversely affect our financial results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75" w:lineRule="exact"/>
        <w:rPr>
          <w:sz w:val="20"/>
          <w:szCs w:val="20"/>
          <w:color w:val="auto"/>
        </w:rPr>
      </w:pPr>
    </w:p>
    <w:p>
      <w:pPr>
        <w:ind w:left="1300" w:right="20" w:hanging="320"/>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expand our operations outside the United States, where we may be subject to increased business and economic risks that could harm our business.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impair our ability to compete in international markets or subject us to liability if we are not in compliance with applicable 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7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exposure to greater than anticipated tax liabilities, which could harm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be in the future, party to intellectual property rights claims and other litigation matters, which, if resolved adversely, could harm our business.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provisions in various agreements potentially expose us to substantial liability for intellectual property infringement and other losses.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our intellectual property rights and proprietary information could diminish our brand and other intangible assets.</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third-party open source software could negatively affect our ability to offer and sell subscriptions to our C3 AI Software and subject us to possible litigation.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5"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may be volatile, and you could lose all or part of your investment.</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the holders of our Class B common stock, limiting your ability to influence corporate matters.</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5" w:lineRule="exact"/>
        <w:rPr>
          <w:sz w:val="20"/>
          <w:szCs w:val="20"/>
          <w:color w:val="auto"/>
        </w:rPr>
      </w:pPr>
    </w:p>
    <w:p>
      <w:pPr>
        <w:ind w:left="1300" w:right="2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disrupted by catastrophic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C3 AI is the Enterprise AI application software company. C3 AI delivers a family of fully integrated products including the C3 AI Platform, an end-to-end platform for developing, deploying, and operating Enterprise AI Applications; C3 AI Applications, a portfolio of industry-specific SaaS Enterprise AI applications that enable the digital transformation of organizations globally; and C3 Generative AI - a unified knowledge source that combines the power of foundational large language models (LLMs), retrieval models, and the C3 AI Platform, to enable enterprise users to rapidly locate, retrieve, reason, and act on enterprise data and insights through an intuitive search and chat interface.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C3 AI Platform and C3 AI Applications — built with our patented model-driven architecture — enable organizations to simplify and accelerate Enterprise AI application development, deployment, and administration. Our C3 AI software platform also enables developers to rapidly build applications without having to write complex, lengthy, structured programming code to define, control, and integrate the many requisite data and microservices components to work together; we significantly reduce the effort and complexity of the Enterprise AI software engineering problem.</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Generative AI provides enterprise users with a transformative user experience using a natural language interface to rapidly locate, retrieve, and present relevant data from across the entire corpus of an enterprise’s information systems. C3 Generative AI enables rapid access to information, analyses, and predictive analytics associated with and derived from enterprise and external systems while respecting access controls. C3 Generative AI is built natively into the C3 AI Platform and available with every C3 AI Application.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C3 Generative AI is also available as a standalone capability deployable against customer datasets and software applications enabling customers to leverage large language models (LLMs) and pretrained generative transformers (GPTs) to transform enterprise search.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AI Software Solutions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a solution that enables our customers to rapidly develop, deploy, and operate large-scale Enterprise AI applications. Customers can deploy C3 AI software on major public cloud infrastructures, private cloud or hybrid environments, or directly on their servers and processors. We provide our customers and partners with an antidote to AI vendor lock-in.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three primary families of software solutions, which we collectively refer to as our C3 AI software:</w:t>
      </w:r>
    </w:p>
    <w:p>
      <w:pPr>
        <w:spacing w:after="0" w:line="169" w:lineRule="exact"/>
        <w:rPr>
          <w:sz w:val="20"/>
          <w:szCs w:val="20"/>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C3 AI Platform</w:t>
      </w:r>
      <w:r>
        <w:rPr>
          <w:rFonts w:ascii="Times New Roman" w:cs="Times New Roman" w:eastAsia="Times New Roman" w:hAnsi="Times New Roman"/>
          <w:sz w:val="18"/>
          <w:szCs w:val="18"/>
          <w:color w:val="auto"/>
        </w:rPr>
        <w:t>, our core technology, is a comprehensive, end-to-end application development and runtime environment that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 our customers to rapidly design, develop, and deploy Enterprise AI applications of any type.</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AI Applications</w:t>
      </w:r>
      <w:r>
        <w:rPr>
          <w:rFonts w:ascii="Times New Roman" w:cs="Times New Roman" w:eastAsia="Times New Roman" w:hAnsi="Times New Roman"/>
          <w:sz w:val="18"/>
          <w:szCs w:val="18"/>
          <w:color w:val="auto"/>
        </w:rPr>
        <w:t>, built using the C3 AI Platform, is a portfolio of pre-built, extensible, industry-specific and application-specific SaaS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AI applications that can be rapidly installed and deployed.</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Generative AI</w:t>
      </w:r>
      <w:r>
        <w:rPr>
          <w:rFonts w:ascii="Times New Roman" w:cs="Times New Roman" w:eastAsia="Times New Roman" w:hAnsi="Times New Roman"/>
          <w:sz w:val="18"/>
          <w:szCs w:val="18"/>
          <w:color w:val="auto"/>
        </w:rPr>
        <w:t>, combines the utility of large language models, generative AI, reinforcement learning, natural language processing, and the C3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 Platform to rapidly locate, retrieve, and present information, disparate data stores, applications, and enterprise information systems.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 AI Platform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C3 AI Platform offers the only end-to-end platform-as-a-service that allows customers to rapidly design, develop, provision, and operate Enterprise AI applications at scale. Our customers can use the C3 AI Platform to build and operate their own custom Enterprise AI applications and to customize, operate, and manage C3 AI applications.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C3 AI Platform uses a unique model-driven architecture to accelerate delivery and reduce the complexities of developing Enterprise AI applications. The C3 AI model-driven architecture provides an “abstraction layer,” that allows developers to build Enterprise AI applications by using conceptual models of all the elements an application requires, instead of writing lengthy code. This provides significant benefits, including:</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Scale AI Across the Business. </w:t>
      </w:r>
      <w:r>
        <w:rPr>
          <w:rFonts w:ascii="Times New Roman" w:cs="Times New Roman" w:eastAsia="Times New Roman" w:hAnsi="Times New Roman"/>
          <w:sz w:val="18"/>
          <w:szCs w:val="18"/>
          <w:color w:val="auto"/>
        </w:rPr>
        <w:t>Customers can use AI applications and models that optimize processes for every product, asset, customer, or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all regions and businesses;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Deliver Results Faster. </w:t>
      </w:r>
      <w:r>
        <w:rPr>
          <w:rFonts w:ascii="Times New Roman" w:cs="Times New Roman" w:eastAsia="Times New Roman" w:hAnsi="Times New Roman"/>
          <w:sz w:val="18"/>
          <w:szCs w:val="18"/>
          <w:color w:val="auto"/>
        </w:rPr>
        <w:t>Customers can deploy AI applications and see results in one to two quarters and rapidly roll out additional applications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w:t>
      </w:r>
    </w:p>
    <w:p>
      <w:pPr>
        <w:spacing w:after="0" w:line="1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Generate Meaningful Value. </w:t>
      </w:r>
      <w:r>
        <w:rPr>
          <w:rFonts w:ascii="Times New Roman" w:cs="Times New Roman" w:eastAsia="Times New Roman" w:hAnsi="Times New Roman"/>
          <w:sz w:val="18"/>
          <w:szCs w:val="18"/>
          <w:color w:val="auto"/>
        </w:rPr>
        <w:t>Customers can unlock sustained value, up to hundreds of millions to billions of dollars per year, from reduced costs,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and higher margins; and</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 AI with Confidence. </w:t>
      </w:r>
      <w:r>
        <w:rPr>
          <w:rFonts w:ascii="Times New Roman" w:cs="Times New Roman" w:eastAsia="Times New Roman" w:hAnsi="Times New Roman"/>
          <w:sz w:val="18"/>
          <w:szCs w:val="18"/>
          <w:color w:val="auto"/>
        </w:rPr>
        <w:t>Customers can ensure systematic, enterprise-wide governance of AI with our unified platform that offers data lineage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governance.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C3 AI Platform enables us and our customers to develop Enterprise AI applications by using conceptual models of all the elements required by the application — including data objects (e.g., customer, order, contract), computing resources (e.g., database, storage, messaging), data processing services (e.g., stream processing, batch processing), AI and ML services e.g., (model training, model pipeline management) — instead of having to write complex, lengthy code. This approach vastly reduces technical complexity for developers and the amount of code they need to write. The C3 AI Platform provides comprehensive capabilities to rapidly develop, deploy, and operate Enterprise AI applications at scale, including:</w:t>
      </w:r>
    </w:p>
    <w:p>
      <w:pPr>
        <w:spacing w:after="0" w:line="127" w:lineRule="exact"/>
        <w:rPr>
          <w:sz w:val="20"/>
          <w:szCs w:val="20"/>
          <w:color w:val="auto"/>
        </w:rPr>
      </w:pPr>
    </w:p>
    <w:p>
      <w:pPr>
        <w:ind w:left="66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Integration and Management Services</w:t>
      </w:r>
      <w:r>
        <w:rPr>
          <w:rFonts w:ascii="Times New Roman" w:cs="Times New Roman" w:eastAsia="Times New Roman" w:hAnsi="Times New Roman"/>
          <w:sz w:val="18"/>
          <w:szCs w:val="18"/>
          <w:color w:val="auto"/>
        </w:rPr>
        <w:t>. Services to readily ingest and aggregate massive volumes of diverse data from numerous internal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sources and unify the data in a common and extensible data image.</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AI Application Development and Operationalization Services. </w:t>
      </w:r>
      <w:r>
        <w:rPr>
          <w:rFonts w:ascii="Times New Roman" w:cs="Times New Roman" w:eastAsia="Times New Roman" w:hAnsi="Times New Roman"/>
          <w:sz w:val="18"/>
          <w:szCs w:val="18"/>
          <w:color w:val="auto"/>
        </w:rPr>
        <w:t>Software services to explore data, build and train AI models, and operationalize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and applications at enterprise scale.</w:t>
      </w:r>
    </w:p>
    <w:p>
      <w:pPr>
        <w:spacing w:after="0" w:line="104"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and Security Services. </w:t>
      </w:r>
      <w:r>
        <w:rPr>
          <w:rFonts w:ascii="Times New Roman" w:cs="Times New Roman" w:eastAsia="Times New Roman" w:hAnsi="Times New Roman"/>
          <w:sz w:val="18"/>
          <w:szCs w:val="18"/>
          <w:color w:val="auto"/>
        </w:rPr>
        <w:t>Cohesive core platform services (e.g., access control, data encryption, cybersecurity, time-series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normalization, data privacy).</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Studio. </w:t>
      </w:r>
      <w:r>
        <w:rPr>
          <w:rFonts w:ascii="Times New Roman" w:cs="Times New Roman" w:eastAsia="Times New Roman" w:hAnsi="Times New Roman"/>
          <w:sz w:val="18"/>
          <w:szCs w:val="18"/>
          <w:color w:val="auto"/>
        </w:rPr>
        <w:t>A low-code/no-code visual toolkit for developing, deploying, and operating Enterprise AI applications.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 AI Applications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C3 AI Applications is an expanding portfolio of turnkey and ready-to-use suite of Enterprise AI applications that address a range of high-value use cases. With C3 AI Applications, organizations can typically deploy enterprise-scale production AI applications in one to six months. Each of these applications is extensible and customizable to meet customer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AI Reliability Suite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C3 AI Reliability Suite drives enterprise asset performance, reduces downtime, and improves process efficiency. C3 AI customers use the C3 AI Reliability Suite to identify and predict asset performance risks, intervene before downtime occurs, and maximize asset performance.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C3 AI Reliability Suite offers a flexible and scalable AI approach with better precision than alternatives. C3 AI’s value proposition within reliability emphasizes its (1) complementary approach to existing asset management and data historian systems, (2) detailed asset hierarchy modeling, including asset templates and failure mode libraries, (3) flexible AI pipelines that leverage best-in-class ML frameworks with AI explainability, and (4) comprehensive user workflows to action AI recommendations, with bidirectional integrations to work management and operations systems.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discrete applications comprise the C3 AI Reliability Suite:</w:t>
      </w:r>
    </w:p>
    <w:p>
      <w:pPr>
        <w:spacing w:after="0" w:line="16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Reliability </w:t>
      </w:r>
      <w:r>
        <w:rPr>
          <w:rFonts w:ascii="Times New Roman" w:cs="Times New Roman" w:eastAsia="Times New Roman" w:hAnsi="Times New Roman"/>
          <w:sz w:val="18"/>
          <w:szCs w:val="18"/>
          <w:color w:val="auto"/>
        </w:rPr>
        <w:t>increases operations, process, and equipment uptime by anticipating equipment risks and failures.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Process Optimization </w:t>
      </w:r>
      <w:r>
        <w:rPr>
          <w:rFonts w:ascii="Times New Roman" w:cs="Times New Roman" w:eastAsia="Times New Roman" w:hAnsi="Times New Roman"/>
          <w:sz w:val="18"/>
          <w:szCs w:val="18"/>
          <w:color w:val="auto"/>
        </w:rPr>
        <w:t>improves production rate and product quality with AI-optimized process control parameters in complex batch, semi-batch, or process manufacturing.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Energy Management </w:t>
      </w:r>
      <w:r>
        <w:rPr>
          <w:rFonts w:ascii="Times New Roman" w:cs="Times New Roman" w:eastAsia="Times New Roman" w:hAnsi="Times New Roman"/>
          <w:sz w:val="18"/>
          <w:szCs w:val="18"/>
          <w:color w:val="auto"/>
        </w:rPr>
        <w:t>helps operations teams achieve targets for energy cost, GHG emissions, water consumption, and waste reduction.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models energy efficiency and emissions at every level of industrial processes from the individual equipment up to the facility as well as SKU-level product carbon footprints.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C3 AI Supply Chain Suite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C3 AI Supply Chain Suite significantly improves supply chain resiliency and efficiency with proactive risk mitigation and advanced optimization. C3 AI’s value proposition in supply chain emphasizes its (1) strength in data unification for enterprise and external data to enable near-real-time global visibility of all goods, orders, and transportation, (2) detailed part-level tracking across the supply chain, (3) advanced AI to preemptively detect and mitigate risks, optimize processes, and avoid disruptions, and (4) fully complementary approach with enterprise resource planning, or ERP, systems (e.g., SAP ERP) and supply chain planning tools (e.g., SAP IBP, Logility).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rely on the C3 AI Supply Chain Suite to rapidly improve business outcomes while providing flexibility in how they manage their entire supply chain software ecosystem. One large global manufacturing C3 AI customer uses C3 AI’s production scheduling software to support facilities using mainframe systems, continuing to use the same C3 AI Software while the underlying systems are upgraded to SAP ERP, highlighting the versatility and future-proofing of the model-driven architecture.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discrete applications comprise the C3 AI Supply Chain Suite:</w:t>
      </w:r>
    </w:p>
    <w:p>
      <w:pPr>
        <w:spacing w:after="0" w:line="16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Supply Network Risk </w:t>
      </w:r>
      <w:r>
        <w:rPr>
          <w:rFonts w:ascii="Times New Roman" w:cs="Times New Roman" w:eastAsia="Times New Roman" w:hAnsi="Times New Roman"/>
          <w:sz w:val="18"/>
          <w:szCs w:val="18"/>
          <w:color w:val="auto"/>
        </w:rPr>
        <w:t>identifies emerging inbound and outbound risks across the network.</w:t>
      </w:r>
    </w:p>
    <w:p>
      <w:pPr>
        <w:spacing w:after="0" w:line="17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Inventory Optimization </w:t>
      </w:r>
      <w:r>
        <w:rPr>
          <w:rFonts w:ascii="Times New Roman" w:cs="Times New Roman" w:eastAsia="Times New Roman" w:hAnsi="Times New Roman"/>
          <w:sz w:val="18"/>
          <w:szCs w:val="18"/>
          <w:color w:val="auto"/>
        </w:rPr>
        <w:t>analyzes variability across demand, supply, and production and optimizes inventory levels of all goods to eliminate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inventory.</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Demand Forecasting </w:t>
      </w:r>
      <w:r>
        <w:rPr>
          <w:rFonts w:ascii="Times New Roman" w:cs="Times New Roman" w:eastAsia="Times New Roman" w:hAnsi="Times New Roman"/>
          <w:sz w:val="18"/>
          <w:szCs w:val="18"/>
          <w:color w:val="auto"/>
        </w:rPr>
        <w:t>provides AI-based demand segmentation and granular, precision demand forecasts by capturing all high-value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signals from enterprise and external data sources.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C3 AI Production Schedule Optimization </w:t>
      </w:r>
      <w:r>
        <w:rPr>
          <w:rFonts w:ascii="Times New Roman" w:cs="Times New Roman" w:eastAsia="Times New Roman" w:hAnsi="Times New Roman"/>
          <w:sz w:val="17"/>
          <w:szCs w:val="17"/>
          <w:color w:val="auto"/>
        </w:rPr>
        <w:t>improves production efficiency using a holistic view of demand, supply, manufacturing, and distribution.</w:t>
      </w:r>
    </w:p>
    <w:p>
      <w:pPr>
        <w:spacing w:after="0" w:line="182" w:lineRule="exact"/>
        <w:rPr>
          <w:rFonts w:ascii="Times New Roman" w:cs="Times New Roman" w:eastAsia="Times New Roman" w:hAnsi="Times New Roman"/>
          <w:sz w:val="17"/>
          <w:szCs w:val="17"/>
          <w:color w:val="auto"/>
        </w:rPr>
      </w:pPr>
    </w:p>
    <w:p>
      <w:pPr>
        <w:ind w:left="660" w:hanging="328"/>
        <w:spacing w:after="0" w:line="28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Sourcing Optimization </w:t>
      </w:r>
      <w:r>
        <w:rPr>
          <w:rFonts w:ascii="Times New Roman" w:cs="Times New Roman" w:eastAsia="Times New Roman" w:hAnsi="Times New Roman"/>
          <w:sz w:val="18"/>
          <w:szCs w:val="18"/>
          <w:color w:val="auto"/>
        </w:rPr>
        <w:t>reduces sourcing costs by detecting pricing anomalies and proactively monitoring all sourcing activity,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feedback and other information provided from our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AI Defense &amp; Intelligence Suite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C3 AI Defense &amp; Intelligence Suite helps maximize mission capabilities. C3 AI customers span the U.S. Department of Defense, or the DoD, (including branches such as the U.S. Air Force), the Missile Defense Agency, and the DoD’s Chief Digital and Artificial Intelligence Office. C3 AI offers a core suite of products adaptable for each agency’s needs.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AI differentiates on scalability of AI/ML and user workflows to solve critical missions. C3 AI’s defense &amp; intelligence customers solve the following core needs with C3 AI: (1) rapid, multi-source data ingestion (e.g., structured, image, video, text), (2) efficient and scalable application of AI, ML, and deep learning techniques to provide novel insights, and (3) user-driven workflows that support investigative analyses, collaboration, and what-if scenario management.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core applications comprise the C3 AI Defense &amp; Intelligence Suite:</w:t>
      </w:r>
    </w:p>
    <w:p>
      <w:pPr>
        <w:spacing w:after="0" w:line="169" w:lineRule="exact"/>
        <w:rPr>
          <w:sz w:val="20"/>
          <w:szCs w:val="20"/>
          <w:color w:val="auto"/>
        </w:rPr>
      </w:pPr>
    </w:p>
    <w:p>
      <w:pPr>
        <w:ind w:left="660" w:hanging="328"/>
        <w:spacing w:after="0" w:line="28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C3 AI Readiness</w:t>
      </w:r>
      <w:r>
        <w:rPr>
          <w:rFonts w:ascii="Times New Roman" w:cs="Times New Roman" w:eastAsia="Times New Roman" w:hAnsi="Times New Roman"/>
          <w:sz w:val="18"/>
          <w:szCs w:val="18"/>
          <w:color w:val="auto"/>
        </w:rPr>
        <w:t>, today configured across over 15 aircraft platforms, applies AI and advanced ML to help reduce unscheduled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preposition spare parts, and increase mission capability.</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Intelligence Analysis </w:t>
      </w:r>
      <w:r>
        <w:rPr>
          <w:rFonts w:ascii="Times New Roman" w:cs="Times New Roman" w:eastAsia="Times New Roman" w:hAnsi="Times New Roman"/>
          <w:sz w:val="18"/>
          <w:szCs w:val="18"/>
          <w:color w:val="auto"/>
        </w:rPr>
        <w:t>accelerates investigative timelines with encrypted, obfuscated, federated search on people and relationships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 real time, configurable machine learning pipelines for entities and sentiments.</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Decision Advantage </w:t>
      </w:r>
      <w:r>
        <w:rPr>
          <w:rFonts w:ascii="Times New Roman" w:cs="Times New Roman" w:eastAsia="Times New Roman" w:hAnsi="Times New Roman"/>
          <w:sz w:val="18"/>
          <w:szCs w:val="18"/>
          <w:color w:val="auto"/>
        </w:rPr>
        <w:t>improves domain awareness and force management by synthesizing multiple intelligence sources in near real-time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enabling commanders and other decision makers with AI insights.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AI State and Local Government Suite</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C3 AI State and Local Government Suite brings the power of Enterprise AI to state and local governments and law enforcement agencies, helping maximize tax revenues by providing highly precise property appraisals and enhancing public safety with AI-powered intelligence analysis.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state, county and municipal law enforcement agencies:</w:t>
      </w:r>
    </w:p>
    <w:p>
      <w:pPr>
        <w:spacing w:after="0" w:line="169" w:lineRule="exact"/>
        <w:rPr>
          <w:sz w:val="20"/>
          <w:szCs w:val="20"/>
          <w:color w:val="auto"/>
        </w:rPr>
      </w:pPr>
    </w:p>
    <w:p>
      <w:pPr>
        <w:jc w:val="both"/>
        <w:ind w:left="660" w:hanging="328"/>
        <w:spacing w:after="0" w:line="26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Law Enforcement </w:t>
      </w:r>
      <w:r>
        <w:rPr>
          <w:rFonts w:ascii="Times New Roman" w:cs="Times New Roman" w:eastAsia="Times New Roman" w:hAnsi="Times New Roman"/>
          <w:sz w:val="18"/>
          <w:szCs w:val="18"/>
          <w:color w:val="auto"/>
        </w:rPr>
        <w:t>provides a single view for all relevant systems (e.g., jail records, license plate readers, record management,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investigations), a natural language search interface to query for keywords across those sources, and an investigative visual graph network to explore connections, lowering the cost and time of criminal investigation.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county property assessors and appraisers:</w:t>
      </w:r>
    </w:p>
    <w:p>
      <w:pPr>
        <w:spacing w:after="0" w:line="169" w:lineRule="exact"/>
        <w:rPr>
          <w:sz w:val="20"/>
          <w:szCs w:val="20"/>
          <w:color w:val="auto"/>
        </w:rPr>
      </w:pPr>
    </w:p>
    <w:p>
      <w:pPr>
        <w:ind w:left="660" w:hanging="328"/>
        <w:spacing w:after="0" w:line="28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Residential Property Appraisal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C3 AI Commercial Property Appraisal </w:t>
      </w:r>
      <w:r>
        <w:rPr>
          <w:rFonts w:ascii="Times New Roman" w:cs="Times New Roman" w:eastAsia="Times New Roman" w:hAnsi="Times New Roman"/>
          <w:sz w:val="18"/>
          <w:szCs w:val="18"/>
          <w:color w:val="auto"/>
        </w:rPr>
        <w:t>provide data unification across numerous disparate systems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creates highly defensible property valuations, reducing the cost and time of real property appraisal.</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C3 AI Sustainability Suite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C3 AI Sustainability Suite helps decrease greenhouse gas, or GHG, emissions, meet stakeholder and regulatory-specific environmental, social and governance, or ESG, expectations, and reduce energy costs, offering an alternative to existing reporting solutions and dramatically improving upon OEM-provided software (e.g., Siemens, Schneider) by using advanced AI and ML to reduce energy costs and GHG emissions.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Sustainability and energy management professionals struggle with three core challenges: (1) time-consuming, manual, and error-prone process to cobble together siloed data for ESG reporting, (2) an ever-evolving array of international reporting standards (e.g., CDP, GRI, SASB), and (3) forecasting ESG performance and managing goals (and individual projects) that are often outside of the ESG team’s capabilities. C3 AI Sustainability Suite solves these challenges and provides workflows and AI recommendations that enable teams and business units to collaborate on data unification across source systems, auto report generation aligned with major frameworks, and ESG forecasting and performance management.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applications comprise the C3 AI Sustainability Suite:</w:t>
      </w:r>
    </w:p>
    <w:p>
      <w:pPr>
        <w:spacing w:after="0" w:line="16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ESG </w:t>
      </w:r>
      <w:r>
        <w:rPr>
          <w:rFonts w:ascii="Times New Roman" w:cs="Times New Roman" w:eastAsia="Times New Roman" w:hAnsi="Times New Roman"/>
          <w:sz w:val="18"/>
          <w:szCs w:val="18"/>
          <w:color w:val="auto"/>
        </w:rPr>
        <w:t>lets companies measure, monitor, report, and improve their ESG performance, including scope 1, 2, and 3 emissions data.</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Energy Management </w:t>
      </w:r>
      <w:r>
        <w:rPr>
          <w:rFonts w:ascii="Times New Roman" w:cs="Times New Roman" w:eastAsia="Times New Roman" w:hAnsi="Times New Roman"/>
          <w:sz w:val="18"/>
          <w:szCs w:val="18"/>
          <w:color w:val="auto"/>
        </w:rPr>
        <w:t>helps operations teams achieve targets for energy cost, GHG emissions, water consumption, and waste reduction.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models energy efficiency and emissions at every level of industrial processes from the individual equipment up to the facility as well as SKU-level product carbon footprints.</w:t>
      </w:r>
    </w:p>
    <w:p>
      <w:pPr>
        <w:spacing w:after="0" w:line="1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C3 AI CRM Suite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C3 AI CRM adds to existing customer relationship management, or CRM, implementations with AI and delivers revenue-driving insights. C3 AI CRM does not replace existing CRM systems but significantly improves their utility. C3 AI CRM does not compete with core CRM systems (e.g., Salesforce); rather, it provides complementary AI-driven insights across revenue operations and intelligence and sales engagement. The application solves complex problems across bookings forecasting and opportunity scoring using differentiated capabilities to (1) integrate a comprehensive set of external data feeds (market data, news, firmographic information, etc.), (2) provide industry-specific data models, (3) apply best-in-class algorithms on each opportunity and stage, and (4) supports generative AI for enterprise search.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C3 AI Financial Services Suite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C3 AI Financial Services Suite helps minimize compliance risks, improve balance attrition, increase customer satisfaction, reduce customer churn, identify fraud, and drive employee productivity with workflow-enabled AI applications. With flexible deployment options across public/private cloud or on-premise, its secure architecture, and open ML and AI framework, the C3 AI Financial Services Suite is uniquely positioned to drive significant business value for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discrete applications comprise the C3 AI Financial Services Suite:</w:t>
      </w:r>
    </w:p>
    <w:p>
      <w:pPr>
        <w:spacing w:after="0" w:line="169" w:lineRule="exact"/>
        <w:rPr>
          <w:sz w:val="20"/>
          <w:szCs w:val="20"/>
          <w:color w:val="auto"/>
        </w:rPr>
      </w:pPr>
    </w:p>
    <w:p>
      <w:pPr>
        <w:ind w:left="660" w:hanging="328"/>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Anti-Money Laundering </w:t>
      </w:r>
      <w:r>
        <w:rPr>
          <w:rFonts w:ascii="Times New Roman" w:cs="Times New Roman" w:eastAsia="Times New Roman" w:hAnsi="Times New Roman"/>
          <w:sz w:val="18"/>
          <w:szCs w:val="18"/>
          <w:color w:val="auto"/>
        </w:rPr>
        <w:t>helps detect suspicious financial activity, identify fraudulent transactions, and flag bad actors with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detection accuracy while reducing the false alerts for AML investigators.</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Smart Lending </w:t>
      </w:r>
      <w:r>
        <w:rPr>
          <w:rFonts w:ascii="Times New Roman" w:cs="Times New Roman" w:eastAsia="Times New Roman" w:hAnsi="Times New Roman"/>
          <w:sz w:val="18"/>
          <w:szCs w:val="18"/>
          <w:color w:val="auto"/>
        </w:rPr>
        <w:t>drives productivity and customer satisfaction within the credit application and approval process, providing credit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contextualized insights that reduce processing timelines and increase approval precision.</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Cash Management </w:t>
      </w:r>
      <w:r>
        <w:rPr>
          <w:rFonts w:ascii="Times New Roman" w:cs="Times New Roman" w:eastAsia="Times New Roman" w:hAnsi="Times New Roman"/>
          <w:sz w:val="18"/>
          <w:szCs w:val="18"/>
          <w:color w:val="auto"/>
        </w:rPr>
        <w:t>proactively monitors client treasury activity and preemptively predicts potential deposit churn to prevent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attrition, helping increase customer retention and grow deposit balances.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 Generative AI</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Generative AI models have attracted significant attention in the last year due to capability improvements published by OpenAI, Google, Anthropic, Meta, Mistral, and others. These transformer-based models are proving valuable at parsing, understanding, and generating natural language, images, videos, and other forms of content. C3 AI is in a unique position to apply and augment these technologies to solve enterprise problems at scale.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C3 AI Platform unifies omni-modal data – text, images telemetry, structured tables, etc. and offers all of the platform services necessary and sufficient for enterprise-class generative AI applications, including the services and pipelines to run, train, and host, and manage transformer AI models (or invoke externally managed models), and associated retriever models and other agents, tools, and pipelines.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Generative AI is a unified knowledge source that enables enterprise users to rapidly locate, retrieve, and act on enterprise data and insights through an intuitive search and chat interface. By combining state-of-the-art foundational large language models (LLMs), deep learning retrieval models, and the C3 AI Platform, C3 Generative AI for Enterprise provides deep domain support for information retrieval and reasoning across disparate datasets to improve decision-making.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Generative AI is built to support demanding enterprise requirements. By separating the LLM from enterprise data, and leveraging retriever models together with enterprise-class AI agents and tools. C3 Generative AI provides deterministic responses with full traceability to the exact source, supports granular enterprise access control requirements, minimizes the risk of hallucination, reduces the risk of LLM-caused information leakage, and supports multiple LLM/foundation models.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C3 Generative AI is available with all C3 AI Applications to transform the human-computer interaction model between an end user and the underlying data and insights.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also can use C3 Generative AI standalone, applied to their existing enterprise data sources, lakes, data warehouses, applications, and relevant external datasets. C3 Generative AI can be extended using the capabilities of the C3 AI Platform to meet complex enterprise requirements, allowing for the use of the natural language to perform tasks like invoking external APIs, running smaller AI/ML models, and initiating complex workflows.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C3 Generative AI is unique in the market, offering:</w:t>
      </w:r>
    </w:p>
    <w:p>
      <w:pPr>
        <w:spacing w:after="0" w:line="171" w:lineRule="exact"/>
        <w:rPr>
          <w:sz w:val="20"/>
          <w:szCs w:val="20"/>
          <w:color w:val="auto"/>
        </w:rPr>
      </w:pPr>
    </w:p>
    <w:p>
      <w:pPr>
        <w:ind w:left="660" w:hanging="328"/>
        <w:spacing w:after="0" w:line="282"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omni-modal data integration through a visual administrative interface, allowing queries across multiple sources such as Snowflake, Oracle, Databricks, and others, and documents in Amazon S3, Google Cloud, and others.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fine-tuned foundation models for more capable, accurate, and faster structured data queries.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support for questions and answers in over 130 languages.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configuration of LLMs and retrievers with no code, including automatic updates to related retrieval configurations, baseline prompts, and orchestration parameters.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support for querying images and data tables embedded in documents.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accuracy with automated topic modeling and extraction of metadata from data contained in documents.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all core product features in air-gapped environments.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orchestration for complex queries involving multiple LLMs and retrieval tools.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C3 Generative AI co-pilot LLM to accelerate the productivity of developers and data scientists on the C3 AI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extensibility to meet the unique requirement of the enterprise.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Lighthouse Customers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market-entry strategy has been to establish high-value customer engagements with large global early adopters, or lighthouse customers, in Europe, Asia, and the United States across a range of industries. These lighthouse customers served as proof points for other potential customers in their particular industries. We have established intimate strategic relationships with our customers, including a number of large multinational corporations and government entities. We commonly enter into enterprise-wide agreements with entities that include multiple operating units or divisions. The core of this strategy has been to rapidly deliver high-value outcomes at large scale, across multiple industries, including banking, manufacturing, defense, oil and gas, and utilities. We then use these use cases and outcomes to initiate discussions at numerous leading companies in each sector.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Consumption Pricing Model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2023, we announced our transition to a consumption-based pricing model to adapt to more challenging macro-economic conditions, and better meet the needs of customers. This has become common for enterprise software companies and is aligned with the models of some of our biggest partners, such as Google Cloud, Microsoft Azure, Amazon Web Services, or AWS, and Baker Hughes. With the consumption-based pricing model, customers either pay a monthly fee and consumption charges using vCPU and vGPU hours as the metric to calculate payment or enter into a time-certain multi-period commitment that may include consumption charges.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High-Value Outcomes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enabling the digital transformation of many of the world’s leading organizations and, in the process, helping them to attain short time-to-value and exceptionally high economic returns. At some companies, based on feedback and other information provided from our customers, we estimate our solutions have helped return billions of dollars in economic benefit.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Time to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key to our market success and our primary competitive differentiator is our ability to leverage the C3 AI Platform and C3 AI Applications to bring high-value Enterprise AI applications into production use rapidly. We have deployed Enterprise AI applications into production use in as little as four weeks.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Sales Cycle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typical sales cycle begins with one or more product and technical presentations about C3 AI, leading to a mapping of our capabilities to customer use cases. After mapping our capabilities to customer use cases, we typically sign a paid pilot for the C3 AI Platform, a C3 AI Application, and C3 AI Center of Excellence (COE) including support services that lasts up to six months. During that period, we work with the customer to deploy a production-level C3 AI Application. After completing a successful pilot, our customers will commonly continue to license the C3 AI Application and the C3 AI Platform for a consumption-based fee or enter into a time-certain multi-period commitment that may include consumption charges. Over time, our customers typically expand usage by adding users, expanding their use of the initial application to another use cases, purchasing additional C3 AI Applications for a subscription fee and by developing their own AI applications on the C3 AI Platform, which increases consumption-based fees as usage scales. Additionally, C3 AI can continue to support our customers as needed with our software and COE support services.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Model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AI’s Enterprise AI expertise and technology combined with our partners’ deep domain expertise enhances our solutions to joint customers. In fiscal year 2024, we made significant progress establishing and extending productive partnerships. Our partner ecosystem is increasingly effective at opening new doors with new customers and expanding product offerings with existing customers. In fiscal year 2024, we closed 115 agreements with and through our partner network, which includes Google Cloud, AWS, Microsoft Azure, Baker Hughes, Booz Allen, and others.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C3 AI and Google Cloud </w:t>
      </w:r>
      <w:r>
        <w:rPr>
          <w:rFonts w:ascii="Times New Roman" w:cs="Times New Roman" w:eastAsia="Times New Roman" w:hAnsi="Times New Roman"/>
          <w:sz w:val="18"/>
          <w:szCs w:val="18"/>
          <w:color w:val="auto"/>
        </w:rPr>
        <w:t>initially partnered in 2021 and we expanded the partnership agreement in September 2022. The three-year agreement expands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joint selling activities and provides tighter integrations between C3 AI Applications and Google Cloud services. Under the terms of the partnership, the two companies are scaling their joint go-to-market strategy and expanding their joint customer pilot programs with Fortune 2000 companies. Through this partnership, the team has identified a significant number of opportunities in the commercial and public sectors. All C3 AI Applications have been optimized to run in the Google Cloud Platform environment and are available in the Google Cloud Marketplace.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C3 Generative AI: Standard Edition, our no-code, self-service generative AI application, became available on Google Cloud Marketplace, supporting Google’s latest large language model (LLM), Gemini. With a simple, self-service, no-code onboarding flow that takes minutes to complete, C3 Generative AI: Standard Edition allows users to easily access insights from documents and unstructured files across their enterprise.</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C3 AI and AWS </w:t>
      </w:r>
      <w:r>
        <w:rPr>
          <w:rFonts w:ascii="Times New Roman" w:cs="Times New Roman" w:eastAsia="Times New Roman" w:hAnsi="Times New Roman"/>
          <w:sz w:val="18"/>
          <w:szCs w:val="18"/>
          <w:color w:val="auto"/>
        </w:rPr>
        <w:t>first partnered in 2016, and during the third quarter of fiscal year 2023, we expanded and renewed our go-to-market partnership.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fiscal year 2023, AWS funded C3 AI to enhance C3 AI Law Enforcement optimized for AWS, integrating Amazon OpenSearch and AWS ML services to enhance the speed and quality of analysis for state and local agencies using the application on AWS.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C3 AI expanded its Strategic Collaboration Agreement with AWS to deliver artificial intelligence solutions designed to solve customers’ critical business challenges across a variety of industries. C3 AI also offers its C3 Generative AI: AWS Marketplace Edition, its no-code, self-service generative AI application, on AWS Marketplace.</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C3 AI and Microsoft Azure </w:t>
      </w:r>
      <w:r>
        <w:rPr>
          <w:rFonts w:ascii="Times New Roman" w:cs="Times New Roman" w:eastAsia="Times New Roman" w:hAnsi="Times New Roman"/>
          <w:sz w:val="18"/>
          <w:szCs w:val="18"/>
          <w:color w:val="auto"/>
        </w:rPr>
        <w:t>first partnered in 2018 to co-develop products and services for enterprise customers running on the Azure Infrastructure.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have collaborated to conduct co-marketing and co-selling strategies that rapidly scale distribution globally for their joint customers. In the third quarter of fiscal year 2023, the companies collaborated to close a global U.S. Energy company and a European technology company serving the construction and mining sectors. We cooperated to deliver a highly successful pilot engagement to a large U.S. Defense Agency. All C3 AI Applications are available in the Azure Marketplace.</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C3 AI and Booz Allen </w:t>
      </w:r>
      <w:r>
        <w:rPr>
          <w:rFonts w:ascii="Times New Roman" w:cs="Times New Roman" w:eastAsia="Times New Roman" w:hAnsi="Times New Roman"/>
          <w:sz w:val="18"/>
          <w:szCs w:val="18"/>
          <w:color w:val="auto"/>
        </w:rPr>
        <w:t>established a strategic partnership in fiscal year 2023 focused on providing strategic solutions into the Government, Defense,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 sectors. C3 AI and Booz Allen are jointly going to market with the C3 AI Platform and suite of pre-built C3 AI Applications. Together the companies have trained employees on the C3 AI Platform and have closed multiple deals with the DoD’s Chief Digital and Artificial Intelligence Office and other organizations.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C3 AI and Baker Hughes</w:t>
      </w:r>
      <w:r>
        <w:rPr>
          <w:rFonts w:ascii="Times New Roman" w:cs="Times New Roman" w:eastAsia="Times New Roman" w:hAnsi="Times New Roman"/>
          <w:sz w:val="18"/>
          <w:szCs w:val="18"/>
          <w:color w:val="auto"/>
        </w:rPr>
        <w:t>, a leading oilfield industrial services, equipment, and digital services company, entered into a strategic collaboration in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to operate as the exclusive channel partner and reseller of C3 AI Software in the oil and gas industry and a non-exclusive reseller in other industries. As part of the original collaboration agreement, Baker Hughes made annual revenue commitments of $320 million over three years. The agreement was amended in June 2020 to extend the term of the agreement by two years and increase the revenue commitments to $450 million. The agreement was amended in October 2021 to extend the term of the agreement by one year and increase the total revenue commitments to $495 million. In January 2023, the companies substantially expanded their strategic partnership. The terms of this expansion resulted in an incremental C3 AI booking of $32.5 million, and the frequency of payments due from Baker Hughes was accelerated over the remaining term of the agreement. C3 AI agreed to provide additional products and services to Baker Hughes. The expanded agreement also provides Baker Hughes with a number of options to extend the term of the collaboration agreement beyond the initial five years.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partnership with Baker Hughes, joint selling, and the credibility it has brought us in the market, C3 AI has closed several deals in the oil and gas and Chemical industry, including LyondellBasell, Shell, ExxonMobil, Petronas, ENI, Aramco, Qatar Gas, ADNOC, PTTGC, Yokogawa, Braskem, and others.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C3 AI and Fractal </w:t>
      </w:r>
      <w:r>
        <w:rPr>
          <w:rFonts w:ascii="Times New Roman" w:cs="Times New Roman" w:eastAsia="Times New Roman" w:hAnsi="Times New Roman"/>
          <w:sz w:val="18"/>
          <w:szCs w:val="18"/>
          <w:color w:val="auto"/>
        </w:rPr>
        <w:t>first partnered in 2019, through the now-acquired Neal Analytics, and during the second quarter of fiscal year 2023, we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expanded our services and go-to-market partnership. The companies have collaborated to support customer service engagements, co-marketing campaigns, and co-selling activities. Fractal has committed to building a C3 AI practice deployment of C3-trained engineers and data scientists. The companies have already collaborated on several successful customer engagements including implementing Advanced Metering Infrastructure (AMI) at a Fortune 500 Utilities provider.</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C3 AI and Paradyme </w:t>
      </w:r>
      <w:r>
        <w:rPr>
          <w:rFonts w:ascii="Times New Roman" w:cs="Times New Roman" w:eastAsia="Times New Roman" w:hAnsi="Times New Roman"/>
          <w:sz w:val="18"/>
          <w:szCs w:val="18"/>
          <w:color w:val="auto"/>
        </w:rPr>
        <w:t>first partnered in 2021 and we expanded the partnership during the third quarter of fiscal year 2024. The companies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collaborated to accelerate the delivery of AI applications for the US Intelligence Community. The new agreement expands the number of dedicated Paradyme staff to accelerate joint selling and delivery efforts.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Model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organization is organized both geographically and in vertical market sales units that cooperate to sell to and service customers. We have a highly leveraged go-to-market model comprised of a global field sales force combined with significant alliance partnerships. Each of our strategic partners-including AWS, Baker Hughes, Google Cloud, and Microsoft - has a large installed customer base with strong, established relationships, and a large global sales force that vastly extends our market coverage. We form specific sales targets and goals with each partner, enabling us to quickly and efficiently engage in customer accounts.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Early on, we focused on the oil and gas, federal, aerospace and defense, energy and utilities, manufacturing, and financial services sectors, as those industries were early adopters in Enterprise AI. We have since expanded into state and local governments, agriculture, food processing and consumer packaged goods, professional services, telecommunications, and hospitals and healthcare and are seeing increased industry diversity in our sales pipeline and pilot customer engagements. Our goal is to rapidly move down-market in the coming years to serve the small and medium business segments of each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consists of software subscription and professional services revenue. The substantial majority of our revenue is generated from subscriptions to our software.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subscription revenue is primarily comprised of software licenses, software-as-a-service offerings, stand-ready COE support services, trials and pilots of our C3 AI Applications or Generative AI, and consumption-based pricing. Sales of our software licenses grant our customers the right to use our software, either on their own cloud instance or their internal hardware infrastructure, over the contractual term. We offer a premium stand-ready service through our COE. Sales of our software-as-a-service offerings include a right to use our software over the contractual term. Customers pay a usage-based runtime fee for our C3 AI Software for specified levels of capacity. Our subscriptions also include our maintenance and support services, which include critical and continuous updates to the software that are integral to maintaining the intended utility of the software over the contractual term.</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subscription revenue, we include revenue from our consumption-based pricing model. This model typically begins with a pilot phase which includes unlimited developer access to C3 AI Platform, one C3 AI Application or C3 Generative AI and COE support services. Following the pilot period, customers either pay a monthly fee and consumption charges using vCPU and vGPU hours as the metric to calculate payment or enter into a time-certain multi-period commitment that may include consumption charges.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professional services primarily include implementation services, training and prioritized engineering services. We maintain a professional services organization that offers resources, methodologies, and experience to help customers develop and deploy enterprise-scale AI applications. Our services are complemented by those of our partners. Our professional services strategy is to quickly train our customers to develop, customize, and deploy applications independently of us, rapidly making them self-sufficient.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C3 AI Implementation Services help ensure successful customer outcomes throughout the application development and deployment phases, including setup and configuration, ML model development and tuning, and integration of multiple complex source systems.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Prioritized engineering services are undertaken at the request of customers to accelerate the development of software features in C3 AI software products.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instances where a large or continuing professional services presence may be desired or necessary, we generally rely upon our partner ecosystem to provide those services. This enables us to maintain high gross margins and allows us the flexibility to rapidly deploy trained professional services personnel at large scale any place on the planet.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multichannel marketing function is focused on market education, thought leadership, account-based marketing, and demand generation. We engage the market through digital, print, and social media, virtual and physical events, including C3 Transform, our annual international user, executive, and AI thought leadership conference, and other livestreamed events featuring C3 AI customers, C3 AI partners, and C3 AI experts in AI, ML, and data science. Our Chief Executive Officer, Tom Siebel — a recognized technology thought leader and author of the 2019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best seller, </w:t>
      </w:r>
      <w:r>
        <w:rPr>
          <w:rFonts w:ascii="Times New Roman" w:cs="Times New Roman" w:eastAsia="Times New Roman" w:hAnsi="Times New Roman"/>
          <w:sz w:val="18"/>
          <w:szCs w:val="18"/>
          <w:i w:val="1"/>
          <w:iCs w:val="1"/>
          <w:color w:val="auto"/>
        </w:rPr>
        <w:t>Digital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Transformation: Survive and Thrive in an Era of Mass Extinction </w:t>
      </w:r>
      <w:r>
        <w:rPr>
          <w:rFonts w:ascii="Times New Roman" w:cs="Times New Roman" w:eastAsia="Times New Roman" w:hAnsi="Times New Roman"/>
          <w:sz w:val="18"/>
          <w:szCs w:val="18"/>
          <w:color w:val="auto"/>
        </w:rPr>
        <w:t>— is a frequent industry keynote speaker and is often interviewed by leading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i w:val="1"/>
          <w:iCs w:val="1"/>
          <w:color w:val="auto"/>
        </w:rPr>
        <w:t>The Wall Street Journal, The Financial Times, The Economist, Fortune, Forbes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CNBC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BloombergTV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Yahoo! Finance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 Human Capital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strongest asset is unquestionably the human capital that we have been able to attract, retain, and motivate. We have won the Glassdoor Best Place to Work award, were named a Battery Ventures/Glassdoor Highest-Rated Cloud Companies to Work For, and are consistently ranked among the best places to work. We attract exceptionally talented, highly educated, experienced, motivated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built a culture of high performance based on four core values:</w:t>
      </w:r>
    </w:p>
    <w:p>
      <w:pPr>
        <w:spacing w:after="0" w:line="169" w:lineRule="exact"/>
        <w:rPr>
          <w:sz w:val="20"/>
          <w:szCs w:val="20"/>
          <w:color w:val="auto"/>
        </w:rPr>
      </w:pPr>
    </w:p>
    <w:p>
      <w:pPr>
        <w:ind w:left="660" w:hanging="328"/>
        <w:spacing w:after="0" w:line="28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and Innovation Propelling Growth. </w:t>
      </w:r>
      <w:r>
        <w:rPr>
          <w:rFonts w:ascii="Times New Roman" w:cs="Times New Roman" w:eastAsia="Times New Roman" w:hAnsi="Times New Roman"/>
          <w:sz w:val="18"/>
          <w:szCs w:val="18"/>
          <w:color w:val="auto"/>
        </w:rPr>
        <w:t>We self-select for people who love to work hard, think with rigor, speak with purpose, and act to achieve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 things.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Natural Curiosity to Solve the Impossible. </w:t>
      </w:r>
      <w:r>
        <w:rPr>
          <w:rFonts w:ascii="Times New Roman" w:cs="Times New Roman" w:eastAsia="Times New Roman" w:hAnsi="Times New Roman"/>
          <w:sz w:val="18"/>
          <w:szCs w:val="18"/>
          <w:color w:val="auto"/>
        </w:rPr>
        <w:t>We are self-learners, always seeking knowledge to accelerate innovation.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Professional Integrity Governing All Endeavors. </w:t>
      </w:r>
      <w:r>
        <w:rPr>
          <w:rFonts w:ascii="Times New Roman" w:cs="Times New Roman" w:eastAsia="Times New Roman" w:hAnsi="Times New Roman"/>
          <w:sz w:val="18"/>
          <w:szCs w:val="18"/>
          <w:color w:val="auto"/>
        </w:rPr>
        <w:t>We comport ourselves with unwavering ethical integrity, respect, and courtesy.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Collective Intelligence. </w:t>
      </w:r>
      <w:r>
        <w:rPr>
          <w:rFonts w:ascii="Times New Roman" w:cs="Times New Roman" w:eastAsia="Times New Roman" w:hAnsi="Times New Roman"/>
          <w:sz w:val="18"/>
          <w:szCs w:val="18"/>
          <w:color w:val="auto"/>
        </w:rPr>
        <w:t>We believe the unity of our team is substantially greater than the sum of its parts.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C3 AI Management Development Series, we train our managers to motivate and lead their teams by setting clear objectives with an outcomes-based approach. Our C3 AI Leadership Development Program equips aspiring managers with skills for future leadership roles. We offer cash incentives to employees who complete professional training and will even pay for employees to earn a master’s degree in computer science.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talent acquisition team engages various constituency groups to recruit qualified under-represented minorities, women, and military veterans to job opportunities. We host tech talks and workshops at top universities across the nation with the Women in Computer Science Associations, the Society of Women in Engineering, the Society of Latinx Engineers, and the Society of Black Engineers. We joined with BreakLine to help support hiring military veterans. Our goal is to find and recruit the best talent in the world.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2024, we had 891 full-time employees, with 710 based in the United States and 181 in our international locations.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Culture of High Performance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dedicated to achieving our mission to accelerate digital transformation of organizations globally by enabling the deployment of Enterprise AI at scale. Our people are domain experts in their respective fields. We are individuals with exceptional education and professional backgrounds. We are uncompromising in the quality of our work product. We build relationships with our customers grounded upon the highest levels of business ethics and professionalism, with a laser focus on customer success. We execute with precision.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Enterprise AI Industry Leadership</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believe we are broadly recognized as a leader in Enterprise AI with many other industry recognitions, including Fortune 50 AI Innovators (2023), CNBC Disruptor 50 (2020, 2019, 2018), BloombergNEF Pioneer (2020), Forbes Cloud 100 (2020, 2019, 2018, 2017), The Financial Times’ The Americas’ Fastest Growing Companies (2024, 2023, 2022, 2021), Deloitte Technology Fast 500 (2019), and EY Entrepreneur of the Year (2018, 2017) and have been named to the Constellation ShortList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Cloud-Based Data Science &amp; Machine Learning Platforms (2024), Constellation ShortList™ for Artificial Intelligence &amp; Machine Learning Cloud Platforms (2023, 2022, 2020), a leader by Forrester Wave: AI/ML Platforms (Q3 2022), and Forrester Wave: Industrial IoT Software Platforms (2019, 2018), and IDC MarketScape: Solutions for Industrial Platforms and Applications in Energy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our customers have been recognized for their leadership in innovation across multiple industries:</w:t>
      </w:r>
    </w:p>
    <w:p>
      <w:pPr>
        <w:spacing w:after="0" w:line="171"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Georgia-Pacific was named the overall winner in the IDC’s Future Enterprise Best in Future of Operations North America Awards (2023) for its enterprise AI program to improve reliability for its manufacturing operations. Using C3 AI Reliability, the paper product producer and manufacturer can predict a failure, hours, days, or even weeks before it happens, avoiding unplanned downtime and significant impacts to revenue and customer order delivery.</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was named the winner in the category of Operational Risk Management in the Verdantix 2023 EHS Innovation Excellence Awards Americas for harnessing AI and machine learning to resolve complex problems, resulting in improved safety, asset reliability, production and cost management.</w:t>
      </w:r>
    </w:p>
    <w:p>
      <w:pPr>
        <w:spacing w:after="0" w:line="118"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Hughes was named a winner in the Constellation Research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Annual SuperNova Awards (2023) in the category of ESG &amp; Sustainability for its work using AI to develop a more efficient, strategic ESG stakeholder materiality assessment process. Using C3 AI ESG, the company was able to design an intelligent ESG assessment process and used the resulting AI analyses to advise the development of a sustainability strategy geared towards catalyzing opportunity and buffering risk by focusing on the areas that matter. These insights help the team transition time spent from manually monitoring reams of data sources to driving strategic initiatives that improve ESG performance.</w:t>
      </w:r>
    </w:p>
    <w:p>
      <w:pPr>
        <w:spacing w:after="0" w:line="14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 Mateo County Sheriff’s Office was named a winner in the IDC Government Insights’ sixth annual Smart Cities North America Awards (2023) in the category of data-driven policing for implementing C3 AI Law Enforcement for analytics-powered public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 Edison’s work with C3 AI was recognized in the IDC Future Enterprise Best in Future of Intelligence North America Awards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Air Force’s use of the C3 AI Readiness solution as a platform of choice was recognized in the Constellation SuperNova Awards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Competitive Advantage: C3 AI Model-Driven Architecture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core technology is a cohesive family of integrated software services developed over a decade, engineered with a proprietary model-driven architecture, that provides all the software services and microservices necessary and sufficient to rapidly develop and deploy Enterprise AI applications.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AI applications developed with the C3 AI Platform can leverage any open source software solutions and all of the cloud services of AWS, Microsoft Azure, Google Cloud, and can operate on any of these cloud platforms, on-premises, or in a hybrid cloud.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Compared to the structured programming approach that most organizations typically attempt, our model-driven architecture with declarative programming accelerates development by a factor of 26, while reducing the amount of code that must be written by up to 99%.</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big data and application demands of enterprise-scale AI applications require numerous underlying interdependent elements. These include enterprise data, extraprise data, sensor data, data persistence services, data streaming services, messaging services, analytics services, ML services, security services, data visualization, application development services, application monitoring services, and scores to hundreds more. With a traditional structured programming approach, developers spend significant time and effort to write extensive code to define, manage, connect, and control each element. This often results in overwhelming complexity and highly brittle applications that can break any time an underlying element is changed or updated - we believe this is a primary reason why the vast majority of AI efforts have not been deployed into production at enterprise scale.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contrast, our model-driven architecture provides an abstraction layer, that allows our partners and our customers, as well as our internal C3 AI developers, to build or customize Enterprise AI applications by using conceptual models of all the elements an application requires. C3 AI provides a library of tens of thousands of prebuilt conceptual models that can be easily modified and extended, and developers can efficiently create their own models as well. These prebuilt, extensible models encompass a vast range of business objects (e.g., customer, order, contract), physical systems and subsystems (e.g., engine, boiler, chiller, compressor), computing resources and services (e.g., database, stream processing) — virtually anything an application requires can be represented as a model in our model-driven architecture. To ensure ongoing operability of our thousands of prebuilt and extensible models on different underlying infrastructure (e.g., AWS, Google Cloud, Microsoft Azure), our automated testing continuously executes approximately 60,000 tests and security scans with each change or update we make to our software or infrastructure.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Leveraging this model-driven architecture, application developers and data scientists can focus on delivering immediate value, without the need to manage the complex interdependencies of the underlying elements. These conceptual models can be reused by many applications, thereby accelerating development of new applications.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model-driven architecture and declarative programming approach provides significant competitive advantage both by enabling our customers and partners to successfully develop and deploy Enterprise AI applications faster, and by providing the foundation for C3 AI to rapidly extend our portfolio of cross-industry and industry-specific applications.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Competitive IP Advantage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enjoy a rich patent portfolio that is a substantial competitive advantage, both offensive and defensive, in the Enterprise AI market - most notably, U.S. patents (No. 10,817,530, No. 10,824,634 and No. 11,954,112) which were granted for systems and methods for data processing and enterprise AI applications.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patent portfolio covers the key capabilities of our model-driven architecture that are the foundation of our highly differentiated technology. This includes methods, systems, and devices for data aggregation and unification, times-series data processing, data abstraction, ML implementation, generative AI and much more.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2024, our technology is protected by a broad patent portfolio, with 23 issued patents in the United States, 15 issued counterpart patents in a number of international jurisdictions, over 45 patent applications pending in the United States, and 85 patent applications pending internationally. Our issued patents expire beginning in 2033 through 2039. We continually review our development efforts to assess the existence and patentability of new intellectual property.</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Intellectual property is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However, we believe that factors such as the technological and creative skills of our personnel, creation of new services, features and functionality, and frequent enhancements to our platform are more essential to establishing and maintaining our technology leadership position. See the section titled “Risk Factors - Risks Related to Our Intellectual Property” in Part I, Item 1A in this Annual Report on Form 10-K for a discussion of the risks associated with our intellectual property.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C3 AI Model-Driven Architecture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last four decades, the information technology industry has grown from about $120 billion globally in 1980 to almost $8.0 trillion today. During this time, the IT industry has transitioned from mainframe computing to handheld computing. The software industry has transitioned from custom applications based on mainframe standards to applications developed on a relational database foundation, to enterprise application software, to SaaS and mobile apps, and now to the AI-enabled enterprise.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challenges that must be addressed to enable today’s Enterprise AI applications are nontrivial, as are the array of capabilities and services necessary for building and operating these applications at scale. To develop an effective Enterprise AI application, it is necessary to ingest and aggregate data from a variety of enterprise information systems, sensors, markets, and products to provide a complete view of the enterprise. In addition, the data need to be processed at the rate they arrive, in a highly secure and resilient system that addresses persistence, event processing, ML, and visualization. This requires a massive, horizontally scalable elastic distributed processing capability offered only by modern cloud platforms and supercomputer systems. The resultant data persistence requirements are staggering.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understand this challenge, consider just a few of the requirements needed to support Enterprise AI applications:</w:t>
      </w:r>
    </w:p>
    <w:p>
      <w:pPr>
        <w:spacing w:after="0" w:line="169" w:lineRule="exact"/>
        <w:rPr>
          <w:sz w:val="20"/>
          <w:szCs w:val="20"/>
          <w:color w:val="auto"/>
        </w:rPr>
      </w:pPr>
    </w:p>
    <w:p>
      <w:pPr>
        <w:jc w:val="both"/>
        <w:ind w:left="660" w:hanging="328"/>
        <w:spacing w:after="0" w:line="26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Integration</w:t>
      </w:r>
      <w:r>
        <w:rPr>
          <w:rFonts w:ascii="Times New Roman" w:cs="Times New Roman" w:eastAsia="Times New Roman" w:hAnsi="Times New Roman"/>
          <w:sz w:val="18"/>
          <w:szCs w:val="18"/>
          <w:color w:val="auto"/>
        </w:rPr>
        <w:t>. A prerequisite to AI at industrial scale is the availability of a unified, federated image of all the data contained in the multitude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 internal data, including enterprise information systems (e.g., ERP, CRM, SCADA, HR, MRP) and sensor IoT networks; and (2) external data, including weather, terrain, satellite imagery, social media, trade data, biometrics, pricing, and market data.</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Persistence</w:t>
      </w:r>
      <w:r>
        <w:rPr>
          <w:rFonts w:ascii="Times New Roman" w:cs="Times New Roman" w:eastAsia="Times New Roman" w:hAnsi="Times New Roman"/>
          <w:sz w:val="18"/>
          <w:szCs w:val="18"/>
          <w:color w:val="auto"/>
        </w:rPr>
        <w:t>. The data aggregated and processed includes every type of structured and unstructured data imaginable, including personally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information, images, text, video, telemetry, voice, and network topologies. As there is no one size fits all database optimized for all these data types, there is a need for a multiple database technologies.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Platform Services</w:t>
      </w:r>
      <w:r>
        <w:rPr>
          <w:rFonts w:ascii="Times New Roman" w:cs="Times New Roman" w:eastAsia="Times New Roman" w:hAnsi="Times New Roman"/>
          <w:sz w:val="18"/>
          <w:szCs w:val="18"/>
          <w:color w:val="auto"/>
        </w:rPr>
        <w:t>. A myriad of sophisticated platform services are necessary for any Enterprise AI or IoT application. Examples include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data encryption in motion, encryption at rest, ETL, queuing, pipeline management, autoscaling, multitenancy, authentication, authorization, cybersecurity, time-series services, normalization, data privacy, GDPR privacy compliance, NERC-CIP compliance, and SOC2 compliance.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Analytics Processing</w:t>
      </w:r>
      <w:r>
        <w:rPr>
          <w:rFonts w:ascii="Times New Roman" w:cs="Times New Roman" w:eastAsia="Times New Roman" w:hAnsi="Times New Roman"/>
          <w:sz w:val="18"/>
          <w:szCs w:val="18"/>
          <w:color w:val="auto"/>
        </w:rPr>
        <w:t>. The volumes and velocity of data acquisition in such systems are blinding and the types of data and analytics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highly divergent, requiring a range of analytics processing services. These include continuous analytics processing, MapReduce, batch processing, stream processing, and recursive processing.</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Machine Learning Services</w:t>
      </w:r>
      <w:r>
        <w:rPr>
          <w:rFonts w:ascii="Times New Roman" w:cs="Times New Roman" w:eastAsia="Times New Roman" w:hAnsi="Times New Roman"/>
          <w:sz w:val="18"/>
          <w:szCs w:val="18"/>
          <w:color w:val="auto"/>
        </w:rPr>
        <w:t>. The whole point of these systems is to enable data scientists to develop and deploy ML models. There is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tools necessary to enable that, including Jupyter Notebooks, R Studio, Azure ML, Amazon Sagemaker, and Google Vertex AI. Increasingly important is an extensible curation of ML libraries such as PyTorch, TensorFlow, Keras, Hugging Face transformers, and XGBoost. An effective AI and IoT platform needs to support them all.</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Visualization Tools</w:t>
      </w:r>
      <w:r>
        <w:rPr>
          <w:rFonts w:ascii="Times New Roman" w:cs="Times New Roman" w:eastAsia="Times New Roman" w:hAnsi="Times New Roman"/>
          <w:sz w:val="18"/>
          <w:szCs w:val="18"/>
          <w:color w:val="auto"/>
        </w:rPr>
        <w:t>. Any viable AI architecture needs to enable a rich and varied set of data visualization tools including Microsoft Power 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Google Data Studio, Looker, Tableau, and others.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Developer Tools and UI Frameworks</w:t>
      </w:r>
      <w:r>
        <w:rPr>
          <w:rFonts w:ascii="Times New Roman" w:cs="Times New Roman" w:eastAsia="Times New Roman" w:hAnsi="Times New Roman"/>
          <w:sz w:val="18"/>
          <w:szCs w:val="18"/>
          <w:color w:val="auto"/>
        </w:rPr>
        <w:t>. An organization’s IT development and data science teams each have adopted and become comfortable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set of application development frameworks and user interface development tools. An AI and IoT platform must support all of these tools — including Visual Studio, Jupyter Lab, JetBrains IDEs, React, Angular, and VueJS — or it will be rejected as unusable by the IT development teams.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Open, Extensible, Future-Proof. </w:t>
      </w:r>
      <w:r>
        <w:rPr>
          <w:rFonts w:ascii="Times New Roman" w:cs="Times New Roman" w:eastAsia="Times New Roman" w:hAnsi="Times New Roman"/>
          <w:sz w:val="18"/>
          <w:szCs w:val="18"/>
          <w:color w:val="auto"/>
        </w:rPr>
        <w:t>The current pace of software and algorithm innovation is accelerating. An AI and IoT platform architecture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the capability to replace any components with next-generation improvements; in the era of generative AI, that means the constant stream of newly released and ever-more-powerful LLMs. Moreover, the platform must enable the incorporation of any new open source or proprietary software innovations without adversely affecting the functionality or performance of an organization’s existing applications. This is a level-zero requirement.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C3 AI Platform — built with model-driven architecture — has been refined, tested, and proven in some of the most demanding industries and production environments from electric utilities and manufacturing to oil and gas and defense, comprising petabyte-scale datasets from thousands of vastly disparate source systems, massive volumes of high-frequency time series data from millions of devices, and hundreds of thousands of ML models.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Awash in “AI Platforms”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Today the market is awash in AI solutions that provide component parts to design, develop, provision, and operate Enterprise AI applications, including Cassandra, Cloudera, DataStax, AWS IoT, and Hadoop. AWS, Microsoft Azure, and Google Cloud each offer an elastic cloud computing platform and an increasingly innovative library of microservices that can be used for data aggregation, ETL, queuing, data streaming, MapReduce, continuous analytics processing, ML services, and data visualization. An array of open source software offerings cater to data management, machine learning services, and analytics. While these products are useful, we believe that none offers the scope of utility necessary and sufficient to rapidly design, develop and deploy Enterprise AI applications.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It Yourself” Enterprise AI?</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Software innovation cycles follow a typical pattern. Early in the cycle, companies often take a do-it-yourself approach and try building the new technology themselves. Just as happened with the introduction of ERP and CRM software in prior innovation cycles, the initial reaction of many IT organizations is to try to internally develop a general-purpose Enterprise AI and IoT platform, using open source software with a combination of microservices from cloud providers like AWS and Google Cloud.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starts by taking some subset of myriad proprietary and open source solutions and organizing them into a platform architecture. The next step is to assemble hundreds to thousands of programmers, frequently distributed around the world, using structured programming and application programming interfaces, or APIs, to attempt to stitch these various programs, data sources, sensors, ML models, development tools, and user interface paradigms together into a unified, functional, seamless whole that will enable the organization to excel at designing, developing, provisioning, and deploying numerous enterprise scale AI and IoT applications.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complexity of such a system is much greater than developing a CRM or ERP system. There are a number of problems with this approach:</w:t>
      </w:r>
    </w:p>
    <w:p>
      <w:pPr>
        <w:spacing w:after="0" w:line="169" w:lineRule="exact"/>
        <w:rPr>
          <w:sz w:val="20"/>
          <w:szCs w:val="20"/>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Complexity</w:t>
      </w:r>
      <w:r>
        <w:rPr>
          <w:rFonts w:ascii="Times New Roman" w:cs="Times New Roman" w:eastAsia="Times New Roman" w:hAnsi="Times New Roman"/>
          <w:sz w:val="18"/>
          <w:szCs w:val="18"/>
          <w:color w:val="auto"/>
        </w:rPr>
        <w:t>. Using structured programming, the number of software API connections that one needs to establish, harden, test, and verify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system can, in our estimation, approach the order of 1013. The developers of the system need to individually and collectively grasp that level of complexity to get it to work. We believe the number of programmers capable of dealing with that level of complexity is quite small.</w:t>
      </w:r>
    </w:p>
    <w:p>
      <w:pPr>
        <w:spacing w:after="0" w:line="12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Aside from the platform developers, the application developers and data scientists also need to understand the complexity of the architecture and all the underlying data and process dependencies in order to develop any application.</w:t>
      </w:r>
    </w:p>
    <w:p>
      <w:pPr>
        <w:spacing w:after="0" w:line="10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Brittleness</w:t>
      </w:r>
      <w:r>
        <w:rPr>
          <w:rFonts w:ascii="Times New Roman" w:cs="Times New Roman" w:eastAsia="Times New Roman" w:hAnsi="Times New Roman"/>
          <w:sz w:val="18"/>
          <w:szCs w:val="18"/>
          <w:color w:val="auto"/>
        </w:rPr>
        <w:t>. Spaghetti-code applications of this nature are highly dependent upon each and every component working properly. If one developer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introduces a bug into any one of the open source components, all applications developed with that platform may cease to function.</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Future Proof. </w:t>
      </w:r>
      <w:r>
        <w:rPr>
          <w:rFonts w:ascii="Times New Roman" w:cs="Times New Roman" w:eastAsia="Times New Roman" w:hAnsi="Times New Roman"/>
          <w:sz w:val="18"/>
          <w:szCs w:val="18"/>
          <w:color w:val="auto"/>
        </w:rPr>
        <w:t>As new libraries, faster databases, and new ML techniques become available, those new utilities need to be available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Consequently, every application that was built on the platform will likely need to be reprogrammed in order to function correctly. This may take months to years.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Integration</w:t>
      </w:r>
      <w:r>
        <w:rPr>
          <w:rFonts w:ascii="Times New Roman" w:cs="Times New Roman" w:eastAsia="Times New Roman" w:hAnsi="Times New Roman"/>
          <w:sz w:val="18"/>
          <w:szCs w:val="18"/>
          <w:color w:val="auto"/>
        </w:rPr>
        <w:t>. An integrated, federated common object data model is absolutely necessary for this application domain. Using this type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programming, API-driven architecture may require hundreds of person-years to develop an integrated data model for any large corporation. This is the primary reason why tens to hundreds of millions of dollars are spent, and several years later, no applications are deployed. The Fortune 500 is littered with such disaster stories.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C3 AI Platform: Model-Driven Architecture</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notion of a model-driven architecture was developed at the beginning of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in response to the growing complexity of enterprise application development requirements. Although structured programming remains the state of the art for many applications today, it breaks down with the complexity and scale required for modern Enterprise AI and IoT applications, resulting in a Gordian knot. Model-driven architecture provides the knife to cut the Gordian knot of structured programming for highly complex problems. The C3 AI Platform is designed and built with a model-driven architecture.</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Central to a model-driven architecture is the concept of a “model” that serves as an abstraction layer to simplify the programming problem. Using models, the programmer or application developer does not have to be concerned with all the data types, data interconnections, and processes that act on the data associated with any given entity, e.g., customer, tractor, doctor, or fuel type. He or she simply needs to address the model for any given entity, e.g., customer, and all the underlying data, data interrelationships, pointers, APIs, associations, connections, and processes associated with or used to manipulate those data are abstracted in the model itself.</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the C3 AI Platform and its model-driven architecture, virtually anything can be represented as a model - even, for example, applications, including databases, natural language processing engines, and image recognition systems. Models also support a concept called inheritance. An AI application built with the C3 AI Platform might include a model called relational database, that in turn serves as a placeholder that might incorporate any relational database system like Oracle, Postgres, Aurora, Spanner, or SQL Server. A key-value store model might contain Cassandra, HBase, Cosmos DB, or DynamoDB.</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Reduces Complexity, Simplifies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its model-driven architecture, the C3 AI Platform provides an abstraction layer and semantics to represent the application. This frees the programmer from having to worry about data mapping, API syntax, and the mechanics of myriad computational processes such as ETL, queuing, pipeline management, encryption, etc.</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optimal design for an object model to address Enterprise AI and IoT applications uses abstract models as placeholders to which a programmer can link an appropriate application. The relational database model might link to Postgres. A report writer model might link to MicroStrategy. A data visualization model might link to Tableau. And so on. A powerful feature of a model-driven architecture is that as new open source or proprietary solutions become available, the object model library can simply be extended to incorporate that new feature.</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Another important capability of the C3 AI Platform enabled by its model-driven architecture is that the applications developed on the platform are future-proofed: due to the modular nature of the model-driven architecture, new, upgraded, or enhanced services can be easily integrated with the C3 AI Platform. This enables organizations to immediately and easily take advantage of new and improved product offerings as they become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Independence: Multi-Cloud and Polyglot Cloud Deployment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Enterprises today often have a multi-cloud strategy. While corporate leaders are eagerly embracing the cloud, they are also very concerned about cloud vendor lock-in. They want to be able to continually negotiate. They want to deploy different applications in clouds from different vendors, and they want to be free to move applications from one cloud vendor to another.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Multi-cloud deployment is therefore an additional requirement of a modern model-driven software platform that is fully supported by the C3 AI Platform. Applications developed with the C3 AI Platform can run without modification on any cloud and on bare metal behind the firewall in a hybrid cloud environment.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requirement for the new AI technology stack — that the C3 AI Platform delivers — is polyglot cloud deployment capability: the ability to mix various services from multiple cloud providers and to easily swap and replace those services. The cloud vendors provide the market a great service by enabling instant access to virtually unlimited horizontally scalable computing capacity and effectively infinite storage capacity at exceptionally low cost. As the cloud vendors aggressively compete with one another on price, the cost of cloud computing and storage is consistently decreasing.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Platform: A Tested, Proven, and Patented AI Suite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model-driven approach to developing Enterprise AI applications using the C3 AI Platform has been tested and proven in dozens of large-scale, real-world deployments at some of the world’s largest organizations.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C3 AI provides a powerful platform enabling these and other leading organizations to develop and operate Enterprise AI applications at scale, with a fraction of the effort and resources required by other approaches. Applications built with the C3 AI Platform are flexible, easily upgraded, and can be ported across different cloud platforms with little or no modification, providing a solution that future-proofs customers’ investment in Enterprise AI and IoT application development.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main sources of current and potential competition fall into several categories:</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IT organizations that attempt to develop internal solutions for their enterprises;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enterprise and point solution software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source software providers with data management, ML, and analytics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providers offering discrete tools and micro-services with data management, ML, and analytics functionality;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integrators that develop and provide custom software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data management product providers;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competition is largely do-it-yourself, custom-developed, company-specific AI platforms and applications developed by internal IT organizations. Such efforts usually involve the integration of internally developed tools, open source solutions, and point solutions offered by independent software vendors, and/or components offered in the AWS, Microsoft Azure, or Google Cloud platforms. Frequently these efforts will be managed as professional service projects by organizations like Accenture or Lockheed Martin. These tend to be very costly and time-consuming software engineering projects, often fail, and, if at all successful, usually require many years to realize economic return. Most of our customers have tried and failed at one or more such bespoke development efforts, sometimes at great expense, before turning to C3 AI for their AI solution.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unaware of any end-to-end Enterprise AI development platforms that are directly competitive with the C3 AI Platform. The commercial product offerings that were formerly positioned as functionally equivalent to C3 AI were GE Predix and IBM Watson, both multibillion-dollar software engineering efforts backed by massive promotional campaigns; we no longer encounter them in competitive situations.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investing in the expansion of our direct enterprise sales and service organization both geographically and across vertical markets to expand the use of C3 AI solutions within existing customers and establish new customer relationships.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consumption-based pricing model helps us better meet the needs of our customers by making it easier and less costly to adopt our products and services. With the consumption-based pricing model, customers start with pilots which are subscription for unlimited developers access to the C3 AI Platform, one C3 AI Application or C3 Generative AI and COE support services of up to six-months. After completing a successful pilot, our customers may continue to license the C3 AI Application and the C3 AI Platform for a consumption-based fee or enter into a time-certain multi-period commitment that may include consumption charges.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we help our customers solve their initial use cases, they frequently identify incremental opportunities within their operations and expand their use of our products. The increased engagement is measured by a combination of increased vCPU/vGPU usage, increased C3 AI Software subscriptions and subscriptions to the C3 AI Platform for in-house AI application development.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focusing on certain markets and verticals that provide us substantial growth opportunities and demand for our products, such as the federal, defense and aerospace industry and the state and local industry.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release of the C3 Generative AI solutions in March 2023 is receiving considerable interest, and is a key part of our growth strategy. We closed 13 agreements for C3 Generative AI in the fourth quarter of fiscal year 2024 with large enterprises, and are working through a substantial pipeline of C3 Generative AI opportunities. The C3 AI generative application is available on both AWS Marketplace and the Google Cloud Marketplace.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invest heavily in research and development to maintain technology leadership. Our product roadmap includes a wide range of new functions and products to be released in the coming years that we expect to contribute to revenue growth with both new and existing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Relations: C3.ai Digital Transformation Institute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Established in February 2020, the C3.ai Digital Transformation Institute, or C3.ai DTI, is a research consortium dedicated to accelerating the benefits of AI for business, government, and society. The goal of C3.ai DTI is to develop the field of Digital Transformation Science by leveraging laboratory and research facilities at UC Berkeley, UIUC, and consortium institutions. C3.ai DTI forms dynamic teams of the world's best researchers to interact with faculty and students to advance AI techniques for industrial, commercial, and public sector applications.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C3.ai DTI supports the development of ML algorithms, data security, and cybersecurity techniques to address and advance solutions related to predictive analytics, resilient operation under faults and cyberattack, and assured system security. C3.ai DTI research is engaged in analyzing new business operation models, developing methods for organizational change management, developing advanced methods of protecting privacy, and advancing dialog related to the ethical implications of AI. Central to C3.ai DTI’s research is the development and validation of algorithms and designs that can dramatically affect societal systems.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contributing to the public good, C3.ai DTI exposes the capabilities of our AI Suite and AI Applications to potentially thousands of researchers, undergraduates, and graduate students at these world-renowned institutions. This helps to further build the community of C3 AI users and to establish C3 AI as the standard for developing and deploying large-scale Enterprise AI applications to solve the world’s hardest problems.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consumer and data protection, and taxes, could have a material impact on our business in subsequent periods. For more information on the potential impacts of government regulations affecting our business, see the section titled “Risk Factors” contained in Part I, Item 1A of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website address is located at www.c3.ai, and our investor relations website is located at ir.c3.ai. We file electronically with the SEC our annual reports on Form 10-K, quarterly reports on Form 10-Q, current reports on Form 8-K, and amendments to those reports filed or furnished pursuant to Section 13(a) or 15(d) of the Exchange Act. We make available on our investor relations website, free of charge, copies of these reports and other information as soon as reasonably practicable after we electronically file such material with, or furnish it to, the SEC. These filings with the SEC are also available on the SEC’s website located at www.sec.gov.</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announce material information to the public through a variety of means, including filings with the SEC, press releases, public conference calls, our website (c3.ai), the investor relations section of our website (ir.c3.ai), X (formerly Twitter) (@C3_AI), and LinkedIn (@C3-AI-Enterprise-AI) accounts. We use these channels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Further, corporate governance information, including our corporate governance guidelines, code of business conduct and ethics, and committee charters, is also available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content of or accessible through our websites or our social media channels are not incorporated by reference into this Annual Report on Form 10-K or in any other report or document we file with the SEC, and any references to our websites or social media channels are inactive textual references only.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Annual Report on Form 10-K, including the section titled “Item 7. Management’s Discussion and Analysis of Financial Condition and Results of Operations” and our consolidated financial statements and related notes.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C3 AI Software (which includes our C3 AI Platform, C3 AI Applications and C3 Generative AI), reputation, brand, financial condition, results of operations, and prospects. In such event, the market price of our Class A common stock could decline, and you could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we anticipate our operating expenses will continue to increase in the future, and we may not be able to achieve or maintain profitability in the future.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incurred net losses in each period since our founding in 2009. We generated net losses of approximately $279.7 million, $268.8 million, and $192.1 million for the fiscal years ended April 30, 2024, 2023, and 2022 respectively. As a result, we had an accumulated deficit of $1,089.9 million as of April 30, 2024. We expect to continue to incur net losses for the foreseeable future. These losses and accumulated deficit reflect the substantial investments we made to acquire new customers, commercialize our C3 AI Software, and continue to develop our C3 AI Software. While we have experienced revenue growth in recent periods, we do not know whether or when we will generate sufficient revenue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C3 AI Software and business, including:</w:t>
      </w:r>
    </w:p>
    <w:p>
      <w:pPr>
        <w:spacing w:after="0" w:line="138" w:lineRule="exact"/>
        <w:rPr>
          <w:sz w:val="20"/>
          <w:szCs w:val="20"/>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research and development team and in the development of new features and enhancements of our C3 AI Software, including the hiring of additional development staff, and fees paid to third parties for related enhancements;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sales, marketing, and services, including expanding our sales force and our customer service team, increasing our customer base, increasing market awareness of our C3 AI Software, and development of new technologies;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operations and infrastructure;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employees.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also face increased compliance costs associated with growth, the expansion of our customer base, and being a public company. Our efforts to grow our business may be costlier than we expect, our revenue growth may be slower than we expect, and we may not be able to increase our revenue enough to offset our increased operating expenses. We may incur significant losses in the future for a number of reasons, such as the other risks described herein, unforeseen expenses, difficulties, complications or delays, and other unknown events. If we are unable to achieve and sustain profitability, the value of our business and Class A common stock may significantly decrease.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in future periods, our revenue growth may be adversely impacted due to a number of factors, including a reduction in demand for our C3 AI Software, reduction in consumption of our C3 AI Software, increased competition, contraction of our overall market, our inability to accurately forecast demand for our C3 AI Software,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will be harmed.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Historically, a limited number of customers have accounted for a substantial portion of our revenue. If existing customers do not renew their contracts with us, or if our relationships with our largest customers are impaired or terminated, our revenue could decline, and our results of operations would be adversely impacted.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customers, including customers that, at the time, represented a significant portion of our business, have in the past reduced their spend with us or decided to not renew their subscriptions with us, which has reduced our anticipated future payments or revenue from these customers. It is not possible for us to predict the future level of demand from our larger customers for our C3 AI Software. In addition, our average total subscription contract value is decreasing, and we expect it to continue to decrease as we expand our customer base beyond a small number of large customers to a larger number of smaller customers.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generally have no obligation to renew, upgrade, or expand their subscriptions with us after the terms of their existing subscriptions expire. In addition, our customers may opt to decrease their usage of our C3 AI Software. As a result, we cannot provide assurance that our customers will renew, upgrade, or expand their subscriptions with us, if they renew at all. If one or more of our customers elect not to renew their subscriptions with us, or if our customers renew their subscriptions with us for shorter time periods, or if our customers decrease their usage of our C3 AI Software, or if our customers otherwise seek to renegotiate terms of their existing agreements on terms less favorable to us, our business and results of operations would be adversely affected. This adverse impact would be even more pronounced for customers that represent a material portion of our revenue or business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and on our existing customers purchasing additional subscriptions from us and renewing their existing subscriptions.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C3 AI Software. Although demand for data management, ML, analytics, and AI platforms and applications has grown in recent years, the market for these platforms and applications continues to evolve. Numerous factors may impede our ability to add new customers, including but not limited to, our failure to compete effectively against alternative products or services, to attract and effectively train new sales and marketing personnel, to develop or expand relationships with partners and resellers, to successfully innovate and deploy new applications and other solutions, to provide a quality customer experience and customer support, or to ensure the effectiveness of our marketing programs. If we are not able to attract new customers, it will have an adverse effect on our business, financial condition and results of operations.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future success depends on our ability to sell additional subscriptions for our C3 AI Software to our existing customers, and our customers renewing their subscriptions when the contract term expires. Our customers generally have no contractual obligation to renew, upgrade, or expand their subscriptions after the terms of their existing subscriptions expire. Similarly, after completing a pilot or trial, customers do not have an obligation to continue to license our products, and we may not be able to convert pilot or trial customers into customers purchasing ongoing subscriptions or continue with a monthly consumption-based fee. In addition, our customers may opt to decrease their usage of our C3 AI Software. Given our limited experience with customer renewals of our AI products and services, we may not be able to accurately predict customer renewal rates. Our customers’ renewal and expansion commitments may decline or fluctuate as a result of a number of factors, including, but not limited to, their satisfaction with our C3 AI Software and our customer support, the frequency and severity of software and implementation errors or other reliability issues, the pricing of our subscriptions or competing solutions, changes in their IT budget, the effects of global economic conditions, and our customers’ financial circumstances, including their ability to maintain or expand their spending levels. In order for us to maintain or improve our results of operations, it is important that our customers renew or expand their subscriptions with us. If our customers do not purchase additional subscriptions, increase their usage of our software, or renew their subscriptions with us, our business, financial condition, and results of operations may be harmed.</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limited historical experience with supporting or selling to smaller, non-enterprise customers. We intend to grow our customer base and further contribute to our overall growth by introducing product offerings with a lower entry price point, such as our no-code offering C3 AI Ex Machina. However, by broadening our customer base to include smaller or mid-size customers, we will be faced with risks that may not be present or that are present to a lesser extent with respect to sales to large organizations. Because of our limited experience in supporting or selling to smaller, non-enterprise customers, we may be unsuccessful in our efforts to get future smaller customers to renew or expand their subscriptions to our offerings. If such customers do not renew their agreements or renew on less favorable terms or for less usage, our revenue may grow more slowly than expected or decline, and our business, financial condition, and results of operations may be harmed.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Achieving renewal or expansion of usage and subscriptions may require us to engage increasingly in sophisticated and costly sales and support efforts that may not result in additional sales. In addition, the rate at which our customers expand the deployment of our C3 AI Software depends on a number of factors. If our efforts to expand our relationships with our customers are not successful, our business, financial condition, and results of operations may be harmed.</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derive substantially all of our revenue from subscriptions to our C3 AI Software and Center of Excellence support services, failure of Enterprise AI solutions in general and our C3 AI Software in particular to satisfy customer demands or to achieve increased market acceptance would adversely affect our business, results of operations, financial condition, and growth prospects.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derive and expect to continue for the foreseeable future to derive substantially all of our revenue from subscriptions to our C3 AI Software and Center of Excellence support services. As such, the market acceptance of Enterprise AI solutions in general, and our C3 AI Software in particular, are critical to our continued success. Market acceptance of an Enterprise AI solution depends in part on market awareness of the benefits that Enterprise AI can provide over legacy products, emerging point products, and manual processes. In addition, in order for cloud-based Enterprise AI solutions to be widely accepted, organizations must overcome any concerns with placing sensitive information on a cloud-based platform. Demand for our C3 AI Software in particular is affected by a number of other factors, some of which are beyond our control. These factors include continued market acceptance of our C3 AI Software, the pace at which existing customers realize benefits from the use of our C3 AI Software and decide to expand deployment of our C3 AI Software across their business, the timing of development and release of new products by our competitors, technological change, reliability and security, the pace at which enterprises undergo digital transformation, and developments in data privacy regulations. We expect that the needs of our customers will continue to rapidly change and increase in complexity. We will need to improve the functionality and performance of our C3 AI Software continually to meet those rapidly changing, complex demands. If we are unable to continue to meet customer demands or to achieve more widespread market acceptance of Enterprise AI solutions in general or our C3 AI Software in particular, our business operations, financial results, and growth prospects will be materially and adversely affected.</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C3 AI Software, as well as applications, features, and functionality that we may introduce in the future, may not be widely accepted by our customers, may receive negative attention or may require us to compensate or reimburse third parties, any of which may lower our margins and harm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to increase our revenue will depend on our ability to successfully create new applications, features, and functionality, both independently and together with third parties. We may introduce significant changes to our existing C3 AI Software or develop and introduce new and unproven applications, including technologies with which we have little or no prior development or operating experience. These new applications and updates may fail to engage, retain, and increase our base of customers or may suffer from lag in adoption. New applications may initially suffer from performance and quality issues that may negatively impact our ability to market and sell such applications to new and existing customers. The short- and long-term impact of any major change to our C3 AI Software, or the introduction of new applications, is particularly difficult to predict. If new or enhanced applications fail to engage, retain, and increase our base of customers, we may fail to generate sufficient revenue, operating margin, or other value to justify our investments in such applications, any of which may harm our business.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required to compensate or reimburse third parties in connection with certain sales of our current C3 AI Software as part of our partner relationships. New applications, features and functionality that we introduce in the future or new partner relationships may increase the amount of compensation or reimbursement we pay to third parties. Any future requirement or increase in the rate that we compensate or reimburse third parties would lower our profit margins and harm our business.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for our products is intensely competitive and characterized by rapid changes in technology, customer requirements, and industry standards, and frequent new platform and application introductions and improvements. We anticipate continued competitive challenges from current competitors who address different aspects of our offerings. We also expect competitive challenges from new entrants into the industry. If we are unable to anticipate or effectively react to these competitive challenges, our competitive position could weaken, and we could experience a decline in our growth rate and revenue that could adversely affect our business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main sources of current and potential competition fall into several categories:</w:t>
      </w:r>
    </w:p>
    <w:p>
      <w:pPr>
        <w:spacing w:after="0" w:line="130" w:lineRule="exact"/>
        <w:rPr>
          <w:sz w:val="20"/>
          <w:szCs w:val="20"/>
          <w:color w:val="auto"/>
        </w:rPr>
      </w:pPr>
    </w:p>
    <w:p>
      <w:pPr>
        <w:ind w:left="660" w:hanging="328"/>
        <w:spacing w:after="0" w:line="207" w:lineRule="exact"/>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IT organizations that develop internal solutions and provide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 for their enterprises;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enterprise and point solution software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source software providers with data management, ML, and analytics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providers offering discrete tools and micro-services with data management, ML, and analytics functionality;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integrators that develop and provide custom software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data management product providers;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technology partners who may also offer our competitors’ technology or otherwise partner with them, including our strategic partners who may offer a substantially similar solution based on a competitor’s technology or internally developed technology that is competitive with ours.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existing competitors have, and some of our potential competitors could have, substantial competitive advantages such as:</w:t>
      </w:r>
    </w:p>
    <w:p>
      <w:pPr>
        <w:spacing w:after="0" w:line="17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longer operating histories, and larger customer bases;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 and the capacity to leverage their sales efforts and marketing expenditures across a broader portfolio of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otherwise more established relationships with technology, channel, and distribution partners and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wider geographic presence or greater access to larger customer bases;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focus in specific geographies or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research and development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 to provide support, make acquisitions, hire talent, and develop and introduce new products.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larger competitors have substantially broader and more diverse platform and application offerings and may be able to leverage their relationships with distribution partners and customers based on other products or incorporate functionality into existing products to gain business in a manner that discourages potential customers from subscribing to our C3 AI Software, including by selling at zero or negative margins, bundling with other offerings, or offering closed technology platforms. Potential customers may also prefer to purchase from their existing suppliers rather than a new supplier regardless of platform or application performance or features. As a result, even if the features of our C3 AI Software are superior, potential customers may not purchase our offerings. These larger competitors often have broader product lines and market focus or greater resources and may therefore not be as susceptible to economic downturns or other significant reductions in capital spending by customers. If we are unable to sufficiently differentiate our solutions from the integrated or bundled products of our competitors, such as by offering enhanced functionality, performance or value, we may see a decrease in demand for our offerings, which could adversely affect our business, operating results, and financial condition.</w:t>
      </w:r>
    </w:p>
    <w:p>
      <w:pPr>
        <w:spacing w:after="0" w:line="94"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Moreover, new innovative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companies, and larger companies that are making significant investments in research and development, may introduce products that have greater performance or functionality, are easier to implement or use, or incorporate technological advances that we have not yet developed or implemented, or may invent similar or superior technologies that compete with ours. Our current and potential competitors may also establish cooperative relationships among themselves or with third parties that may further enhance their resources.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Some of our competitors have made or could make acquisitions of businesses that allow them to offer more competitive and comprehensive solutions. As a result of such acquisitions, our current or potential competitors may be able to accelerate the adoption of new technologies that better address customer needs, devote greater resources to bring these platforms and applications to market, initiate or withstand substantial price competition, or develop and expand their product and service offerings more quickly than we can. These competitive pressures in our market or our failure to compete effectively may result in fewer orders, reduced revenue and gross margins, and loss of market share. In addition, it is possible that industry consolidation may impact customers’ perceptions of the viability of smaller or even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 software firms and consequently customers’ willingness to purchase from such firms.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compete successfully against our current or potential competitors. If we are unable to compete successfully, or if competing successfully requires us to take costly actions in response to the actions of our competitors, our business, financial condition, and results of operations could be adversely affected. In addition, companies competing with us may have an entirely different pricing or distribution model. Increased competition could result in fewer customer orders, price reductions, reduced operating margins, and loss of market share. Further, we may be required to make substantial additional investments in research, development, marketing, and sales in order to respond to such competitive threats, and we cannot assure you that we will be able to compete successfully in the future.</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particularly with respect to large subscriptions, and our sales efforts require considerable time and expense.</w:t>
      </w:r>
    </w:p>
    <w:p>
      <w:pPr>
        <w:spacing w:after="0" w:line="6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Our results of operations may fluctuate, in part, because of the complexity of customer problems that our C3 AI Software address, the resource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nature of our sales efforts, the length and variability of the sales cycle for our C3 AI Software, and the difficulty in making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adjustments to our operating expenses. The timing of our sales is difficult to predict. The length of our sales cycle can vary substantially from customer to customer and can extend over a number of years for some customers. Our sales efforts involve educating our customers about the use, technical capabilities, and benefits of our C3 AI Software. Customers often undertake a prolonged evaluation process, which frequently involves not only our C3 AI Software but also those of other companies. In addition, the size of potential customers may lead to longer sales cycles. For instance, we invest resources into sales to large organizations and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C3 AI Software. Large organizations may demand additional features, support services, and pricing concessions or require additional security management or control features. Some organizations may also require an on-premise solution rather than a cloud solution, which potentially requires additional implementation time and potentially a longer sales cycle. We may spend substantial time, effort and money on sales efforts to large organizations without any assurance that our efforts will produce any sales or that these customers will deploy our C3 AI Software widely enough across their organization to justify our substantial upfront investment. As a result, it is difficult to predict exactly when, or even if, we will make a sale to a potential customer or if we can increase sales to our existing customers.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Individual sales have historically and may in the future represent a large proportion of our overall sales during any given period, which impacts our ability to plan and manage cash flows and margins. These large individual sales have, in some cases, occurred in quarters or years subsequent to those we anticipated, or have not occurred at all. If our sales cycle lengthens or our substantial upfront investments do not result in sufficient revenue to justify our investments, our operating results could be adversely affected. In addition, within each quarter or year, it is difficult to project when a deal will close. Therefore, it is difficult to determine whether we are achieving our quarterly or annual expectations until near the end of the applicable quarter or year. Most of our expenses are relatively fixed or require time to adjust. Therefore, if expectations for our business are not accurate, we may not be able to adjust our cost structure on a timely basis, and our margins and cash flows may differ from expectations.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revenue metrics such as net dollar-based retention rate or annual recurring revenue may not be accurate indicators of our future financial results.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subscription-based software companies often report on metrics such as net dollar-based revenue retention rate, annual recurring revenue or other revenue metrics, and investors and analysts sometimes look to these metrics as indicators of business activity in a period for businesses such as ours. However, due to our dependence on a small number of high-value customer contracts, these metrics are not accurate indicators of future revenue for any given period of time because the gain or loss of even a single high-value customer contract could cause significant volatility in these metrics. If investors and analysts view our business through these metrics, the trading price of our Class A common stock may be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subscription or pricing models could adversely affect our operating results.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markets for our subscriptions grow, as new competitors introduce new products or services that compete with ours, or as we enter into new international markets, we may be unable to attract new customers at the same price or based on the same pricing model as we have historically used. Regardless of pricing model used, large customers may demand higher price discounts than in the past. Our competitors may also introduce new products that compete with ours or reduce their prices, or we may be unable to attract new customers or retain existing customers based on our historical subscription and pricing models. As a result, we may be required to reduce our prices, offer shorter contract durations or offer alternative pricing models, any of which could adversely affect our business.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subscriptions for our C3 AI Software. In the past, we have been able to increase our prices for our C3 AI Software, but we may choose not to introduce or be unsuccessful in implementing future price increases or changes in our pricing models. In the second quarter of fiscal year 2023, we announced a change to our go-to-market strategy. This change includes a way for new customers to utilize our products at a smaller initial contract size and pay for services based on their monthly consumption of vCPU hours, rather than payment pursuant to a purely subscription-based payment option. Unlike customers utilizing our subscription-based option, in which revenue is recognized ratably over the term of the subscription, for customers utilizing our new consumption-based payment option, we will recognize revenue on consumption. Because such customers will have flexibility in the timing of their consumption, we do not have the same visibility into the timing of revenue recognition for such customers that we have with our subscription-based customers. There is a risk that customers using the consumption-based option will consume our platform more slowly than we expect, and our actual results may differ from our forecasts. This risk may increase as more customers move to the consumption-based model. Further, investors and securities analysts may not understand how our consumption-based option differs from our subscription-based option, or the intersection of our consumption-based option and our subscription-based option. If our results of operations fall below the expectations of investors and securities analysts who follow our stock, the price of our Class A common stock could decline substantially, and we could face costly lawsuits, including securities class actions.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our limited experience with our current pricing models, we may not be able to accurately predict customer renewal or retention rates. As a result, we may be required or choose to reduce our prices or change our pricing model, which could harm our business, results of operations,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depends in part on the success of our strategic relationships with third parties, including channel partners, and if we are unable to establish and maintain successful relationships with them, our business, operating results, and financial condition could be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grow our partner ecosystem as a way to grow our business. We anticipate that we will continue to establish and maintain relationships with third parties, such as channel partners, resellers, OEMs, system integrators, independent software and hardware vendors, and platform and cloud service providers. For example, in June 2019, we entered into a strategic collaboration with Baker Hughes whereby Baker Hughes operates as the exclusive channel partner and reseller of our C3 AI Software in the oil and gas industry and a non-exclusive reseller in other industries. This arrangement was most recently revised in January 2023 and continues until April 30, 2025, with options to renew. We also have strategic relationships with AWS, FIS, Google Cloud, Microsoft, and Raytheon.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continue to establish and maintain similar strategic relationships in certain industry verticals and otherwise, and we expect our channel partners to become an increasingly important aspect of our business. However, these strategic relationships could limit our ability in the future to compete in certain industry verticals and, depending on the success of our third-party partners and the industries that those partners operate in generally, may negatively impact our business because of the nature of strategic alliances, exclusivity provisions, or otherwise. We work closely with select vendors to design solutions to specifically address the needs of certain industry verticals or use cases within those verticals. As our agreements with strategic partners terminate or expire, we may be unable to renew or replace these agreements on comparable terms, or at all.</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growth in revenue and ability to achieve and sustain profitability depends in part on our ability to identify, establish, and retain successful strategic partner relationships in the United States and internationally, which will take significant time and resources and involve significant risk. To the extent we do identify such partners, we will need to negotiate the terms of a commercial agreement with them under which the partner would distribute our C3 AI Software. We cannot be certain that we will be able to negotiate commercially attractive terms with any strategic partner, if at all. In addition, all channel partners must be trained to distribute our C3 AI Software. In order to develop and expand our distribution channel, we must develop and improve our processes for channel partner introduction and training. If we do not succeed in identifying suitable strategic partners or maintain our relationships with such partners, our business, operating results, and financial condition may be adversely affected.</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we cannot guarantee that the partners with whom we have strategic relationships will continue to devote the resources necessary to expand our reach and increase our distribution. In addition, customer satisfaction with services and other support from our strategic partners may be less than anticipated, negatively impacting anticipated revenue growth and results of operations. We cannot be certain that these partners will prioritize or provide adequate resources to selling our C3 AI Software. Further, some of our strategic partners offer competing platforms and applications or also work with our competitors. As a result of these factors, many of the companies with whom we have strategic alliances may choose to pursue alternative technologies and develop alternative platforms and applications in addition to or in lieu of our C3 AI Software, either on their own or in collaboration with others, including our competitors. We cannot assure you that our strategic partners will continue to cooperate with us. In addition, actions taken or omitted to be taken by such parties may adversely affect us. Moreover, we rely on our channel partners to operate in accordance with the terms of their contractual agreements with us. For example, our agreements with our channel partners limit the terms and conditions pursuant to which they are authorized to resell or distribute our C3 AI Software and offer technical support and related services. If we are unsuccessful in establishing or maintaining our relationships with third parties, or if our strategic partners do not comply with their contractual obligations to us, our business, operating results, and financial condition may be adversely affected. Even if we are successful in establishing and maintaining these relationships with third parties, we cannot assure you that these relationships will result in increased customer usage of our C3 AI Software or increased revenue to us.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some of our sales to government entities have been made, and in the future may be made, indirectly through our channel partners. Government entities may have statutory, contractual, or other legal rights to terminate contracts with our channel partners for convenience or due to a default, and, in the future, if the portion of government contracts that are subject to renegotiation or termination at the election of the government entity are material, any such termination or renegotiation may adversely impact our future operating results. In the event of such termination, it may be difficult for us to arrange for another channel partner to sell our C3 AI Software to these government entities in a timely manner, and we could lose sales opportunities during the transition. Government entities routinely investigate and audit government contractors’ administrative processes, and any unfavorable audit could result in the government entity refusing to renew its subscription to our C3 AI Software, a reduction of revenue, or fines or civil or criminal liability if the audit uncovers improper or illegal activities.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our C3 AI Software fails to grow as we expect, or if businesses fail to adopt our C3 AI Software, our business, operating results, and financial condition could be adversely affected.</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C3 AI Software, the entry of competitive platforms, or the future growth rate and size of the cloud-based software and software-as-a-service, or SaaS, business software markets. A substantial majority of our revenue has come from sales of our subscription-based software products, which we expect to continue for the foreseeable future. Although demand for data management, ML, and analytics platforms and applications has grown in recent years, the market for these platforms and applications continues to evolve. We cannot be sure that this market will continue to grow or, even if it does grow, that businesses will adopt our C3 AI Software. Our future success will depend in large part on our ability to further penetrate the existing market for Enterprise AI software, as well as the continued growth and expansion of what we believe to be an emerging market for Enterprise AI platforms and applications that are faster, easier to adopt, and easier to use. Our ability to further penetrate the Enterprise AI market depends on a number of factors, including the cost, performance, and perceived value associated with our C3 AI Software, as well as customers’ willingness to adopt a different approach to data analysis. We have spent, and intend to keep spending, considerable resources to educate potential customers about digital transformation, AI, and ML in general and our C3 AI Software in particular. However, we cannot be sure that these expenditures will help our C3 AI Software achieve any additional market acceptance. Furthermore, potential customers may have made significant investments in legacy analytics software systems and may be unwilling to invest in new platforms and applications. If the market fails to grow or grows more slowly than we currently expect or businesses fail to adopt our C3 AI Software, our business, operating results, and financial condition could be adversely affected.</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respond to rapid technological changes, extend our C3 AI Software, or develop new features and functionality, our ability to remain competitive could be impaired.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our C3 AI Software is characterized by rapid technological change and frequent new platform and application introductions and enhancements, changing customer demands, and evolving industry standards. The introduction of platforms and applications embodying new technologies can quickly make existing platforms and applications obsolete and unmarketable. Data management, ML, and analytics platforms and applications are inherently complex, and it can take a long time and require significant research and development expenditures to develop and test new or enhanced platforms and applications. The success of any enhancements or improvements to our existing C3 AI Software or any new applications depends on several factors, including timely completion, competitive pricing, adequate quality testing, integration with existing technologies, and overall market acceptance.</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grow our customer base and generate revenue from customers will depend heavily on our ability to enhance and improve our C3 AI Software, to develop additional functionality and use cases, introduce new features and applications and interoperate across an increasing range of devices, operating systems, and third-party applications. Our customers may require features and capabilities that our current C3 AI Software does not have or may face use cases that our current C3 AI Software does not address. We invest significantly in research and development, and our goal is to focus our spending on measures that improve quality and ease of adoption and create organic customer demand for our C3 AI Software. When we develop a new enhancement or improvement to our C3 AI Software, we typically incur expenses and expend resources upfront to develop, market and promote the new enhancement and improvement. Therefore, when we develop and introduce new enhancements and improvements to our C3 AI Software, they must achieve high levels of market acceptance in order to justify the amount of our investment in developing and bringing them to market. There is no assurance that our enhancements to our C3 AI Software or our new application experiences, functionality, use cases, features, or capabilities will be compelling to our customers or gain market acceptance. If our research and development investments do not accurately anticipate customer demand, or if we fail to develop our C3 AI Software in a manner that satisfies customer preferences in a secure, timely and cost-effective manner, we may fail to retain our existing customers or increase demand for our C3 AI Software.</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even if we introduce new capabilities in our C3 AI Software, we may experience a decline in revenue from sales of our existing C3 AI Software that is not offset by revenue from the new C3 AI Software capabilities and applications. For example, customers may delay ordering subscriptions of new C3 AI Software capabilities or applications to permit them to make a more thorough evaluation of the C3 AI Software or until industry and marketplace reviews become widely available. Some customers may hesitate to migrate to new C3 AI Software due to concerns regarding the complexity of migration and suite or application infancy issues on performance. In addition, we may lose existing customers who choose a competitor’s AI platforms and applications rather than migrate to our new C3 AI Software capabilities and applications. This could result in a temporary or permanent revenue shortfall and adversely affect our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of our C3 AI Software to operate effectively with future infrastructure platforms and technologies could reduce the demand for our C3 AI Software. If we are unable to respond to these changes in a timely and cost-effective manner, our C3 AI Software may become less marketable, less competitive, or obsolete, and our business may be adversely affected.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introduction of new AI platforms and applications by competitors or the development of entirely new technologies to replace existing offerings could make our C3 AI Software obsolete or adversely affect our business, results of operations, and financial condition. We may experience difficulties with software development, design, or marketing that could delay or prevent our development, introduction, or implementation of new C3 AI Software experiences, features, or capabilities. We have in the past experienced delays in our internally planned release dates of new features and capabilities, and there can be no assurance that new C3 AI Software features or capabilities will be released according to schedule. Any delays could result in adverse publicity, loss of revenue or market acceptance, or claims by customers brought against us, all of which could harm our business. Moreover, new productivity features for our C3 AI Software may require substantial investment, and we have no assurance that such investments will be successful. If customers do not widely adopt our new C3 AI Software features and capabilities, we may not be able to realize a return on our investment. If we are unable to develop, license, or acquire new features and capabilities to our C3 AI Software on a timely and cost-effective basis, or if such enhancements do not achieve market acceptance, our business could be harmed.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our CEO or other members of our senior management team, we may not be able to execute our business strategy.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and CEO, Thomas M. Siebel, is critical to our overall management, sales strategy, culture, strategic direction, engineering, and operations. In addition, Mr. Siebel is a recognized leader in information technology and is critical to the continued development of our C3 AI Software. All of our executive officers are at-will employees, and we do not maintain any key person life insurance policies. The loss of any member of our senior management team could make it more difficult to execute our business strategy and, therefore, harm our business.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C3 AI Software.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expand our customer base and achieve broader market acceptance of our C3 AI Software depends to a significant extent on our ability to continue to expand our marketing and sales operations and the ultimate effectiveness of those operations. We plan to continue expanding our sales force and strategic partners, both domestically and internationally.</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Identifying and recruiting qualified sales representatives and training them is time consuming and resource intensive, and they may not be fully trained and productive for a significant amount of time. Our C3 AI Software is complicated and, as such, our sales force and operations require significant time and investment for proper recruitment, onboarding, and training in order for our sales operations to be productive. In addition, as we enter into new markets, expand the capabilities of our C3 AI Software and offer new C3 AI Software, we may need to identify and recruit additional sales and marketing efforts specific to such strategic expansion. Our efforts to do so may be increasingly resource intensive, time consuming, and ultimately unsuccessful. We also dedicate significant resources to sales and marketing programs, including internet and other online advertising. As more customers take advantage of our consumption-based pricing options, once a new customer begins using our C3 AI Software, our sales team will need to continue to focus on expanding consumption with that customer. All of these efforts require us to invest significant financial and other resources. In addition, the cost to acquire customers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business would be adversely affected if our marketing and sales efforts are not successful and generate increases in revenue that are smaller than anticipated. If our marketing and sales efforts are not effective, our sales and revenue may grow more slowly than expected or materially decline, and our business may be significantly harmed.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maintain, and enhance our brand and reputation cost-effectively, our business and financial condition may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developing, maintaining, and enhancing awareness and integrity of our brand and reputation in a cost-effective manner are important to achieving widespread acceptance of our C3 AI Software and are important elements in attracting new customers and maintaining existing customers. We believe that the importance of our brand and reputation will increase as competition in our market further intensifies. Successful promotion of our brand depends on the effectiveness of our marketing efforts, our ability to provide a reliable and useful C3 AI Software at competitive prices, the perceived value of our C3 AI Software, our ability to maintain our customers’ trust, our ability to continue to develop additional functionality and use cases and our ability to differentiate our C3 AI Software and capabilities from competitive offerings. Brand promotion activities may not yield increased revenue, and even if they do, the increased revenue may not offset the expenses we incur in building and maintaining our brand and reputation. We also rely on our customer base in a variety of ways, including to give us feedback on our C3 AI Software. If we fail to promote and maintain our brand successfully or to maintain loyalty among our customers, or if we incur substantial expenses in an unsuccessful attempt to promote and maintain our brand, we may fail to attract new customers and partners or retain our existing customers and partners and our business and financial condition may be adversely affected. Any negative publicity relating to our employees, partners, or others associated with these parties, may also tarnish our own reputation simply by association and may reduce the value of our brand. Damage to our brand and reputation may result in reduced demand for our C3 AI Software and increased risk of losing market share to our competitors. Any efforts to restore the value of our brand and rebuild our reputation may be costly and may not be successful.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 or plan for future growth.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founding in 2009, we have experienced rapid growth. The growth and expansion of our business places a continuous and significant strain on our management, operational, and financial resources. Further growth of our operations to support our customer base, our expanding third-party relationships, our information technology systems, and our internal controls and procedures may not be adequate to support our operations. Managing our growth will also require significant expenditures and allocation of valuable management resources, including the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ensure that our C3 AI Software interoperates with a variety of software applications that are developed by others, including our partners, we may become less competitive and our business may be harmed.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C3 AI Software must integrate with a variety of hardware and software platforms, and we need to continuously modify and enhance our C3 AI Software to adapt to changes in hardware and software technologies. In particular, we have developed our C3 AI Software to be able to easily integrate with key third-party applications, including the applications of software providers that compete with us as well as our partners.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29"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discontinues or limits our access to its software;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its terms of service or other policies, including fees charged to, or other restrictions on us, or other platform and application developers;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how information is accessed by us or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more favorable relationships with one or more of our competitors;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or otherwise favors its own competitive offerings over our C3 AI Software.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C3 AI Software to assure their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C3 AI Software with their products or services, or exert strong business influence on our ability to, and terms on which we, operate our C3 AI Software. Should any of our competitors modify their products or standards in a manner that degrades the functionality of our C3 AI Software or gives preferential treatment to our competitors or competitive products, whether to enhance their competitive position or for any other reason, the interoperability of our C3 AI Software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C3 AI Software could be harmed by real or perceived material defects or errors in our C3 AI Software.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technology underlying our C3 AI Software is inherently complex and may contain material defects or errors, particularly when new applications are first introduced, when new features or capabilities are released, or when integrated with new or updated third-party hardware or software. There can be no assurance that our existing C3 AI Software and new applications will not contain defects or errors. Any real or perceived errors, failures, vulnerabilities, or bugs in our C3 AI Software could result in negative publicity or lead to data security, access, retention, or other performance issues, all of which could harm our business. Correcting such defects or errors may be costly and time-consuming and could harm our business. Moreover, the harm to our reputation and legal liability related to such defects or errors may be substantial and would harm our business.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company culture could harm our business and prevent us from executing our business strategy.</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data scientists, engineers, software developers, sales personnel, and other key employees in our industry is intense. In particular, we compete with many other companies for employees with high levels of expertise in designing, developing and managing platforms and applications for data management, ML, and analytics technologies, as well as for skilled data scientists, sales, and operations professionals. In addition, we are extremely selective in our hiring process which requires significant investment of time and resources from internal stakeholders and management. At times, we have experienced, and we may continue to experience, difficulty in hiring personnel who meet the demands of our selection process and with appropriate qualifications, experience, or expertise, and we may not be able to fill positions as quickly as desired. We completed our initial public offering in December 2020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more attractive compensation packages.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or export control laws, may limit our ability to recruit internationally. We must also continue to retain and motivate existing employees through our compensation practices, company culture, and career development opportunities.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company culture.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many of our employees may be able to receive significant proceeds from sales of our equity in the public markets, which may reduce their motivation to continue to work for us. Moreover, the proceeds from our recent initial public offering could create disparities in wealth among our employees, which may harm our culture and relations among employees and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attract new personnel or to retain our current personnel, our business would be harmed.</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annual and quarterly results and key metrics are likely to fluctuate significantly and may not fully reflect the underlying performance of our business.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annual and quarterly results of operations and key metrics may vary significantly in the future as they have in the past, particularly in light of our dependence on a limited number of high-value customer contracts, and period-to-period comparisons of our results of operations and key metrics may not be meaningful. Accordingly, the results of any one year or quarter should not be relied upon as an indication of future performance. Our results of operations and key metrics may fluctuate as a result of a variety of factors, many of which are outside of our control, and as a result, may not fully reflect the underlying performance of our business. Fluctuation in our annual or quarterly results may negatively impact the value of our securities. Factors that may cause fluctuations in our annual or quarterly results of operations and key metrics include, without limitation, the risk factors listed elsewhere in this section and the factors listed below:</w:t>
      </w:r>
    </w:p>
    <w:p>
      <w:pPr>
        <w:spacing w:after="0" w:line="135" w:lineRule="exact"/>
        <w:rPr>
          <w:sz w:val="20"/>
          <w:szCs w:val="20"/>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significant revenue from new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number of partners and distribution of our C3 AI Software;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C3 AI Software;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large organizations as well as increase sales to a larger number of smaller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 and seasonal purchasing or consumption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platforms, applications, features, and functionality by us or our competitors;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breaches of security or privacy by us or our suppliers and business partners, and the costs associated with remediating any such failures or breaches;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applicable changes in accounting standards or management assumptions, estimates or judgments on complex accounting matters;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and geopolitical instability;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economic, and market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performance metrics, data regarding customer engagement and certain other operational data in this report are subject to assumptions and limitations and may not provide an accurate indication of our future or expected results.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performance metrics, including data regarding customer engagement, and other operational data may involve judgment and therefore may not reflect our actual performance, and investors should consider these metrics in light of the assumptions used in calculating such metrics and limitations as a result thereof. Our methodologies for tracking these metrics may change over time, which could result in unexpected changes to our metrics, including the metrics we report. In addition, investors should not place undue reliance on these metrics as an indicator of our future or expected results. Moreover, these metrics may differ from similarly titled metrics presented by other companies and may not be comparable to such other metrics. We regularly review and may adjust our processes for calculating our metrics to improve their accuracy. If our metrics are not accurate representations of our business;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generally recognize revenue from subscriptions to our C3 AI Software over the terms of such subscriptions. Consequently, increases or decreases in new sales may not be immediately reflected in our results of operations and may be difficult to discern.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generally recognize revenue from subscriptions to our C3 AI Software over the terms of these subscriptions. As a result, a portion of the revenue we report in each year and each quarter is derived from the recognition of deferred revenue relating to subscriptions entered into during prior periods. Consequently, a decline in new or renewed subscriptions in any single year or quarter may only have a small impact on the revenue that we recognize for that period. However, such a decline will negatively affect our revenue in future periods.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As a result, growth in the number of new customers could continue to result in our recognition of higher costs and lower revenue in the earlier periods of our subscriptions. Finally, our subscription-based revenue model also makes it difficult for us to rapidly increase our revenue through additional subscription sales in any period, as revenue from new customers or from existing customers that increase their use of our C3 AI Software must be recognized over the applicable subscription term. These risks are further exacerbated by our dependence on high-value customer contracts.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maintenance and support services for our customers may harm our relationships with our customers and, consequently,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Once our C3 AI Software is deployed, our customers depend on our maintenance and support teams to resolve technical and operational issues and provide critical updates relating to our C3 AI Software. Our ability to provide effective customer maintenance and support is largely dependent on our ability to attract, train, and retain qualified personnel with experience in supporting customers with software such as ours and maintaining the same. The number of our customers has grown significantly and that has and will continue to put additional pressure on our customer maintenance and support teams. We may be unable to respond quickly enough to accommodate short-term increases in customer demand for technical support. We also may be unable to modify the scope and delivery of our maintenance services and technical support to compete with changes in the technical services provided by our competitors. Increased customer demand for maintenance and support services, without corresponding revenue, could increase costs and negatively affect our operating results. In addition, if we experience increased customer demand for support and maintenance, we may face increased costs that may harm our results of operations. Further, as we continue to grow our operations and support our global customer base, we need to be able to continue to provide efficient support and effective maintenance that meets our customers’ needs globally. If we are unable to provide efficient customer maintenance and support globally or if we need to hire additional maintenance and support personnel, our business may be harmed. Our ability to attract new customers is highly dependent on our business reputation and on positive recommendations from our existing customers. Any failure to maintain high-quality maintenance and support services, a failure of channel parties to maintain high-quality maintenance and support services or a market perception that we do not maintain high-quality maintenance and support services for our customers, would harm our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uncertainties have had, and could continue to have, an adverse impact on our business, our operations, and the markets and communities in which we, our partners, and users operate.</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labor shortages and supply chain disruptions, inflation, interest rate fluctuations, bank failures and monetary supply shifts, as well as recession risks, which may continue for an extended period and which could result in our customer prospects and our existing customers experiencing slowdowns in their businesses, which in turn may result in reduced demand for our C3 AI Software, lengthening of sales cycles, loss of customers, and difficulties in collections. Our vendors and suppliers may experience, or may continue to experience, disruptions in their supply chains, which may result in service interruptions or additional operating expenses, and may increase the price at which our vendors and suppliers are willing to sell their products to us.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macroeconomic uncertainties continue to adversely affect our business, financial condition, and results of operations, many of the other risks described in this “Risk Factors” section could be exacerbated, including but not limited to, those related to our ability to increase sales to existing and new customers, develop and deploy new offerings and applications and maintain effective marketing and sales capabilities.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self-regulatory schemes, standards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protected health information, and financial data. Our data processing activities subject us to numerous data privacy and security obligations, such as various laws, regulations, guidance, industry standards, external and internal privacy and security policies, contractual requirements, and other obligations that govern the processing of personal data by us and on our behalf.</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or HIPAA, as amended by the Health Information Technology for Economic and Clinical Health Act, or HITECH, imposes specific requirements relating to the privacy, security and transmission of individually identifiable health information. In the past few years, numerous U.S. states - including California, Virginia, Colorado, Connecticut, and Utah -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imposes obligations on covered businesses, including, but not limited to, providing specific disclosures in privacy notices and honoring requests of such individuals to exercise certain privacy rights related to their personal data. The CCPA provides for statutory fines for noncompliance (up to $7,500 per intentional violation) and allows private litigants affected by certain data breaches to recover significant statutory damages. Similar laws are being considered in several other states and at the federal level and local levels, and we expect more states to pass similar laws in the future, reflecting a trend toward more stringent privacy legislation in the United States. These new laws could further complicate compliance efforts and increase legal risk and compliance costs for us, the third parties with whom we work, and our customers.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In Canada, the Personal Information Protection and Electronic Documents Act, or PIPEDA, and various related provincial laws, as well as Canada’s Anti-Spam Legislation, or CASL, may apply to our operations. We also target customers in Asia and have operations in Japan and Singapore and may be subject to new and emerging data privacy regimes in Asia, including Singapore’s Personal Data Protection Act. In the European Economic Area, or EEA, we are subject to the European General Data Protection Regulation, or GDPR, and in the United Kingdom, or UK, we are subject to the UK data protection regime, or UK GDPR (EU GDPR and UK GDPR, collectively GDPR). Companies that must comply with the GDPR face increased compliance obligations and risk, including more robust regulatory enforcement of data protection requirements, with violations potentially resulting in an order prohibiting the processing of personal data and/or fines of up to the greater of €20 million or 4% of the annual global revenues of the noncompliant company in the European Union, and up to the greater of GBP 17.5 million or 4% of the annual global revenues in the UK; or private litigation related to processing of personal data brought by classes of data subjects or consumer protection organizations authorized at law to represent their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-353060</wp:posOffset>
            </wp:positionV>
            <wp:extent cx="28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European and other data protection laws, including the GDPR also restrict the ability of companies to transfer personal data to the United States and other countries. Although there are currently various mechanisms that may be used to transfer personal data from the EEA and the UK to the United States in compliance with law, such as the EEA’s standard contractual clauses, the UK’s International Data Transfer Agreement/Addendum, and the Transatlantic Privacy Framework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It is unclear how data transfers from countries such as the EEA and UK to the United States will be regulated in the long term, which measures must be put in place for onward transfers, and whether or not the Transatlantic Data Privacy Framework will provide a long-term solution to managing flows of personal data from the EEA and the UK to the United States.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such, we, or our vendors, may be unable to implement measures sufficient to lawfully transfer personal data in a manner necessary to provide our services in certain regions without incurring significant cost, or at all. If we cannot implement a valid compliance mechanism for cross-border data transfers, we may face significant adverse consequences, including the interruption or degradation of our operations, increased exposure to regulatory actions, substantial fines and penalties, and injunctions against processing or transferring personal data from Europe or other foreign jurisdictions. The inability to import personal data to the United States could significantly and negatively impact our business operations, including by limiting our ability to collaborate with parties that are subject to such cross-border data transfer or localization laws; or requiring us to increase our personal data processing capabilities and infrastructure in foreign jurisdictions at significant expense. Additionally, companies that transfer personal data outside of the EEA and UK to other jurisdictions, particularly the United States, are subject to increased scrutiny from regulators, individual litigants and activist groups. Some European regulators have significantly restricted some companies’ data processing activities, including ordering certain companies to suspend or permanently cease the transfer of certain personal data out of Europe for allegedly violating the GDPR’s cross-border data transfer limitations, which has materially impacted companies’ operations revenues. For example, in May 2023, the Irish Data Protection Commission determined that a major social media company’s use of the standard contractual clauses to transfer personal data from Europe to the United States was insufficient and levied a 1.2 billion Euro fine against the company and prohibited the company from transferring personal data to the United States. The United States is also increasingly scrutinizing certain data transfers and may also impose certain data localization requirements, particularly if we transfer personal data to, or process personal data of residents of, high risk or sanctioned jurisdictions.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data protection laws in the EEA and the UK, such as those implementing the ePrivacy Directive, restrict the use of cookies and similar technologies on which our website and product rely. Regulators are increasingly focused on compliance with requirements in the online tracking ecosystem, and current national laws implementing the ePrivacy Directive are likely to be replaced in the EU by a regulation known as the ePrivacy Regulation, which will significantly increase fines for non-compliance.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personal data. We may also become subject to new laws that regulate non-personal data.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data outside the EEA. Depending on how this Act and any similar laws are implemented and interpreted, we may have to adapt our business practices, contractual arrangements, and C3 AI Software to comply with such obligations.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data privacy and security laws, we are also subject to the terms of external and internal privacy and security policies, codes, representations, certifications, industry standards adopted by industry groups, publications and frameworks, contractual obligations to third parties, and other statements related to privacy, information security, and data processing. If these policies, materials or statements are found to be deficient, lacking in transparency, deceptive, unfair, or misrepresentative of our practices, we may be subject to investigation, enforcement actions by regulators or other adverse consequences. We are subject to contractual obligations to indemnify and hold harmless third parties from the costs or consequences of non-compliance with data protection laws or other obligations.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use of artificial intelligence, or AI, and machine learning, or ML, technologies (collectively, “AI/ML technologies”) may also subject us to certain privacy obligations. There is increasing U.S. and foreign activity in the regulation of AI and other similar uses of technology. In Europe, there is a proposed regulation related to AI that, if adopted, could impose onerous obligations related to the use of AI-related systems. We expect other jurisdictions will adopt similar laws. In the United States, several states and localities have enacted measures related to the use of AI and ML in products and services. We may have to change our business practices to comply with such obligations. For example, our employees and personnel use generative AI technologies to perform their work. Our use of this technology could result in additional compliance costs, regulatory investigations and actions, and lawsuits. If we are unable to use generative AI, it could make our business less efficient and result in competitive disadvantages. We also use AI and ML technologies in our products and services. Our use of this technology could result in additional compliance costs, regulatory investigations and actions, and consumer lawsuits. Depending on how these AI laws and regulations are interpreted, we may have to make changes to our business practices and products, including our C3 AI Software, to comply with such obligations. These obligations may make it harder for us to conduct our business using AI/ML, lead to regulatory fines or penalties, require us retrain our AI/ML, or prevent or limit our use of AI/ML. Additionally, certain privacy laws extend rights to consumers (such as the right to delete certain personal data) and regulate automated decision making, which may be incompatible with our use of AI/ML. Further, under privacy laws and other obligations, we may be required to obtain certain consents to process personal data and our inability or failure to do so could result in adverse consequences.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be subject to new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which may necessitate changes to our information technologies, systems, and practices, including our C3 AI Software, possibly limiting our ability to develop new applications and features, and to those of any third parties with whom we work. Although we endeavor to comply with all applicable data privacy and security obligations, we may at times fail (or be perceived to have failed) to do so. Moreover, despite our efforts, our personnel or that of the third parties with whom we work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 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 expenditure of time and resources to defend any claim or inquiry; adverse publicity; revision or restructuring of our operations; or reduced demand for our C3 AI Software. Governments and regulators in certain jurisdictions, including Europe, are increasingly seeking to regulate cybersecurity and the use, transfer, and other processing of non-personal information (for example, under the European Union’s Data Act), an area which has typically been the subject of very limited or no specific regulation. This means that, if and to the extent such regulations are relevant to our operations or those of our customers, certain of the risks and considerations may apply equally to our processing of both personal and non-personal information.</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C3 AI Software processes our customers’ proprietary and sensitive data, potentially including personal information, confidential information, protected health information, financial data, intellectual property, and trade secrets. Our C3 AI Software is built to be available on the infrastructure of third-party public cloud providers such as AWS, Microsoft Azure, and Google Cloud. We also use third parties to help us deliver services to our customers. These third parties may process personal information, protected health information, or other confidential information of our employees, partners or customers in a variety of contexts, including, without limitation, third-party providers of cloud-based infrastructure, encryption and authentication technology, employee email and payroll, content delivery to customers, and other functions. We collect such information from individuals located both in the United States and abroad and may process such information outside the country in which it was collected.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Cyber-attacks, denial-of-service attacks, ransomware attacks, business email compromises, computer malware, viruses, social engineering (including phishing), online and offline fraud and other malicious internet-based activity are prevalent in our industry and our customers’ industries and such attacks continue to increase.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and other cyber-attacks, that could materially disrupt our systems and operations, supply chain, and ability to produce, sell and distribute our goods and services. We also utilize third-party providers to host, transmit, or otherwise process electronic data in connection with our business activities. We or our vendors and business partners may experience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unavailable systems, unauthorized access or disclosure due to employee or other theft or misuse, denial-of-service attacks, sophisticated attacks by nation-state and nation-state supported actors, ransomware attacks, supply-chain attacks, software bugs, server malfunctions, software or hardware failures, loss of data or other information technology assets, adware, telecommunications failures, attacks enhanced or facilitated by AI, and other similar threats. Ransomware attacks, including by organized criminal threat actors, nation-states, nation-state-supported actors, and “hacktivists,”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 or the third-party information technology systems that support us and our services. Remote work has also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technology systems, or those of the third parties with whom we work. A security incident or other interruption could disrupt our ability (and that of third parties with whom we work) to provide our platform. Any actual or potential security breach of our C3 AI Software, our operational systems, our physical facilities, or the systems or facilities of our partners, or the perception that one has occurred, could result in adverse consequences, such as litigation, indemnity obligations, regulatory enforcement actions, investigations, fines, penalties, mitigation and remediation costs, disputes, reputational harm, diversion of management’s attention, and other liabilities and damage to our business. Even though we do not control the security measures of third parties, we may be perceived or asserted to be responsible for any breach of such measures or suffer reputational harm even where we do not have recourse to the third party that caused the breach. In addition, any failure by our partners to comply with applicable law or regulations could result in proceedings against us by governmental entities or others, with further financial, operational, and reputational damage. While we may be entitled to damages if the third parties with whom we work fail to satisfy their privacy or security-related obligations to us, any award may be insufficient to cover our damages, or we may be unable to recover such award.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 In addition, laws, regulations, government guidance, and industry standards and practices in the United States and elsewhere are rapidly evolving to combat these threats. We may face increased compliance burdens regarding such requirements from regulators and customers regarding our products and services and also incur additional costs for oversight and monitoring of security risks relating to our own supply chain. For example, we have contractual and legal obligations to notify relevant stakeholders, including affected individuals, customers, regulators, and investors, of security breaches. Most jurisdictions have enacted laws requiring companies to notify individuals, regulatory authorities, and others of security breaches involving certain types of data, and implement other requirements, such as providing credit monitoring. Such disclosures and compliance with such requirements are costly, and the disclosures or the failure to comply with such requirements could lead to adverse consequences. In addition, our agreements with certain customers and partners may require us to notify them in the event of a security breach involving customer or partner data on our systems or those of subcontractors processing customer or partner data on our behalf.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breach and may cause us to breach customer contracts. Our agreements with certain customers may require us to use industry-standard, reasonable, or other specified measures to safeguard sensitive personal information or confidential information, and any actual or perceived breach of such measures may increase the likelihood and frequency of customer audits under our agreements, which is likely to increase the costs of doing business. An actual or perceived security breach could lead to claims by our customers, or other relevant stakeholders that we have failed to comply with such legal or contractual obligations. As a result, we could be subject to legal action or our customers could end their relationships with us. There can be no assurance that any limitations of liability in our contracts, which we have in certain agreements, would be enforceable or adequate or would otherwise protect us from liabilities, damages, or claims related to our data privacy and security obligations.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and a number of our vendors and business partners have implemented security measures and designed to protect against security incidents, there can be no assurance that these measures will be effective. We take steps to detect and remediate vulnerabilities in our information security systems (such as our hardware and/ or software, including that of third parties with whom we work), and ensure the security, privacy, integrity, confidentiality, availability, and authenticity of our information technology networks and systems, processing and information, but we may not be able to anticipate or to implement effective preventive and remedial measures against all data security and privacy threats or detect, mitigate and remediate all vulnerabilities on a timely basis. We cannot guarantee that the recovery systems, security protocols, network protection mechanisms and other security measures that we have integrated into our systems, networks and physical facilities, which are designed to protect against, detect and minimize security breaches and vulnerabilities, or those of our vendors and business partners, will be adequate to prevent or detect service interruption, system failure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or those of the third parties with whom we work, has been heightened by advances in computer and software capabilities and the increasing sophistication of hackers who employ complex techniques, including without limitation, the theft or misuse of personal and financial information, counterfeiting, “phishing” or social engineering incidents, ransomware, extortion, publicly announcing security breaches, account takeover attacks, denial or degradation of service attacks, malware, fraudulent payment and identity theft. The techniques used to sabotage, disrupt or to obtain unauthorized access to our C3 AI Software, systems, networks, or physical facilities in which data is stored or through which data is transmitted change frequently, and we may be unable to implement adequate preventative measures or stop security breaches while they are occurring. Unremediated high risk or critical vulnerabilities pose material risks to our business. Further, we may experience delays in developing and deploying remedial measures designed to address any such identified vulnerabilities.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Litigation resulting from security breaches may adversely affect our business. Unauthorized access to our C3 AI Software,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or modify our C3 AI Software capabilities in response to such litigation, which could have an adverse effect on our business. If a security breach were to occur, and the confidentiality, integrity or availability of our data or the data of our partners or our customers was disrupted, we could incur significant liability, or our C3 AI Software, systems, or networks may be perceived as less desirable, which could negatively affect our business and damage our reputation.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that our insurers will not deny coverage as to all or part of any future claim or loss. Our risks are likely to increase as we continue to expand our C3 AI Software, grow our customer base, and store, transmit, and otherwise process increasingly large amounts of proprietary and sensitive data.</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experiencing a security incident, we may experience negative consequences from our use of AI/ML within our company and in our products and services. Sensitive information of the Company or our customers could be leaked, disclosed, or revealed as a result of or in connection with our employees’, personnel’s, or vendors’ use of generative AI technologies. Any sensitive information (including confidential, competitive, proprietary, or personal data) that we input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Moreover, AI/ML models may create flawed, incomplete, or inaccurate outputs, some of which may appear correct. This may happen if the inputs that the model relied on were inaccurate, incomplete or flawed (including if a bad actor “poisons” the AI/ML with bad inputs or logic), or if the logic of the AI/ML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including exposure to reputational and competitive harm, customer loss, and legal liability.</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C3 AI Software or with the public cloud and internet infrastructure on which it relies.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depends on our C3 AI Software to be available without disruption. We have experienced, and may in the future experience, disruptions, outages, defects, and other performance and quality problems with our C3 AI Software. We have also experienced, and may in the future experience, disruptions, outages, defects, and other performance and quality problems with the public cloud and internet infrastructure on which our C3 AI Software relies. These problems can be caused by a variety of factors, including introductions of new functionality, vulnerabilities and defects in proprietary and open source software, human error or misconduct, capacity constraints, design limitations, as well as from internal and external security breaches, malware and viruses, ransomware, cyber events, denial or degradation of service attacks or other security-related incidents.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if our contractual and other business relationships with our public cloud providers are terminated, suspended, or suffer a material change to which we are unable to adapt, such as the elimination of services or features on which we depend, we could be unable to provide our C3 AI Software and could experience significant delays and incur additional expense in transitioning customers to a different public cloud provider.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disruptions, outages, defects, and other security performance and quality problems with our C3 AI Software or with the public cloud and internet infrastructure on which it relies, or any material change in our contractual and other business relationships with our public cloud providers, could result in reduced use of our C3 AI Software, increased expenses, including significant, unplanned capital investments and/or service credit obligations, and harm to our brand and reputation, any of which could have a material adverse effect on our business, financial condition, reputation and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third-party service providers to host and deliver our C3 AI Software, and any interruptions or delays in these services could impair our C3 AI Software and harm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serve our customers from third-party data center hosting facilities located in the United States, Asia, and Europe. Our operations depend, in part, on our third-party facility providers’ ability to protect these facilities against damage or interruption from natural disasters, power or telecommunications failures, criminal acts, and similar events. In the event that our data center arrangements are terminated, or if there are any lapses of service or damage to a center, we could experience lengthy interruptions in our C3 AI Software as well as delays and additional expenses in making new arrangements.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designed our system infrastructure and procure and own or lease the computer hardware used for our C3 AI Software. Design and mechanical errors, spikes in usage volume, and failure to follow system protocols and procedures could cause our systems to fail, resulting in interruptions in our C3 AI Software. Any interruptions or delays in our service, whether as a result of third-party error, our own error, natural disasters, or security breaches, whether accidental or willful, could harm our relationships with our customers and cause our revenue to decrease and/or our expenses to increase.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foreign currency exchange rate fluctuations.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Europe.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years ended April 30, 2024 and 2023, 6% and 8% of our revenue, respectively, were denominated in currencies other than U.S. dollars. For the fiscal years ended April 30, 2024 and 2023, 7% and 5%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Therefore, increases in the value of the U.S. dollar and decreases in the value of foreign currencies could result in the dollar equivalent of our revenue being lower. We do not currently maintain a program to hedge exposures to non-U.S. dollar currencies.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sell to U.S. federal, state, local, and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 consuming, often requiring significant upfront time and expense without any assurance that these efforts will generate a sale. Government demand and payment for our products and services may be impacted by public sector budgetary cycles and funding reductions or delays, such as an extended federal government shutdown, which may adversely affect public sector demand for our products and services. Government contracting requirements may change and restrict our ability to sell into the government sector. Government demand and payment for our C3 AI Software is affected by public sector budgetary cycles and funding authorizations, with funding reductions or delays adversely affecting public sector demand for our C3 AI Software.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may be less favorable than terms agreed with other customers. In our experience, government entities often require shorter term subscriptions than our private sector customers due to budget cycles, making one-year subscriptions not uncommon. Government entities and highly regulated organizations typically have longer implementation cycles, sometimes require acceptance provisions that can lead to a delay in revenue recognition, can have more complex IT and data environments, and may expect greater payment flexibility from vendors.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with governmental entities may also include preferential pricing terms, such as “most favored customer” pricing. In the event that we are successful in being awarded a government contract, the award may be subject to appeals, disputes, or litigation, including but not limited to bid protests by unsuccessful bidders.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divert management time, or limit our ability to continue selling our products and services to our government customers. These laws and regulations may impose other added costs on our business, and failure to comply with these or other applicable regulations and requirements, including non-compliance in the past, could lead to claims for damages from our partners, downward contract price adjustments or refund obligations, civil or criminal penalties, and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results of operations, financial condition, public perception and growth prospects.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Governmental and highly regulated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 All these factors can add further risk to business conducted with these customers. If sales expected from a government entity or highly regulated organization for a particular period are not realized in that period or at all, our business, financial condition, results of operations, and growth prospects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our employees cannot obtain and maintain required security clearances, we cannot obtain and maintain a required facility security clearance, or we do not comply with legal and regulatory obligations regarding the safeguarding of classified information.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our U.S. government contracts requires our employees to maintain security clearances, and also requires us to comply with the U.S Department of Defense, or DoD, security rules and regulations. The DoD has strict security clearance requirements for personnel who perform work in support of classified programs. In general, access to classified information, technology, facilities, or programs are subject to additional contract oversight and potential liability. In the event of a security incident involving classified information, technology, facilities, or programs, or personnel holding clearances, we may be subject to legal, financial, operational and reputational harm.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our existing contract (and any future contracts we may subsequently obtain) requiring a facility security clearance could be terminated.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sustain a level of liquidity sufficient to support our operations and fulfill our obligations, our business, operating results and financial position could be adversely affected.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actively monitor and manage our cash, cash equivalents and marketable securities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C3 AI Software, difficulties in executing our business plan and fulfilling our obligations, and other operational challenges. Any of these developments could adversely affect our business, operating results and financial position.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cash equivalents and marketable securities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cannot assure you that additional financing will be available to us on favorable terms when required, or at all. If we are unable to obtain adequate financing or financing on terms satisfactory to us when we require it, our ability to continue to support our business growth, development efforts and to respond to business challenges could be significantly impaired, and our business, operating results and financial condition may be adversely affected.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 the past made, and may in the future make, acquisitions of other companies, products, and technologies. We have limited experience in acquisitions. We may not be able to find suitable acquisition candidates, and we may not be able to complete acquisitions on favorable terms, if at all. Any acquisitions we complete may not ultimately strengthen our competitive position or achieve our goals, and may be viewed negatively by customers,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debt, it would result in increased fixed obligations and could also subject us to covenants or other restrictions that would impede our ability to flexibly operate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raised by the use of AI, including ML, in our C3 AI Platform may result in reputational harm or liability or otherwise adversely affect our business, financial condition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 is enabled by or integrated into some of the C3 AI Platform, including C3 Generative AI, and is a significant and growing element of our business. As with many developing technologies, AI presents risks and challenges that could affect its further development, adoption, and use, and therefore our business. AI algorithms may be flawed. Datasets in AI training, development, or operations may be insufficient, of poor quality, or reflect unwanted forms of bias. Inappropriate or controversial data practices by, or practices reflecting inherent biases of, data scientists, engineers, and end users of our systems could impair the acceptance of AI solutions. Third-party AI capabilities that can be integrated with our platforms could also produce false or “hallucinatory” inferences about customer data or enterprises, or other information or subject matter. If the recommendations, forecasts, or analyses that AI applications assist in producing are deficient or inaccurate, we could be subjected to competitive harm, potential legal liability, and brand or reputational harm. Some AI scenarios present ethical issues, and the enablement or integration of AI into our platforms may subject us to new or heightened legal, regulatory, ethical, or other challenges.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framework for AI and ML technology is evolving and remains uncertain. It is possible that new laws and regulations will be adopted in the United States and other jurisdictions, or existing laws and regulations may be interpreted in new ways, that would affect the operation of our C3 AI Platform and the way in which we use AI and ML. In Europe, there is a proposed regulation related to AI that, if adopted, could impose onerous obligations related to the use of AI-related systems. Potential government regulation in the space of AI ethics may also increase the burden and cost of research and development in this area. The cost to comply with such laws or regulations could be significant and would increase our operating expenses, which could adversely affect our business,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adversely affect our financial results or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and related accounting pronouncements, implementation guidelines and interpretations with regard to a wide range of matters that are relevant to our business, such as revenue recognition, impairment of intangible assets, lease obligations, vendor allowances, tax matters and litigation, are complex and involve many subjective assumptions, estimates and judgments. Changes in accounting standards or their interpretation or changes in underlying assumptions, estimates or judgments could significantly change our reported or expected financial performance or financial condition. The implementation of new accounting standards could also require certain systems, internal process and other changes that could increase our operating costs.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regarding environmental, employment, social, and governance matters could adversely impact our reputation, our ability to retain employees, and the willingness of customers and others to do business with us.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increasing focus from investors, regulators, and other corporate stakeholders on corporate policies addressing environmental, employment, social, and governance matters. Stakeholder expectations regarding appropriate corporate conduct on these matters are continually evolving, as are expectations regarding appropriate methods and types of related corporate disclosure. Investors, regulators, or other corporate stakeholders may not be satisfied with our existing environmental, employment, social, and governance practices or those of our customers, strategic partners, or vendors. These stakeholders may also be dissatisfied with the pace at which any revisions to our practices or the practices of our customers, strategic partners, or vendors are adopted and implemented. Further, investors and other stakeholders may object to the societal costs or ethical or other implications, or the perceived costs or implications, associated with the use of our products made by one or more of our customers. If any of these events were to occur, our reputation, our ability to retain employees, and the willingness of customers and others to do business with us may be materially and adversely impacted. We may also incur additional costs and require additional resources, which could be material, to monitor, report, and comply with related corporate disclosure obligations in the future, whether those obligations are imposed by law, regulation, or market expectation.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materially and adversely affected.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Customer-Entities in more than 15 countries, and 14% of our revenue for the fiscal year ended April 30, 2024 was generated from customers outside of North America. As of April 30, 2024, we had ten international sales locations, and we plan to add local sales support in further select international markets over time. We expect to continue to expand our international operations, which may include opening offices in new jurisdictions and providing our C3 AI Software in additional languages. Any new markets or countries into which we attempt to sell subscriptions to our C3 AI Software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14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talented and capable employees outside the United States and maintaining our company culture across all of our offices;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different pricing environments, longer sales cycles, and longer accounts receivable payment cycles and collections issues;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data protection, and consumer protection, and the risk of penalties to us and individual members of management or employees if our practices are deemed to be out of compliance;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does the United States;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intellectual property that resides outside of the United States, such as the risk of changes in foreign laws that could restrict our ability to use our intellectual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partners outside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our locally operated systems and our data and the data of our customers and partners accessible from such jurisdictions;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anti-money laundering laws and other regulatory limitations on our ability to provide our C3 AI Software in certain international markets;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military actions affecting the Middle East, Russia, Ukraine and/or surrounding regions;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epidemics that could result in decreased economic activity in certain markets, decreased use of our C3 AI Software, or in our decreased ability to import, export, or sell our C3 AI Software to existing or new customers in international markets;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Political actions, including trade protection and national security policies of U.S. and foreign government bodies, such as tariffs, import or export regulations, including deemed export restrictions, trade and economic sanctions, quotas or other trade barriers and restrictions could affect our ability to provide our C3 AI Software to our Customers and generally fulfill our contractual obligations and have an adverse effect on our future business opportunities. For example, in response to Russian military actions related to Ukraine, the United States and certain allies have imposed economic sanctions and export control measures and may impose additional sanctions or export control measures, which have and could in the future result in, among other things, severe or complete restrictions on exports and other commerce and business dealings involving Russia, Belarus, certain regions of Ukraine, and/or particular entities and individuals. Such actions could limit or block the license of our C3 AI Software to persons or entities affiliated with Russia or countries acting in concert with Russia, and restrict access by C3 AI personnel located in Russia to our systems, negatively impacting future opportunities.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due to political uncertainty and military actions involving Russia, Ukraine, and surrounding regions, we and the third parties with whom we work may be vulnerable to a heightened risk of security breaches, computer malware, social-engineering attacks, supply-chain attacks, software bugs, server malfunctions, software or hardware failures, loss of data or other information technology assets, and other cyber-attacks, including attacks that could materially disrupt our systems and operations, supply chain, and ability to produce, sell and distribute our C3 AI Software. These attacks are expected to occur in the future.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are not in compliance with applicable laws.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C3 AI Software is subject to various restrictions under U.S. export control and trade and economic sanctions laws and regulations, including the U.S. Department of Commerce’s Export Administration Regulations, or EAR, and various economic and trade sanctions regulations administered by the U.S. Department of the Treasury’s Office of Foreign Assets Control, or OFAC. U.S. export control and economic sanctions laws and regulations include restrictions or prohibitions on the sale or supply of certain AI platform and applications, services and technologies to U.S. embargoed or sanctioned countries, governments, persons, and entities. Further, U.S. export laws and regulations include broad licensing requirements, including requiring authorization for the export of certain items. In addition, various countries regulate the import of certain items, including through import permitting and licensing requirements and have enacted or could enact laws that could limit our ability to distribute our C3 AI Software or could limit our customers’ ability to implement our C3 AI Software in those countries.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our C3 AI Software and, if required, obtaining the necessary export license or other authorization for a particular sale, or changes in export, sanctions, and import laws, may result in the delay or loss of sales opportunities, delay the introduction and sale of subscriptions to our C3 AI Software in international markets, prevent our customers with international operations from using our C3 AI Software or, in some cases, prevent the access or use of our C3 AI Software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C3 AI Software or in our decreased ability to export or sell our C3 AI Software to existing or potential customers with international operations. Any decreased use of our C3 AI Software or limitation on our ability to export or sell our C3 AI Software would likely harm our business.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we take precautions to ensure that we and our channel partners comply with all relevant regulations, any failure by us or our channel partners to comply with U.S. export control and economic sanctions laws and regulations or other laws could have negative consequences, including reputational harm, government investigations and substantial civil and criminal penalties (e.g., fines, incarceration for responsible employees and managers, and the possible loss of export or import privileges).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or FCPA, and similar anti-corruption, anti-bribery, and similar laws, and non-compliance with such laws can subject us to criminal or civil liability and harm our business, financial condition and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FCPA, U.S. domestic bribery laws, the UK Bribery Act, and other anti-corruption and similar laws in the countries in which we conduct activities. Anti-corruption and anti-bribery laws have been enforced aggressively in recent years and are interpreted broadly to generally prohibit companies, their employees, and their third-party business partners or intermediaries, representatives, and agents from authorizing, offering, or providing, directly or indirectly, improper payments or other benefits to government officials or others in the private sector in order to influence official action, direct business to any person, gain any improper advantage, or obtain or retain business. As we increase our international sales and business, our risks under these laws may increase.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third-party business partners and intermediaries to market our C3 AI Software and to obtain necessary permits, licenses, and other regulatory approvals. In addition, we or our third-party business partners or intermediaries may have direct or indirect interactions with officials and employees of government agencies or state-owned or affiliated entities. We can be held liable for the corrupt or other illegal activities of our third-party business partners or intermediaries, our employees, representatives, contractors, and agents, even if we do not explicitly authorize such activities.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our third-party business partners or intermediaries, employees, representatives, contractors, and agents may take actions in violation of our policies and applicable law, for which we may be ultimately held responsible.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as well as significant defense costs and other professional fees. In addition, noncompliance with anti-corruption, or anti-bribery laws could subject us to whistleblower complaints, investigations, sanctions, settlements, prosecution, enforcement actions, fines, damages, other civil or criminal penalties or injunctions against us, our officers, or our employees, disgorgement of profits, suspension or debarment from contracting with the U.S. government or other persons, reputational harm, adverse media coverage, and other collateral consequences. If any subpoenas or investigations are launched, or governmental or other sanctions are imposed, or if we do not prevail in any possible civil or criminal proceeding, our reputation, business, stock price, financial condition, prospects and results of operations could be harmed.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liabilities on past sales for taxes, surcharges, and fees.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collect and remit applicable sales tax in jurisdictions where we, through our employees, have a presence and where we have determined, based on legal precedents in the jurisdiction, that sales of our C3 AI Software are classified as taxable. We do not currently collect and remit other state and local excise, utility, user, and ad valorem taxes, fees or surcharges that may apply to our customers.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C3 AI Software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C3 AI Software as not taxable in certain jurisdictions will be accepted by state and local taxing authorities. Additionally, we have not historically collected value-added tax, or VAT, or goods and services tax, or GST, on sales of our C3 AI Software, generally, because we make almost all of our sales through our office in the United States, and we believe, based on information provided to us by our customers, that most of our sales are made to business customers.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Taxing authorities may challenge our position that we do not have sufficient nexus in a taxing jurisdiction or that our C3 AI Software is exempt from use, telecommunications, VAT, GST, and other taxes, which could result in increased tax liabilities for us or our customers, which could harm our business.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application of indirect taxes (such as sales and use tax, VAT, GST, business tax, and gross receipt tax) to businesses that transact online, such as ours, is a complex and evolving area. Following the recent U.S. Supreme Court decision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or other compensation, changes in the valuation of, or our ability to use, deferred tax assets and liabilities, the applicability of withholding taxes, and effects from acquisitions.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taxes on our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local,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or taxes may be subject to certain limitations.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April 30, 2024, we had net operating loss carryforwards, or NOLs, for U.S. federal and state purposes of $599.3 million and $249.3 million, respectively, which may be available to offset taxable income in the future, and portions of which expire in various years beginning in 2029. A lack of future taxable income would adversely affect our ability to utilize these NOLs before they expire. Under the Tax Cuts and Jobs Act of 2017, or the Tax Act, as modified by the Coronavirus Aid, Relief, and Economic Security Act, or CARES Act, federal NOLs incurred in tax years beginning after December 31, 2017 may be carried forward indefinitely, but the deductibility of such federal NOLs in tax years beginning after December 31, 2020 is limited to 80% of taxable income. It is uncertain if and to what extent various states will conform to the Tax Act or the CARES Act. In addition, under Section 382 of the Internal Revenue Code of 1986, as amended, or the Code, a corporation that undergoes an “ownership change” (as defined under Sections 382 and 383 of the Code and applicable Treasury Regulations) is subject to limitations on its ability to utilize its pre-change NOLs and certain other tax attributes to offset post-change taxable income or taxes. We may experience a future ownership change under Section 382 of the Code that could affect our ability to utilize our NOLs to offset our income. Furthermore, our ability to utilize NOLs of companies that we have acquired or may acquire in the future may be subject to limitations. In addition, at the state level, there may be periods during which the use of NOLs is suspended or otherwise limited, which could accelerate or permanently increase state taxes owed. For example, on June 29, 2020, the Governor of California signed into law the 2020 Budget Act which temporarily suspended the utilization of NOLs and limits the utilization of research credits to $5.0 million annually for 2020, 2021, and 2022.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patent licenses, trade secret, domain name protection, trademark, and copyright laws, as well as confidentiality and license agreements with our employees, consultants, and third parties, to protect our intellectual property and proprietary rights. From time to time, we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and may from time to time in the future become, a party to litigation and disputes related to our intellectual property, our business practices, and our C3 AI Software. While we intend to defend any lawsuit vigorously, litigation can be costly and time consuming, divert the attention of our management and key personnel from our business operations, and dissuade potential customers from subscribing to our C3 AI Software, which would harm our business. Furthermore, with respect to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customers or partners typically include certain provisions for indemnifying them against liabilities if our C3 AI Software infringes a third party’s intellectual property rights, including in the third-party open source software components included in our C3 AI Software, which indemnification obligations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and other losses.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agreements with customers and other third parties generally include indemnification provisions under which we agree to indemnify them for losses suffered or incurred as a result of claims of intellectual property infringement,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generally, those limitations may not be fully enforceable in all situations, and we may still incur substantial liability under those agreements. Any dispute with a customer with respect to such obligations could have adverse effects on our relationship with that customer and other existing customers and new customers and harm our business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April 30, 2024, our technology is protected by a broad patent portfolio, with 23 issued patents in the United States, 15 issued counterpart patents in a number of international jurisdictions, over 45 patent applications pending in the United States, and 85 patent applications pending internationally. Our issued patents expire beginning in 2033 through 2040. We continually review our development efforts to assess the existence and patentability of new intellectual property. The pending patent applications are presently undergoing examination or expected to undergo examination in the near future. These patents and patent applications seek to protect our proprietary inventions relevant to our business, in addition to other proprietary technologies which are maintained as trade secrets. We intend to pursue additional intellectual property protection to the extent we believe it would be beneficial and cost-effective.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C3 AI Software. In addition, we believe that the protection of our trademark rights is an important factor in AI platform and application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defend against or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unauthorized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C3 AI Software, brand, and other intangible assets may be diminished, and competitors may be able to replicate our C3 AI Software more effectively. Any of these events would harm our business.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C3 AI Software and subject us to possible litigation.</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portion of the technologies we use incorporates third-party open source software, and we may incorporate third-party open source software in our solutions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 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and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C3 AI Software. Any of the foregoing could harm our business and could help our competitors develop platforms and applications that are similar to or better than ours.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characteristics of open source software, there may be fewer technology barriers to entry by new competitors and it may be relatively easy for new and existing competitors with greater resources than we have to compete with us.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the characteristics of open source software is that the governing license terms generally allow liberal modifications of the code and distribution thereof to a wide group of companies and/or individuals. As a result, others could easily develop new platforms and applications based upon those open source programs that compete with existing open source software that we support and incorporate into our C3 AI Software. Such competition with use of the open source projects that we utilize can materialize without the same degree of overhead and lead time required by us, particularly if the customers do not value the differentiation of our proprietary components. It is possible for new and existing competitors with greater resources than ours to develop their own open source software or hybrid proprietary and open source software offerings, potentially reducing the demand for, and putting price pressure on, our C3 AI Software. In addition, some competitors make open source software available for free download and use or may position competing open source software as a loss leader. We cannot guarantee that we will be able to compete successfully against current and future competitors or that competitive pressure and/or the availability of open source software will not result in price reductions, reduced operating margins and loss of market share, any one of which could seriously harm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open source software programmers, many of whom we do not employ, or our own internal programmers do not continue to develop and enhance open source technologies, we may be unable to develop new technologies, adequately enhance our existing technologies or meet customer requirements for innovation, quality and price.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to a significant degree on a number of open source software programmers, or committers and contributors, to develop and enhance components of our C3 AI Software. Additionally, members of the corresponding Apache Software Foundation Project Management Committees, or PMCs, many of whom are not employed by us, are primarily responsible for the oversight and evolution of the codebases of important components of the open source data management ecosystem. If the open source data management committees and contributors fail to adequately further develop and enhance open source technologies, or if the PMCs fail to oversee and guide the evolution of open source data management technologies in the manner that we believe is appropriate to maximize the market potential of our solutions, then we would have to rely on other parties, or we would need to expend additional resources, to develop and enhance our C3 AI Software. We also must devote adequate resources to our own internal programmers to support their continued development and enhancement of open source technologies, and if we do not do so, we may have to turn to third parties or experience delays in developing or enhancing open source technologies. We cannot predict whether further developments and enhancements to these technologies would be available from reliable alternative sources. In either event, we may incur additional development expenses and experience delays in technology release and upgrade. Delays in developing, completing, or delivering new or enhanced components to our C3 AI Software could cause our offerings to be less competitive, impair customer acceptance of our solutions, and result in delayed or reduced revenue for our solutions.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development and licensing model could be negatively impacted if the Apache License, Version 2.0 is not enforceable or is modified so as to become incompatible with other open source licenses.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Components of our C3 AI Software have been provided under the Apache License 2.0. This license states that any work of authorship licensed under it, and any derivative work thereof, may be reproduced and distributed provided that certain conditions are met. It is possible that a court would hold this license to be unenforceable or that someone could assert a claim for proprietary rights in a program developed and distributed under it. Any ruling by a court that this license is not enforceable, or that we may not reproduce or distribute those open source software components as part of our C3 AI Software, may negatively impact our distribution or development of all or a portion of our solutions. In addition, at some time in the future it is possible that the license terms under which important components of the open source projects in our C3 AI Software are distributed may be modified, which could, among other consequences, negatively impact our continuing development or distribution of the software code subject to the new or modified license.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full utilization of our C3 AI Software may depend on software, applications, hardware and services from various third parties, and these items may not be compatible with our C3 AI Software and its development or may not be available to us or our customers on commercially reasonable terms, or at all, which could harm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126" w:lineRule="exact"/>
        <w:rPr>
          <w:sz w:val="20"/>
          <w:szCs w:val="20"/>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retail trading by participants connected in a social network;</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 particularly in light of the significant portion of our revenue derived from a limited number of customers;</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applications, features, or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 which may include short seller reports;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privacy or data security incidents;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applications, products, services, or technologies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 slow or negative growth of our markets;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other technical trading factors.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cannot assure you of the liquidity of an active trading market, your ability to sell your shares of our Class A common stock when desired, or the prices that you may obtain for your shares of our Class A common stock. An inactive market may also impair our ability to raise capital to continue to fund operations by selling shares of our Class A common stock and may impair our ability to acquire or make investments in complementary companies, products, or technologies by using shares of our common stock as consideration.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March 2022, we and certain of our current and former officers and directors were sued in a putative class action lawsuit alleging violations of the federal securities laws for allegedly making material misstatements or omissions about our partnership with Baker Hughes and other strategic alliances, our market potential, and the uptake of our products. Securities litigation against us could result in substantial costs and a diversion of our management’s attention and resources. We may be the target of additional litigation of this type in the future as well.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Short sellers may engage in manipulative activity intended to drive down the market price of our Class A common stock, which could also result in related regulatory and governmental scrutiny, among other effects.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At any time, short sellers may publish, or arrange for the publication of, opinions or characterizations that are intended to create negative market momentum. Issuers, like us, whose securities have historically had limited trading history or volumes and/or have been susceptible to relatively high volatility levels can be vulnerable to such short seller attacks. Short selling reports can cause increased volatility in an issuer’s stock price, and result in regulatory and governmental inquiries. On April 4, 2023, a short seller report was published which contained certain allegations against us. Any inquiry or formal investigation from a governmental organization or other regulatory body, including any inquiry from the SEC or the U.S. Department of Justice, could result in a material diversion of our management’s time and could have a material adverse effect on our business and results of operations.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the holders of our Class B common stock, limiting your ability to influence corporate matters.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Class B common stock has 50 votes per share, and our Class A common stock has one vote per share. As of April 30, 2024, Mr. Siebel and related entities beneficially owned approximately 87.8% of our Class B common stock and approximately 21.3% of our outstanding Class A common stock, resulting in beneficial ownership of capital stock representing approximately 54.4% of the voting power of our outstanding capital stock. Therefore, Mr. Siebel has control over our management and affairs and over all matters requiring stockholder approval, including election of directors and significant corporate transactions, such as a merger or other sale of us or our assets. This concentrated control will limit your ability to influence corporate matters for the foreseeable future, and, as a result, the market price of our Class A common stock could be adversely affected.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share of Class B common stock will be automatically converted into one share of Class A common stock upon the earliest of (1) the date that is six months following the death or incapacity of Mr. Siebel, (2) the date that is six months following the date that Mr. Siebel is no longer providing services to us as an officer, employee, director, or consultant, (3) December 11, 2040, and (4) the date specified by the holders of a majority of the then outstanding shares of Class B common stock, voting as a separate class.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Siebel retains a significant portion of his holdings of Class B common stock for an extended period of time, he could, in the future, control a majority of the combined voting power of our Class A and Class B common stock. As a board member, Mr. Siebel owes a fiduciary duty to our stockholders and must act in good faith in a manner he reasonably believes to be in the best interests of our stockholders. As a stockholder, even a controlling stockholder, Mr. Siebel is entitled to vote his shares in his own interests, which may not always be in the interests of our stockholders generally.</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FTSE Russell and Standard &amp; Poor’s do not allow most newly public companies utilizing dual or multi-class capital structures to be included in their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other stock indices may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by existing holders in the public market could cause the market price of our Class A common stock to decline.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particularly sales by our directors, executive officers, and principal stockholders, or the perception that these sales might occur, could depress the market price of our Class A common stock.</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30, 2024, there were outstanding options to purchase an aggregate of approximately 31,371,094 shares of our Class A common stock, and approximately 19,283,146 shares of our Class A common stock subject to restricted stock unit awards. We have registered all of the shares of Class A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any such equity awards are exercised or settled for shares of Class A common stock, subject to compliance with applicable securities laws. In addition, certain of our stockholders have registration rights that would require us to register shares owned by them for public sale in the United States.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constituent documents and Delaware law may prevent or frustrate attempts by our stockholders to change our management or hinder efforts to acquire a controlling interest in us, and the market price of our Class A common stock may be lower as a result.</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our stockholders. These include provisions:</w:t>
      </w:r>
    </w:p>
    <w:p>
      <w:pPr>
        <w:spacing w:after="0" w:line="10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our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as described above.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could limit our stockholders’ ability to choose the judicial forum for disputes with us or our directors, officers or employees.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under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In addition,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Furthermore, Section 22 of the Securities Act creates concurrent jurisdiction for federal and state courts over all suits brought to enforce any duty or liability created by the Securities Act. Accordingly, both state and federal courts have jurisdiction to entertain such claims.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and demands upon management as a result of complying with the laws and regulations affecting public companies in the United States, which may harm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expect to continue to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the Sarbanes-Oxley Act, and the rules and regulations of the applicable listing standards of the New York Stock Exchange. We expect that the requirements of these rules and regulations will continue to increase our legal, accounting, and financial compliance costs, make some activities more difficult, time consuming, and costly, and place significant strain on our personnel, systems, and resources.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to furnish a report by management on, among other things, the effectiveness of our internal control over financial reporting. This assessment includes disclosure of any material weaknesses identified by our management in our internal control over financial reporting. Our independent registered public accounting firm is also required to formally attest to the effectiveness of our internal control over financial reporting. Our compliance with Section 404 requires that we incur substantial accounting expense and expend significant management efforts. We currently have an external audit group and have hired additional accounting and financial staff.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have an adverse effect on our business, financial condition and results of operations and could cause a decline in the market price of our Class A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that have a negative impact on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claims that arise in the ordinary course of business, such as claims brought by our customers in connection with commercial or intellectual property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 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(many of which are becoming more acute and frequent as a result of global climate change), power loss, telecommunications failure, software or hardware malfunctions, political unrest, geopolitical instability, cyberattack, war, or terrorist attack, could result in lengthy interruptions in our service. In particular, our U.S. headquarters are located in the San Francisco Bay Area, a region known for seismic activity and wildfires,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our C3 AI Software to our customers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Mitigation Strategies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commitment to safeguarding our assets and maintaining the integrity of our operations, C3 AI has established a comprehensive cybersecurity risk management program. This program is designed to identify, assess, and mitigate cybersecurity risks that could potentially impact our business operations, customers, and stakeholders. C3 AI employs a multi-layered approach to identify and assess cybersecurity threats. This includes:</w:t>
      </w:r>
    </w:p>
    <w:p>
      <w:pPr>
        <w:spacing w:after="0" w:line="118" w:lineRule="exact"/>
        <w:rPr>
          <w:sz w:val="20"/>
          <w:szCs w:val="20"/>
          <w:color w:val="auto"/>
        </w:rPr>
      </w:pPr>
    </w:p>
    <w:p>
      <w:pPr>
        <w:ind w:left="660" w:hanging="328"/>
        <w:spacing w:after="0" w:line="28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Regular vulnerability scanning: </w:t>
      </w:r>
      <w:r>
        <w:rPr>
          <w:rFonts w:ascii="Times New Roman" w:cs="Times New Roman" w:eastAsia="Times New Roman" w:hAnsi="Times New Roman"/>
          <w:sz w:val="18"/>
          <w:szCs w:val="18"/>
          <w:color w:val="auto"/>
        </w:rPr>
        <w:t>We conduct internal and external vulnerability scans of our systems and applications to identify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that attackers could exploit.</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Penetration testing: </w:t>
      </w:r>
      <w:r>
        <w:rPr>
          <w:rFonts w:ascii="Times New Roman" w:cs="Times New Roman" w:eastAsia="Times New Roman" w:hAnsi="Times New Roman"/>
          <w:sz w:val="18"/>
          <w:szCs w:val="18"/>
          <w:color w:val="auto"/>
        </w:rPr>
        <w:t>We engage independent security professionals to conduct simulated cyberattacks on our systems to assess the effectiveness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security controls.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Threat intelligence monitoring: </w:t>
      </w:r>
      <w:r>
        <w:rPr>
          <w:rFonts w:ascii="Times New Roman" w:cs="Times New Roman" w:eastAsia="Times New Roman" w:hAnsi="Times New Roman"/>
          <w:sz w:val="18"/>
          <w:szCs w:val="18"/>
          <w:color w:val="auto"/>
        </w:rPr>
        <w:t>We subscribe to threat intelligence feeds that provide us with real-time information about the latest cyber threats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vulnerabilities.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 assessment framework:</w:t>
      </w:r>
      <w:r>
        <w:rPr>
          <w:rFonts w:ascii="Times New Roman" w:cs="Times New Roman" w:eastAsia="Times New Roman" w:hAnsi="Times New Roman"/>
          <w:sz w:val="18"/>
          <w:szCs w:val="18"/>
          <w:color w:val="auto"/>
        </w:rPr>
        <w:t> We utilize a risk assessment framework to categorize identified threats based on likelihood and potential impact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operations, financial stability, and reputation. This framework includes third-party vendor risk assessment to manage cybersecurity risks associated with our use of these providers. The third-party vendor risk assessment framework includes the following:</w:t>
      </w:r>
    </w:p>
    <w:p>
      <w:pPr>
        <w:spacing w:after="0" w:line="120"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due diligence of the vendors’ standards, including reviewing security policies, certifications, and third-party attestation and past security incidents.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vendors to complete security questionnaires and provide any security and vulnerability scans.</w:t>
      </w:r>
    </w:p>
    <w:p>
      <w:pPr>
        <w:spacing w:after="0" w:line="17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security expectations within the vendor contract including data security obligations, access controls, incident reporting procedures, security assessment calls if necessary and review of incident response plan, business continuity and disaster recovery plan.</w:t>
      </w:r>
    </w:p>
    <w:p>
      <w:pPr>
        <w:spacing w:after="0" w:line="103"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Network security: </w:t>
      </w:r>
      <w:r>
        <w:rPr>
          <w:rFonts w:ascii="Times New Roman" w:cs="Times New Roman" w:eastAsia="Times New Roman" w:hAnsi="Times New Roman"/>
          <w:sz w:val="18"/>
          <w:szCs w:val="18"/>
          <w:color w:val="auto"/>
        </w:rPr>
        <w:t>Firewalls, intrusion detection/prevention systems (IDS/IPS), and data loss prevention (DLP) solutions are deployed to monitor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filter network traffic.</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Endpoint security:</w:t>
      </w:r>
      <w:r>
        <w:rPr>
          <w:rFonts w:ascii="Times New Roman" w:cs="Times New Roman" w:eastAsia="Times New Roman" w:hAnsi="Times New Roman"/>
          <w:sz w:val="18"/>
          <w:szCs w:val="18"/>
          <w:color w:val="auto"/>
        </w:rPr>
        <w:t> Antivirus, anti-malware, and Mobile Device Management solutions are implemented on all company devices.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controls: </w:t>
      </w:r>
      <w:r>
        <w:rPr>
          <w:rFonts w:ascii="Times New Roman" w:cs="Times New Roman" w:eastAsia="Times New Roman" w:hAnsi="Times New Roman"/>
          <w:sz w:val="18"/>
          <w:szCs w:val="18"/>
          <w:color w:val="auto"/>
        </w:rPr>
        <w:t>User access controls are implemented to restrict access to sensitive data and systems based on the principle of least privilege.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security: </w:t>
      </w:r>
      <w:r>
        <w:rPr>
          <w:rFonts w:ascii="Times New Roman" w:cs="Times New Roman" w:eastAsia="Times New Roman" w:hAnsi="Times New Roman"/>
          <w:sz w:val="18"/>
          <w:szCs w:val="18"/>
          <w:color w:val="auto"/>
        </w:rPr>
        <w:t>Encryption solutions are used to protect sensitive data both at rest and in transit.</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awareness and training: </w:t>
      </w:r>
      <w:r>
        <w:rPr>
          <w:rFonts w:ascii="Times New Roman" w:cs="Times New Roman" w:eastAsia="Times New Roman" w:hAnsi="Times New Roman"/>
          <w:sz w:val="18"/>
          <w:szCs w:val="18"/>
          <w:color w:val="auto"/>
        </w:rPr>
        <w:t>We provide regular security awareness training to all employees to educate them on cybersecurity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and phishing attempts.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see the section titled “Risk Factors” contained in Part I, Item 1A of this Annual Report on Form 10-K.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Cybersecurity risk management is integrated with our overall enterprise risk management framework. Identified cybersecurity risks are reported through established channels to relevant stakeholders, including senior management and the Board of Directors. Mitigation strategies are prioritized and incorporated into the overall risk management plan. We continuously identify and evaluate potential cybersecurity threats. While the nature of cyber threats makes it impossible to predict all future incidents, some currently identified material cybersecurity risks include:</w:t>
      </w:r>
    </w:p>
    <w:p>
      <w:pPr>
        <w:spacing w:after="0" w:line="12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Ransomware attacks that could disrupt business operations and lead to data breaches.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attacks that could compromise employee credentials and provide unauthorized access to sensitive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attacks targeting third-party vendors with access to our systems or data.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overall implementation and effectiveness of the cybersecurity program. This includes allocating resources, establishing policies, and ensuring employee adherence to security practices. The VP of Information Security leads the cybersecurity team and reports directly to the VP of Cloud Infrastructure.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has specific oversight responsibilities related to cybersecurity, including review of security controls and incident response plans. Management provides updates to the Audit Committee on cybersecurity risks and the effectiveness of our cybersecurity program.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security is evidenced by our certifications under ISO 27001, ISO 27017, SOC 2 Type II, HIPAA, NIST 800-171 and FedRamp Additionally, we subject our standards-based certifications to annual audits by third parties and have successfully undergone examinations such as the Health Insurance Portability and Accountability Act (HIPAA), validated by qualified third-party assessors.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cybersecurity incidents experienced by C3 AI during the fiscal year ended April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principal executive office is located in Redwood City, California, which consists of approximately 283,015 square feet of space under a lease that expires in March 2033. As of April 30, 2024, we have acquired 262,276 square feet of space under this lease in several phases. The lease commencement date of other phases of this lease will be determined when the landlord delivers the additional leased space to us.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17 other offices around the world for our employees, including in Tysons, Virginia; Houston, Texas; New York City, New York; Atlanta, Georgia; Chicago, Illinois; Huntsville, Alabama; Boston, Massachusetts; Minneapolis, Minnesota; London, UK; Sydney, Australia; Paris, France; Bengaluru, India; Singapore, Amsterdam, Netherlands; Rome, Italy; Guadalajara, Mexico; and Munich, Germany.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legal proceedings relating to claims arising from the ordinary course of business. Except as disclosed in </w:t>
      </w:r>
      <w:r>
        <w:rPr>
          <w:rFonts w:ascii="Times New Roman" w:cs="Times New Roman" w:eastAsia="Times New Roman" w:hAnsi="Times New Roman"/>
          <w:sz w:val="18"/>
          <w:szCs w:val="18"/>
          <w:i w:val="1"/>
          <w:iCs w:val="1"/>
          <w:color w:val="auto"/>
        </w:rPr>
        <w:t xml:space="preserve">Note 7. Commitments and Contingencies - Legal Proceedings </w:t>
      </w:r>
      <w:r>
        <w:rPr>
          <w:rFonts w:ascii="Times New Roman" w:cs="Times New Roman" w:eastAsia="Times New Roman" w:hAnsi="Times New Roman"/>
          <w:sz w:val="18"/>
          <w:szCs w:val="18"/>
          <w:color w:val="auto"/>
        </w:rPr>
        <w:t>in our consolidated financial statements included elsewhere in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 the Company is not presently a party to any other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ISSUERS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Class A common stock is traded on The New York Stock Exchange, or NYSE, under the symbol “AI.” The shares of Class A common stock and Class B common stock are identical, except with respect to voting, conversion, and transfer rights. Each share of Class A common stock is entitled to one vote. Each share of Class B common stock is entitled to 50 votes. Class A and Class B common stock have a par value of $0.001 per share and are referred to as common stock throughout this Annual Report on Form 10-K, unless otherwise noted. Holders of common stock are entitled to receive any dividends as may be declared from time to time by the board of directors.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Shares of Class B common stock may be converted to Class A common stock at any time at the option of the stockholder. Each share of Class B common stock will be automatically converted into one share of Class A common stock upon the earliest of the following: (i) the date that is six months following the death or incapacity of Mr. Siebel; (ii) the date that is six months following the date that Mr. Siebel is no longer providing services to the Company as an officer, employee, director, or consultant; (iii) December 11, 2040, which is the twentieth anniversary of the completion of the initial public offering, or IPO; or (iv) the date specified by the holders of a majority of the then outstanding shares of Class B common stock, voting as a separate class. Future transfers by holders of Class B common stock will generally result in those shares converting to Class A common stock. Refer to </w:t>
      </w:r>
      <w:r>
        <w:rPr>
          <w:rFonts w:ascii="Times New Roman" w:cs="Times New Roman" w:eastAsia="Times New Roman" w:hAnsi="Times New Roman"/>
          <w:sz w:val="18"/>
          <w:szCs w:val="18"/>
          <w:i w:val="1"/>
          <w:iCs w:val="1"/>
          <w:color w:val="auto"/>
        </w:rPr>
        <w:t>Note 8.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in the Notes to Consolidated Financial Statements included in</w:t>
      </w:r>
      <w:r>
        <w:rPr>
          <w:rFonts w:ascii="Times New Roman" w:cs="Times New Roman" w:eastAsia="Times New Roman" w:hAnsi="Times New Roman"/>
          <w:sz w:val="18"/>
          <w:szCs w:val="18"/>
          <w:i w:val="1"/>
          <w:iCs w:val="1"/>
          <w:color w:val="auto"/>
        </w:rPr>
        <w:t xml:space="preserve"> Part II, Item 8, “Financial Statements and Supplementary Data”</w:t>
      </w:r>
      <w:r>
        <w:rPr>
          <w:rFonts w:ascii="Times New Roman" w:cs="Times New Roman" w:eastAsia="Times New Roman" w:hAnsi="Times New Roman"/>
          <w:sz w:val="18"/>
          <w:szCs w:val="18"/>
          <w:color w:val="auto"/>
        </w:rPr>
        <w:t>, of this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discussion of our conversion of Class B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12, 2024, there were 123 stockholders of record of our Class A common stock. Because many of our shares of Class A common stock are held by brokers and other institutions on behalf of stockholders, we are unable to estimate the total number of stockholders represented by these record 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Exchange Commission (“SEC”) for purposes of Section 18 of the Securities Exchange Act of 1934, as amended (“Exchange Act”), or otherwise subject to the liabilities under that Section, and shall not be deemed to be incorporated by reference into any of our filings under the Securities Act or the Exchange Act.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our Class A common stock since December 9, 2020 (the date our Class A common stock commenced trading on the NYSE) relative to the cumulative total returns of the S&amp;P 500 Index and the S&amp;P 500 Information Technology Index over the same period. An investment of $100 (with reinvestment of all dividends) is assumed to have been made in our Class A common stock and in each index at the market close on December 9, 2020, and its relative performance is tracked through April 30, 2024. The initial public offering price of our Class A common stock, which had a closing stock price of $92.49 on December 9, 2020, was $42.00 per share.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returns shown are based on historical results and are not intended to suggest future performance.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911225</wp:posOffset>
            </wp:positionV>
            <wp:extent cx="5657850" cy="3454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relating to the repurchases of our Class A common stock made by us in the three months ended April 30, 2024 (in thousands, except for share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Average Price Paid</w:t>
            </w:r>
          </w:p>
        </w:tc>
      </w:tr>
      <w:tr>
        <w:trPr>
          <w:trHeight w:val="196"/>
        </w:trPr>
        <w:tc>
          <w:tcPr>
            <w:tcW w:w="784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7"/>
                <w:szCs w:val="17"/>
                <w:color w:val="auto"/>
              </w:rPr>
            </w:pPr>
          </w:p>
        </w:tc>
        <w:tc>
          <w:tcPr>
            <w:tcW w:w="13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 February 28,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 March 31, 2024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2024</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0"/>
        </w:trPr>
        <w:tc>
          <w:tcPr>
            <w:tcW w:w="7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40" w:hanging="332"/>
        <w:spacing w:after="0" w:line="302" w:lineRule="auto"/>
        <w:tabs>
          <w:tab w:leader="none" w:pos="39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unvested Class A common stock that were repurchased by us from former employees upon termination of employment in accordance with the terms of the employees’ stock option agreements. We purchased the shares from the former employees at the respective original exercise prices.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“Risk Factors” under Part I, Item 1A in this Annual Report on Form 10-K for a discussion of important factors that could cause our actual results to differ materially from those anticipated in these forward-looking statements. Unless the context otherwise requires, all references in this report to “C3.ai,” “C3 AI,” the “Company”, “we,” “our,” “us,” or similar terms refer to C3.ai, Inc. and its subsidiaries.</w:t>
      </w:r>
    </w:p>
    <w:p>
      <w:pPr>
        <w:spacing w:after="0" w:line="13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references to particular years, quarters, months or periods refer to our fiscal years ended April 30 and the associated quarters, months and periods of those fiscal years.</w:t>
      </w:r>
    </w:p>
    <w:p>
      <w:pPr>
        <w:spacing w:after="0" w:line="104" w:lineRule="exact"/>
        <w:rPr>
          <w:sz w:val="20"/>
          <w:szCs w:val="20"/>
          <w:color w:val="auto"/>
        </w:rPr>
      </w:pPr>
    </w:p>
    <w:p>
      <w:pPr>
        <w:jc w:val="both"/>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 discussion regarding our financial condition and results of operations for the fiscal year ended April 30, 2024 compared to the fiscal year ended April 30, 2023 is presented below. A discussion regarding our financial condition and results of operations for the fiscal year ended April 30, 2023 compared to the fiscal year ended April 30, 2022 can be found in “Management’s Discussion and Analysis of Financial Condition and Results of Operations” in Part II, Item 7 of our </w:t>
      </w:r>
      <w:hyperlink r:id="rId78">
        <w:r>
          <w:rPr>
            <w:rFonts w:ascii="Times New Roman" w:cs="Times New Roman" w:eastAsia="Times New Roman" w:hAnsi="Times New Roman"/>
            <w:sz w:val="18"/>
            <w:szCs w:val="18"/>
            <w:i w:val="1"/>
            <w:iCs w:val="1"/>
            <w:u w:val="single" w:color="auto"/>
            <w:color w:val="0000FF"/>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fiscal year ended April 30, 2023, filed with the Securities and Exchange Commission, or SEC, on June 22,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C3 AI is an Enterprise AI application software company.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a family of software applications that enable our customers to rapidly develop, deploy, and operate large-scale Enterprise AI applications. Customers can deploy C3 AI solutions on major public cloud infrastructures, private cloud or hybrid environments, or directly on their servers and processors. We provide three primary families of software solutions, which we collectively refer to as our C3 AI software:</w:t>
      </w:r>
    </w:p>
    <w:p>
      <w:pPr>
        <w:spacing w:after="0" w:line="120" w:lineRule="exact"/>
        <w:rPr>
          <w:sz w:val="20"/>
          <w:szCs w:val="20"/>
          <w:color w:val="auto"/>
        </w:rPr>
      </w:pPr>
    </w:p>
    <w:p>
      <w:pPr>
        <w:ind w:left="660" w:hanging="328"/>
        <w:spacing w:after="0" w:line="28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C3 AI Platform, </w:t>
      </w:r>
      <w:r>
        <w:rPr>
          <w:rFonts w:ascii="Times New Roman" w:cs="Times New Roman" w:eastAsia="Times New Roman" w:hAnsi="Times New Roman"/>
          <w:sz w:val="18"/>
          <w:szCs w:val="18"/>
          <w:color w:val="auto"/>
        </w:rPr>
        <w:t>our core technology, is a comprehensive, end-to-end application development and runtime environment that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 our customers to rapidly design, develop, and deploy Enterprise AI applications.</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Applications, </w:t>
      </w:r>
      <w:r>
        <w:rPr>
          <w:rFonts w:ascii="Times New Roman" w:cs="Times New Roman" w:eastAsia="Times New Roman" w:hAnsi="Times New Roman"/>
          <w:sz w:val="18"/>
          <w:szCs w:val="18"/>
          <w:color w:val="auto"/>
        </w:rPr>
        <w:t>built using the C3 AI Platform, is a portfolio of pre-built, extensible, industry-specific and application-specific Enterprise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that can be rapidly installed and deployed.</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Generative AI, </w:t>
      </w:r>
      <w:r>
        <w:rPr>
          <w:rFonts w:ascii="Times New Roman" w:cs="Times New Roman" w:eastAsia="Times New Roman" w:hAnsi="Times New Roman"/>
          <w:sz w:val="18"/>
          <w:szCs w:val="18"/>
          <w:color w:val="auto"/>
        </w:rPr>
        <w:t>combines the utility of large language models, or LLMs, generative AI, reinforcement learning, natural language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C3 AI Platform to rapidly locate, retrieve, and present information, disparate data stores, applications, and enterprise information systems.</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solutions, and our patented model-driven architecture, enable organizations to simplify and accelerate Enterprise AI application development, deployment, and administration. We significantly reduce the effort and complexity of the AI software engineering problem.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Evolution of C3 AI</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Like many of the world’s leading technology companies, C3 AI has changed and expanded its branding and product portfolios to achieve market leadership.</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of 2009, we founded C3, Inc with the purpose of developing and marketing a software platform and family of software products that would enable companies to exploit the power of elastic cloud computing, big data, IoT, and predictive analytics.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When we founded C3 AI, we believed the market for elastic cloud computing, IoT, big data, and predictive analytics software was destined to be large. That proved true. However, in 2009 the market was nascent, and the specific applications and markets were unknown. Based on Forrester’s report on the Public Cloud Market Outlook, in 2008, the global public cloud market was less than $20 billion; in 2023, it was expected to approach $500 billion. In 2008, there were less than 1 billion IoT devices worldwide;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2023, that number was expected to exceed 55 billion based on the IDC report. In 2008, AI software - as we think about it today - did not exist. This year the AI software market is expected to exceed $450 billion based on the IDC report. We believe that by any standard that constitutes explosive growth.</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When we consider mega-market developments like the internet, the smartphone, and AI, it is impossible to anticipate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xml:space="preserve"> exactly how these markets will develop. With the advent of the Mosaic internet browser in 1993, who could have anticipated Amazon and Google? With the founding of Apple Computer Company in 1976, who could have anticipated the iPhone? The Apple Store? Apple TV? iTunes? These mega-markets develop in unanticipated ways.</w:t>
      </w:r>
    </w:p>
    <w:p>
      <w:pPr>
        <w:spacing w:after="0" w:line="1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Enterprise AI is a mega-market event. As this market has developed, C3 AI has done a fine job of continually expanding its market offerings and continually expanding its market position to address the ever-expanding opportunity.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2009 - 2012</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founded C3 in January of 2009 and developed some of the core components of what is now the C3 AI Platform within the first year. There was much discussion and interest in the 2008 – 2011 timeframe about what we now consider sustainability initiatives, including clean tech, energy management, LEED certification, and cap and trade vs. carbon offsets; and as a result, we decided to focus our first use case on energy management. That proved to be a good decision.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2010 we released our first product, C3 Energy Management.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2010 – 2012, we closed several large agreements with a large global industrial company, one of the world’s largest chemical companies, two large utilities, and one of the world’s largest high-tech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Energy: 2013-2015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2012, C3 engaged McKinsey &amp; Co. to conduct a study and make recommendations for maximizing growth including optimal company positioning and an associated pricing and product strategy. In the first two decades of the 21st century, utility companies were in the process of spending $2 trillion globally to upgrade their grid infrastructures with IoT devices, enabling the advent of the smart grid. Utilities were early adopters of IoT.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McKinsey analysis recommended that there was a significant opportunity for C3 to expand its business by applying its energy management and energy efficiency solutions to utilities at grid scale in addition to selling to enterprises.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Adopting the McKinsey recommendations, C3 expanded its market position, rebranded as C3 Energy, and in addition to its prior solutions, C3 Energy offered a family of predictive analytics solutions - which were reliant on emerging AI techniques including machine learning, supervised learning, and unsupervised learning. Built to address the utility value chains of power generation, transmission, distribution, and consumption, these solutions optimize the operation of large and complex power grid infrastructures. The C3 Energy utility software products expanded to include C3 AMI Operations, C3 Revenue Protection, C3 Predictive Analytics, C3 Revenue Production, and C3 Reliability.</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customers also licensed our core C3 Platform that they could use to develop their own predictive analytics application and/or to develop derivative works of the C3 Energy applications.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was during this period that the company formed its data science division to develop and apply AI techniques to our applications including machine learning, predictive analytics, supervised learning, and unsupervised learning.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this period, the company began to offer its products to the oil and gas industry including its AI Predictive Maintenance application for oil pumps, offshore oil rigs, LNG production facilities, etc. The company continued to offer its products for energy management and energy efficiency to utility companies based on per customer pricing and to enterprises based on expected value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3" w:lineRule="exact"/>
        <w:rPr>
          <w:sz w:val="20"/>
          <w:szCs w:val="20"/>
          <w:color w:val="auto"/>
        </w:rPr>
      </w:pPr>
    </w:p>
    <w:p>
      <w:pPr>
        <w:ind w:left="120" w:hanging="112"/>
        <w:spacing w:after="0"/>
        <w:tabs>
          <w:tab w:leader="none" w:pos="1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https://www.statista.com/statistics/764026/number-of-iot-devices-in-use-worldwide/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This expansion into energy markets proved successful as the company booked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approximately $83 million in contracts and recognized $63.9 million in revenue during this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IoT: 2016 – 2018</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2016, we were seeing significant expansion in the cloud computing market and the proliferation of IoT sensors was expanding dramatically across many industries. We were increasingly approached by manufacturing companies, financial services companies, oil and gas companies, and the U.S. Department of Defense to deploy the same types of AI applications that we had successfully deployed in enterprises and utilities including AI Predictive Maintenance, AI Fraud Detection, AI Inventory Optimization, and C3 Energy Management.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that time, the common expression for these types of applications was “IoT,” and we appropriately rebranded the company as C3 IoT to communicate to the market that we were again expanding our market offerings from primarily one vertical market (energy) to a broadening range of markets.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this increased demand, the company tailored its core applications to meet the needs of those industries. As such, in addition to the C3 Platform, we offered market-specific versions of all our applications including AI Predictive Maintenance, AI Inventory Optimization, and AI Energy Management for the utility, oil and gas, defense, and financial services industries. In addition, the company introduced the concept of 4-to-16-week product trials as part of the sales process.</w:t>
      </w:r>
    </w:p>
    <w:p>
      <w:pPr>
        <w:spacing w:after="0" w:line="1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This market and product line expansion again proved successful as the company booked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approximately $203 million in contracts and recognized $120.4 million in revenue from 2016 – 2018.</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2019 – Present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market for cloud computing, big data, IoT, and predictive analytics continued to expand, the market perception of IoT - as expressed in the literature, technical conferences, the academy, and in customer expectations - changed. While IoT had previously been considered at the confluence of sensor devices and AI applications, it was clear that IoT was becoming a concept increasingly centered on the devices - the IoT sensors themselves - with the AI applications considered a separate category. As this developed, the C3 IoT brand became confusing to the market, as many customers had the impression that the company was primarily in the business of manufacturing IoT sensors and devices.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eliminate this market confusion, we rebranded the company C3 AI, clearly communicating that we were in the computer software business.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products and services that the company offered since its inception, C3 AI again expanded its product offerings that now include over 90 AI production applications for the utility, oil &amp; gas, state and local governments, financial services, manufacturing, health, and communications industries, and U.S. defense and intelligence sectors. Across industries, we introduced a number of AI application products that serve all vertical markets including C3 AI Ex Machina to address the needs of the growing citizen data science market, C3 AI CRM, C3 AI Data Vision, C3 AI ESG, and C3 Generative AI.</w:t>
      </w:r>
    </w:p>
    <w:p>
      <w:pPr>
        <w:spacing w:after="0" w:line="1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Again, this market expansion proved successful, enabling C3 AI to book</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over $1.4 billion in additional contracts and recognize $1.3 billion in revenue from 2019 – 2024.</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C3 AI was well ahead of its time in predicting the scale of the opportunity in enterprise AI applications. We began when the market was nascent, and as the market has developed and expanded, we have expanded our branding and our market offerings to meet market expectations.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Generate Revenue</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generate revenue primarily from the sale of subscriptions, which accounted for 90%, 86% and 82% of our total revenue in the fiscal years ended April 30, 2024, 2023 and 2022, respectively. Our cloud-native software offerings allow us to manage, update, and monitor the software regardless of whether the software is deployed in our public cloud environment, in our customers’ self-managed private or public cloud environments, or in a hybrid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714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20" w:hanging="112"/>
        <w:spacing w:after="0"/>
        <w:tabs>
          <w:tab w:leader="none" w:pos="1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primarily recognize revenue from subscriptions on a ratable basis over the contract term or on a usage basis for consumption-based arrangements. In addition, customers typically pay a usage-based runtime fee for production use of our C3 AI Software for specified levels of capacity. We also recognize revenue upon delivery to the customer for software licenses that do not require maintenance and support services. Customers who choose to run the software in our cloud environment pay the hosting costs charged by our cloud providers. In the first quarter of fiscal year 2023, we announced a consumption-based pricing model, beginning with a pilot phase which may include access to the C3 AI Platform, one C3 AI Application or C3 Generative AI, and C3 AI Center of Excellence, or COE, support services. Following the pilot period, customers either pay a monthly fee and consumption charges using vCPU and vGPU hours as the metric to calculate payment or enter into a time-certain multi-period commitment that may include consumption charges. Our subscriptions also include our maintenance and support services. Additionally, we offer premium stand-ready support services through our C3 AI COE which is included as part of the subscription when purchased.</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generate revenue from professional services, which primarily include implementation services, training and prioritized engineering services. Professional services revenue represented 10%, 14% and 18% of our total revenue for the fiscal years ended April 30, 2024, 2023 and 2022, respectively. Our professional services are provided both onsite and remotely, and can include training, application design, project management, system design, data modeling, data integration, application design, development support, data science, and application and C3 AI Software administration support. Professional services fees are based on the level of effort required to perform the specified tasks and the services are typically provided under a fixed-fee engagement with defined deliverables and a duration of less than 12 months. We recognize revenue from our professional services over the period of delivery as services are performed.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revenue was $310.6 million for the fiscal year ended April 30, 2024, representing a 16% increase compared to the prior fiscal year. Our subscription revenue grew to $278.1 million for the fiscal year ended April 30, 2024, representing a 21% increase compared to the prior fiscal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Consumption-based Pricing Transition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transition from a primarily subscription-based pricing model to a consumption-based pricing model brought us in line with industry-standard cloud software pricing standards, making it easier and less costly for new customers to initially acquire our solutions and then increase their spending if their usage and adoption increased. We anticipated and announced that this transition would have a short-to-medium term negative effect upon revenue growth, as the average sales price was significantly reduced and the contracts often lacked a time-certain multi-period commitment. We are still in the process of working through the transition to the new pricing model.</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shown below, revenue growth initially decreased and then increased as the consumption-based pricing model went into effect. Average selling price, or ASP, and RPO have generally decreased. Customer Engagement has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July 31, 2022</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October 31,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January 31,</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April 30,</w:t>
            </w: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July 31, 2023</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October 31,</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January 31,</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April 30, 2024</w:t>
            </w: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 (in thousands)</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$65,308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$62,408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$66,669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$72,410</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$72,362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$73,229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$78,401</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$86,590</w:t>
            </w:r>
          </w:p>
        </w:tc>
        <w:tc>
          <w:tcPr>
            <w:tcW w:w="0" w:type="dxa"/>
            <w:vAlign w:val="bottom"/>
          </w:tcPr>
          <w:p>
            <w:pPr>
              <w:spacing w:after="0"/>
              <w:rPr>
                <w:sz w:val="1"/>
                <w:szCs w:val="1"/>
                <w:color w:val="auto"/>
              </w:rPr>
            </w:pPr>
          </w:p>
        </w:tc>
      </w:tr>
      <w:tr>
        <w:trPr>
          <w:trHeight w:val="243"/>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growth year-over-year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selling price (in</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thousands)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$1,426</w:t>
            </w: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$825</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$1,899</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$755</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$665</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Engagement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223</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223</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growth year-over-year</w:t>
            </w: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57"/>
        </w:trPr>
        <w:tc>
          <w:tcPr>
            <w:tcW w:w="2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RPO (in thousands)</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$458,209</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$417,320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$403,159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$381,437</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$334,560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$303,552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$286,867</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$244,304</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growth year-over-year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41%</w:t>
            </w:r>
          </w:p>
        </w:tc>
        <w:tc>
          <w:tcPr>
            <w:tcW w:w="0" w:type="dxa"/>
            <w:vAlign w:val="bottom"/>
          </w:tcPr>
          <w:p>
            <w:pPr>
              <w:spacing w:after="0"/>
              <w:rPr>
                <w:sz w:val="1"/>
                <w:szCs w:val="1"/>
                <w:color w:val="auto"/>
              </w:rPr>
            </w:pPr>
          </w:p>
        </w:tc>
      </w:tr>
      <w:tr>
        <w:trPr>
          <w:trHeight w:val="27"/>
        </w:trPr>
        <w:tc>
          <w:tcPr>
            <w:tcW w:w="26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it relates to our legacy subscription-based pricing agreements, we monitor remaining performance obligations, or RPO. RPO is not necessarily indicative of future revenue growth because it is not applicable to pay-as-you go consumption pricing agreements. Moreover, RPO is influenced by several factors, including the timing of renewals, the timing of purchases of additional capacity, average contract terms, and seasonality. Due to these factors, it is important to review RPO in conjunction with revenue and other financial metrics disclosed elsewhere in this Annual Report on Form 10-K. RPO was $244.3 million and $381.4 million as of April 30, 2024 and 2023, respectively.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RPO represents the amount of our contracted future revenue that has not yet been recognized, including both deferred revenue and non-cancellable contracted amounts that will be invoiced and recognized as revenue in future periods. Our RPO as of April 30, 2024 is comprised of $39.0 million related to deferred revenue and $205.3 million of commitments from non-cancellable contracts. Our RPO as of April 30, 2023 is comprised of $47.9 million related to deferred revenue and $333.5 million of commitments from non-cancellable contracts.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RPO excludes amounts related to monthly usage-based runtime and hosting charges.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continue our transition to consumption-based pricing model, and lower ASP subscription contracts, we expect RPO to decline.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Go-to-Market Strategy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go-to-market strategy has been historically focused on large organizations recognized as leaders in their respective industries or public sectors that are attempting to solve complicated business problems by digitally transforming their operations. These large organizations, or lighthouse customers, include companies and public agencies within the oil and gas, power and utilities, aerospace and defense, industrial products, life sciences, and financial services industries, among others. This has resulted in C3 AI powering some of the largest and most complex Enterprise AI applications. These lighthouse customers serve as proof points for other potential customers in their respective industries. As a result, we have a customer base of a relatively small number of large organizations that generate high average total subscription contract value, but we expect that, over time, as more customers adopt our technology based on the proof points provided by these lighthouse customers, the revenue represented by these lighthouse customers will decrease as a percentage of total revenue. As our C3 AI Platform and much of our other C3 AI Software are industry agnostic, we also expect to expand into other industries.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fiscal year 2023, we announced a change to our go-to-market strategy including a way for new customers to subscribe for our products at smaller initial contract sizes and pay for services based on their monthly consumption of vCPU and vGPU hours. Customers generally begin with a one to two-quarter-long pilot which includes the necessary resources required to deploy the C3 AI Platform and/or C3 AI Applications and receive necessary training to operate and maintain the software in production use. Following the pilot period, customers either pay a monthly fee and consumption charges using vCPU and vGPU hours utilized as the metric to calculate payment or enter into a time-certain multi-period commitment that may include consumption charges.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Acquiring new customers and expanding our business with our existing customers is the purpose of our go-to-market effort and drives our growth. Making new and existing customers successful is critical to our long-term success. After we help our customers solve their initial use cases, they frequently identify incremental opportunities within their operations and expand their use of our products. The increased engagement is measured by a combination of increased vCPU/vGPU usage, increased C3 AI Software subscriptions and subscriptions to the C3 AI Platform for in-house AI application development.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size and sophistication of our customers’ businesses demonstrate the flexibility, speed, and scale of our products, and maximize the potential value to our customers. To be a credible partner to our customers, who often are industry leaders, we deploy an experienced and highly educated team of C3 AI personnel and partners. We also complement and supplement our sales force with a number of go-to-market partners.</w:t>
      </w:r>
    </w:p>
    <w:p>
      <w:pPr>
        <w:spacing w:after="0" w:line="120" w:lineRule="exact"/>
        <w:rPr>
          <w:sz w:val="20"/>
          <w:szCs w:val="20"/>
          <w:color w:val="auto"/>
        </w:rPr>
      </w:pPr>
    </w:p>
    <w:p>
      <w:pPr>
        <w:ind w:left="660" w:hanging="328"/>
        <w:spacing w:after="0" w:line="28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Partners. </w:t>
      </w:r>
      <w:r>
        <w:rPr>
          <w:rFonts w:ascii="Times New Roman" w:cs="Times New Roman" w:eastAsia="Times New Roman" w:hAnsi="Times New Roman"/>
          <w:sz w:val="18"/>
          <w:szCs w:val="18"/>
          <w:color w:val="auto"/>
        </w:rPr>
        <w:t>We have developed an alliance program to partner with recognized leaders in their respective industries, such as Baker Hughes,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Booz Allen, to develop, market, and sell solutions that are natively built on or tightly integrated with the C3 AI Platform.</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Hyperscale Cloud and Infrastructure. </w:t>
      </w:r>
      <w:r>
        <w:rPr>
          <w:rFonts w:ascii="Times New Roman" w:cs="Times New Roman" w:eastAsia="Times New Roman" w:hAnsi="Times New Roman"/>
          <w:sz w:val="18"/>
          <w:szCs w:val="18"/>
          <w:color w:val="auto"/>
        </w:rPr>
        <w:t>We have formed global strategic go-to-market alliances with hyperscale cloud providers including Amazon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 Services, or AWS, Microsoft Azure, and Google Cloud Platform, or GCP. In addition, we have strategic alliances with leading hardware infrastructure providers to deliver our software optimized for their technology. These partners include Hewlett Packard Enterprise and Intel. These partners supply infrastructure solutions, data management and processing services, or hardware and networking devices (e.g., IoT gateways) to support C3 AI product implementations and complement C3 AI’s products.</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Consulting and Services Partners. </w:t>
      </w:r>
      <w:r>
        <w:rPr>
          <w:rFonts w:ascii="Times New Roman" w:cs="Times New Roman" w:eastAsia="Times New Roman" w:hAnsi="Times New Roman"/>
          <w:sz w:val="18"/>
          <w:szCs w:val="18"/>
          <w:color w:val="auto"/>
        </w:rPr>
        <w:t>We partner with a number of systems integrators specializing in Enterprise AI implementations.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Software Vendors. </w:t>
      </w:r>
      <w:r>
        <w:rPr>
          <w:rFonts w:ascii="Times New Roman" w:cs="Times New Roman" w:eastAsia="Times New Roman" w:hAnsi="Times New Roman"/>
          <w:sz w:val="18"/>
          <w:szCs w:val="18"/>
          <w:color w:val="auto"/>
        </w:rPr>
        <w:t>We partner with Independent Software Vendors who develop, market, and sell application solutions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natively built on or tightly integrated with the C3 AI Platform.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Engagement and Product Adoption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 Customer-Entity as each entity that is the ultimate parent of a party contracting with us. We commonly enter into enterprise-wide agreements with Customer-Entities that include multiple operating units or divisions. Our customer composition is diverse and includes various customer segments with discrete purchasing decisions and pricing models. We offer a wide range of products and services, which results in a complex sales tapestry.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course of our history, we have continued to innovate our product offerings, expand our market reach, and evolve our business model to better serve the needs and use cases of our ever-growing customers. Today, our relationships with customers take a myriad of different forms, ranging from free trials of C3 Generative AI on the AWS and GCP Marketplaces, $25 licenses of C3 AI Ex Machina to individual data scientists, to enterprise-level limited time trials and pilots, to multi-million-dollar long-term enterprise-wide agreements for C3 AI Applications and/or the C3 AI Platform. The number of individual departments and divisions within our customer base using our applications and/or applications they have built on our platform continues to expand. The move to our new consumption-based pricing model, while being the right model for our business evolution, adds yet another permutation to our customer relations. While the bulk of our new business volume consists of pilots followed by consumption-based pricing or time-certain multi-period commitments that may include consumption-based pricing, we continue to employ our historic pricing models in certain circumstances, including the expansion of existing agreements and renewals. We also have reseller relationships that sell our solutions to their end customers.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this may seem inordinately complex, it is in fact appropriately complex. Our flexibility in customer arrangements speaks to our agility in working with our customers and providing value-add products and solutions through those contractual agreements and pricing arrangements most convenient to our customers, while also enabling profitability and growth for C3 AI.</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time, we have done our best to provide a quarterly customer count as a proxy to highlight the adoption and acceptance of our products and services by customers.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being said, there is so much variety in the C3 AI sales tapestry, the types of customers, the broad range of products and solutions, the disparity in contract terms, our relations with resellers, and the range of prices that, to add them together into numbers that are meaningful to compare from one quarter to the next does not fully articulate the depth and breadth of the use cases and the value-add our products and solutions provide.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us better articulate the growth in our customer base and use cases, we retained external consultants during the fiscal year ended April 30, 2023 to recommend a best-practice customer count methodology that is consistent and relies on system data and is reproducible. As a result of that review, we previously decided to change our definition to better reflect the number and level of activity of our customers, which we now define as Customer Engagement:</w:t>
      </w:r>
    </w:p>
    <w:p>
      <w:pPr>
        <w:spacing w:after="0" w:line="126" w:lineRule="exact"/>
        <w:rPr>
          <w:sz w:val="20"/>
          <w:szCs w:val="20"/>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products and services including paid trials, one-time, subscription, and professional service offerings, we count unique contacting customers by SKU that generate revenue in a given period (i.e., if a contracting customer generates revenue across four SKUs in a period, that would be counted as four Customer Engagements).</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products that are priced based on unique assets to which the customer is applying our solutions, we count distinct production applications by customer asset for which the product is used.</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resellers and federal customers, we count the number of reseller end customers and the number of federal departments utilizing our solutions.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best estimate of Customer Engagement was 487 and 287 as of April 30, 2024 and 2023,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Pilot and trial count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Historically, our go to market strategy has focused on enterprise-wide, multi-period, large-value subscription contracts that entailed a long sales cycle, considerable sales effort and protracted negotiations. Our transition to a consumption-based pricing model for new customers helps us to better meet the needs of customers and align us with the model that is becoming common for enterprise software companies.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transition to a consumption-based pricing model is designed to increase the number of customers and accelerate growth by making it easier and less costly to adopt C3 AI solutions.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consumption-based pricing model begins with a paid “Pilot” phase of up-to six months that may include developer access to the C3 AI Platform, one C3 AI Application or C3 Generative AI and COE support services. Trials are limited period agreements where a defined business problem or use case is addressed with C3 AI software and the customer is presented with the resulting insights and a working application showcasing the utility, benefit and economic value to be gained from a production deployment. Following the pilot and trial periods, customers either pay a monthly fee and consumption charges using vCPU and vGPU hours as the metric to calculate payment or enter into a time-certain multi-period commitment that may include consumption charges.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the Pilot and trial count as a key business metric, as it reflects trends in market penetration and customer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count an agreement as a pilot or trial when an agreement meeting the characteristics of a pilot or trial as described above is executed with the customer.</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we announced the transition to consumption-based pricing model, we have executed 123 and 49 pilots and trials in fiscal year 2024 and 2023,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and financial performance depend on a number of factors that present significant opportunities for our business but also pose risks and challenges, including those discussed below and in the section of this Annual Report on Form 10-K in Part I, Item 1A titled “Risk Factors”, that we must successfully address to sustain our growth, improve our results of operations, and establish and maintain profitability.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Retention, and Expansion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continuing to grow our customer base, retaining existing customers and expanding customers’ usage of our C3 AI Software by addressing new use cases across multiple departments and divisions, adding users, and developing and deploying additional applications. All of these factors increase the adoption and relevance of our C3 AI Software to our customers’ business and, as an outcome, increases their runtime usage.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built a high-performance, customer-focused culture and have implemented proactive programs and processes designed to drive customer success. These include a robust customer support and success function. For example, as part of our subscription offerings, we provide our customers with the ability to establish a COE utilizing our experienced and specialized resources in key technical areas like application development, data integration, and data science to accelerate and ensure our customers’ success developing applications on our C3 AI Platform. We closely monitor the health and status of every customer account through multiple activities, including real-time monitoring, daily and weekly reports to management, as well as quarterly reviews with our customers.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attract new customers across multiple industries where we have limited meaningful presence today, yet represent very large market opportunities such as telecommunications, pharmaceuticals, state and local government, smart cities, transportation, and healthcare, among others.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had a relatively small number of customers with large total subscription contract values. As a result, revenue growth can vary significantly based on the timing of customer acquisition, changes in product mix, and contract durations, renewals, or terminations. We expect the number of customers to increase compared to prior fiscal years as organizations address the importance of digital transformation. The average total subscription contract value as well as the revenue represented by our lighthouse customers as a percentage of total revenue is decreasing and we expect them to continue to decrease as we have restructured our sales organization and expanded our market-partner ecosystem to effectively address small, medium, and large enterprise sales opportunities.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Going forward, we expect we will attract new customers who prefer to subscribe to the C3 AI Platform and C3 AI Applications with our consumption-based pricing model. For further discussion, see the section titled “Overview - Go-to-Market Strategy” included in Part II, Item 7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 Generative AI</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generative AI positions us as leaders in the enterprise AI space. It allows us to offer innovative solutions, improve operational efficiency for our customers, and address a broader market with our Enterprise AI applications. As the AI landscape continues to evolve, staying at the forefront of generative AI technologies is crucial for us for sustained growth and relevance in the industry.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year 2024, we announced the launch of the C3 Generative AI Suite including 28 new domain-specific generative AI offerings available to address the unique needs of industries, business processes, and enterprise systems. These new offerings combined C3 AI’s deep enterprise domain and industry expertise with the latest innovations in generative AI.</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fiscal year 2024, we announced the AWS Marketplace listing of our no-code, self-service generative AI application in AWS Marketplace. C3 Generative AI: Marketplace Edition offers a simple self-service setup that allows users to begin asking questions about their data in minutes. This new application is designed with an intuitive search and chat interface that allows users of all levels to easily and quickly find information with high precision, perform data analysis, and discover insights from documents and data.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fiscal year 2024, we announced the C3 Generative AI: Standard Edition, our no-code, self-service generative AI application on GCP Marketplace supporting Google’s newest and most advanced LLM, Gemini. With a simple, self-service, no-code onboarding flow that takes minutes to complete, C3 Generative AI: Standard Edition allows users to easily access insights from documents and unstructured files across their enterprise.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invest heavily in generative AI to leverage these advanced technologies to enhance our existing offerings and create innovative solutions that cater to the evolving needs of the enterprise AI market.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Innovation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invest in our research and development capabilities to extend our C3 AI Software, to expand within existing accounts, and to gain new customers. Our investments in research and development drive core technology innovation and bring new products to market. Our model-driven architecture enables us and our customers to rapidly address new use cases by building new applications and extending and enhancing the features and functionality of current C3 AI Software. By investing to make it easier to develop applications on our C3 AI Platform, our customers have become active developers. With our support, our customers have developed and deployed almost two-thirds of the applications currently in production and running on the C3 AI Platform. Research and development spending has fueled enhancements to our existing C3 AI Platform.</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introduce new applications which address new industry use cases, and new features and functionality for the C3 AI Software. As our business scales over a longer-term horizon, we anticipate research and development spend as a percent of total revenue to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Awareness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are in the early stages of a large and expanding market for AI enabled digital transformation. As a result, we intend to continue to invest in brand awareness, market education, strategic paid media, and thought leadership, particularly as it relates to generative AI. We engage the market through digital, radio, outdoor, airport, and print advertising; virtual and physical events, including our C3 Transform annual user conference; and C3 AI Live, a series of livestreamed events featuring C3 AI customers, C3 AI partners, and C3 AI experts in AI, Machine Learning, or ML, and data science.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continuing to make significant investments in marketing over the next few years. Over the long term, we expect marketing spend to decline as a percent of total revenue as we make ongoing progress establishing C3 AI’s brand and reputation and as our business scales.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Our Go-to-Market and Partnership Ecosystem</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activities of our field sales organization, our success in attracting new customers will depend on our ability to expand our ecosystem of strategic partners and the number of industry verticals that they serve. Our strategic go-to-market alliances vastly extend our reach globally. Some of our most notable partners include Baker Hughes, AWS, Microsoft, and GCP. Each strategic partner is a leader in its industry, with a substantial installed customer base and extensive marketing, sales, and services resources that we can leverage to engage and serve customers anywhere in the world. Using our C3 AI Platform as the development suite, we leverage our model-driven architecture to efficiently build new cross-industry and industry-specific applications based on identifying requirements across our customer base of industry leaders and through our industry partners. Our strategy with strategic partners is to establish a significant use case and prove the value of our C3 AI Platform, C3 Enterprise AI Applications, and C3 Generative AI with a flagship customer in each industry in which we participate. We have done this with our strategic vertical industry partner in oil and gas, Baker Hughes, as well as with our iconic global customers, some of whom are deploying C3 AI technology to optimize thousands of critical assets globally across their upstream, midstream, and downstream operations. We establish formal sales and marketing plans with each partner, including specific sales goals and dedicated budgets, and we work closely with these partners to identify specific target accounts. We intend to grow the business we do with each partner and to add more partners as we expand the vertical markets we serve. We also offer revenue generating pilots of our applications as part of our customer acquisition strategy.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2019, we entered into a three-year arrangement with Baker Hughes as both a leading customer and as a partner in the oil and gas industry. This arrangement included a subscription to our C3 AI Platform and C3 AI Applications for their own operations (which we refer to below as direct subscription fees), the co-exclusive right for Baker Hughes to resell our offerings worldwide in the oil and gas industry, and the non-exclusive right to resell our offerings in other industries. Under the arrangement, Baker Hughes made minimum, non-cancellable, total revenue commitments to us of $50.0 million, $100.0 million, and $170.0 million, for each of the fiscal years ending April 30, 2020, 2021, and 2022, respectively. Baker Hughes’ revenue commitments were inclusive of their direct subscription fees of $39.5 million per year with the remainder to be generated from the resale of our solutions by the Baker Hughes sales organization. During the fiscal year ended April 30, 2020, we recognized as revenue the full value of the first year of the direct subscription agreement and the value of deals brought in by Baker Hughes through the reseller arrangement. This arrangement was revised in June 2020 to extend the term by an additional two years, for a total of five years, with an expiration date in the fiscal year ending April 30, 2024 and to modify the annual amount of Baker Hughes’ commitments to $53.3 million, $75.0 million, $125.0 million, and $150.0 million, over the fiscal years ending April 30, 2021, 2022, 2023, and 2024, respectively.</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Baker Hughes revised this arrangement in October 2021 to extend the term by an additional year, for a total of six years, with an expiration date in the fiscal year ending April 30, 2025, to modify the amount of Baker Hughes’ annual commitments to $85.0 million in the fiscal year ending April 30, 2023, $110.0 million in the fiscal year ending April 30, 2024, and $125.0 million in the fiscal year ending April 30, 2025, and to revise the structure of the arrangement to simplify the sales process for Baker Hughes. Beginning in the fiscal year ended April 30, 2023 and until the agreements were further revised in January 2023 as described below, Baker Hughes’ annual commitments were reduced by any revenue we generated from certain customers between October 2021 and January 2023. We acknowledged that Baker Hughes had met its minimum annual revenue commitment for the fiscal year ended April 30, 2022 and recognized $16.0 million of sales commission as deferred costs during the fiscal quarter ended October 31, 2021 related to this arrangement, which will be amortized over an expected period of five years.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Baker Hughes further revised and further expanded this arrangement in January 2023. Pursuant to this revised arrangement, the frequency of payments due from Baker Hughes is accelerated, Baker Hughes obtained expanded reseller rights and we will provide additional products and services. This resulted in an increase of $32.5 million in the transaction price by eliminating potential variable consideration attributable to any revenue we generated from certain customers. The amount of consideration may increase if Baker Hughes exceeds certain thresholds. We also provided Baker Hughes the option to extend the subscription term upon payment of a renewal fee.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purchase services from Baker Hughes from time to time to support our end customers in relation to our contracts with those customers. These costs are recorded as cost of subscription revenue in the consolidated statement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international market opportunity for Enterprise AI software is large and growing, and we believe there is a significant opportunity to continue to grow our international customer base. We believe that the demand for our C3 AI Software will continue growing as international awareness of the benefits of digital transformation and Enterprise AI software grows. We plan to continue to make investments to expand geographically by increasing our direct sales team in international markets and supplementing the direct sales effort with strategic partners to significantly expand our reach and market coverage. We derived approximately 14%, 21% and 22% of our total revenue for the fiscal years ended April 30, 2024, 2023 and 2022, respectively, from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financial condition have been, and may continue to be, impacted by adverse macroeconomic conditions and uncertainties, including labor shortages, supply chain disruptions, inflation, higher interest rates, and fluctuations or volatility in capital markets, which are causing customers to optimize consumption, rationalize budgets, and prioritize cash flow management.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evaluate the nature and extent of the impact of general macroeconomic conditions on our business. For further discussion, see the section titled “Risk Factors” included in Part I, Item 1A of this Annual Report on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primarily comprised of software licenses, software-as-a-service offerings, stand-ready COE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pilots and trials of our C3 AI Applications or Generative AI, and hosting charges. Sales of our software licenses grant our customers the right to use our software, either on their own cloud instances or their internal hardware infrastructures, during the contractual term. We also offer a premium stand ready service through our COE. Sales of our software-as-a-service offerings include a right to use our software during the contract term. In addition, customers pay a usage-based runtime fee for our C3 AI Software for specified levels of guaranteed minimum consumption. Our subscriptions also include our maintenance and support services, which include critical and continuous updates to the software that are integral to maintaining the intended utility of the software over the contractual term. Our software subscriptions and maintenance and support services are highly interdependent and interrelated and represent a single distinct performance obligation within the context of the contract. We currently have a small number of customers that license our offerings under a perpetual license model, and we expect that may continue for the foreseeable future for certain customers due to their specific contracting requirements.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Our professional services revenue primarily includes implementation services, training and prioritized engineering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offer a complete range of professional service support both onsite and remotely, including training, application design, project management, system design, data modeling, data integration, application design, development support, data science, and application and C3 AI Software administration support. Professional services fees are based on the level of effort required to perform the specified tasks and are typically a fixed-fee engagement with defined deliverables and a duration of less than 12 months. In certain cases, customers seeking increased utility from their C3 AI Suite or C3 AI Application subscriptions can procure prioritized engineering services to develop and modify software features, which are typically part of our product roadmap, but on an accelerated basis.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Subscription Revenue. </w:t>
      </w:r>
      <w:r>
        <w:rPr>
          <w:rFonts w:ascii="Times New Roman" w:cs="Times New Roman" w:eastAsia="Times New Roman" w:hAnsi="Times New Roman"/>
          <w:sz w:val="18"/>
          <w:szCs w:val="18"/>
          <w:color w:val="auto"/>
        </w:rPr>
        <w:t>Cost of subscription revenue consists primarily of costs related to compensation, including salaries, bonuses, benefits, stock-based compensation and other related expenses for the production environment, support and COE staff, hosting of our C3 AI Software, including payments to outside cloud service providers, and allocated overhead and depreciation for facilities.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Professional Services Revenue. </w:t>
      </w:r>
      <w:r>
        <w:rPr>
          <w:rFonts w:ascii="Times New Roman" w:cs="Times New Roman" w:eastAsia="Times New Roman" w:hAnsi="Times New Roman"/>
          <w:sz w:val="18"/>
          <w:szCs w:val="18"/>
          <w:color w:val="auto"/>
        </w:rPr>
        <w:t>Cost of professional services revenue consists primarily of compensation, including salaries, bonuses,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and other related costs associated with our professional service personnel, third-party system integration partners, and allocated overhead and depreciation for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revenue. Gross margin is gross profit expressed as a percentage of total revenue. Our gross margin has fluctuated historically and may continue to fluctuate from period to period based on a number of factors, including the timing and mix of the product offerings we sell, size or nature of customer, size of contract, industry, and the geographies into which we sell, in any given period. Our subscription gross margin may experience variability over time as we continue to invest and continue to scale our business. Our professional services gross margin may also experience variability from period to period due to the use of our own resources and third-party system integration partners in connection with the performance of our fixed price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We expect our operating expenses as a percentage of total revenue to increase as we continue to invest to grow our business. Over the long-term, we expect those percentages to stabilize and then move lower as our business matures.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expenditures related to advertising, media, marketing, promotional events, brand awareness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business development, customer success and corporate partnerships. Sales and marketing expenses also include employee-related costs, including salaries, bonuses, benefits, stock-based compensation, and commissions for our employees engaged in sales and marketing activities, and allocated overhead and depreciation for facilities.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sales and marketing expenses will increase in absolute dollar amounts as we continue to invest in brand awareness and programmatic spend to generate demand. We also expect to hire additional sales personnel to increase sales coverage of target industry vertical and geographic markets. Consequently, sales and marketing expense as a percent of total revenue will remain high in the near-term. As our business scales through customer expansion and market awareness, we anticipate that sales and marketing expense as a percent of total revenue will decline over time.</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efforts are aimed at continuing to develop and refine our solutions, including adding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and modules, increasing functionality and speed, and enhancing the usability of our C3 AI Software. Research and development expenses consist primarily of employee-related costs, including salaries, bonuses, benefits, and stock-based compensation for our employees associated with research and development related activities. Research and development expenses also include cloud infrastructure costs related to our research and development efforts, and allocated overhead and depreciation for facilities. Research and development costs are expensed as incurred.</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research and development expense to increase in absolute dollars as we continue to invest in our existing and future product offerings. We may experience variations from period to period with our total research and development expense as a percentage of revenue as we develop and deploy new applications targeting new use cases and new industries. Over a longer horizon, we anticipate that research and development expense as a percent of total revenue will decline.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employee-related costs, including salaries, bonuses, benefits, stock-based compensation and other related costs associated with administrative services such as executive management and administration, legal, human resources, accounting, and finance. General and administrative expense also includes facilities costs, such as depreciation and rent expense, professional fees, and other general corporate costs, including allocated overhead and depreciation for facilities.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 to increase in absolute dollars as we continue to grow our business. We have incurred, and expect to continue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 We expect that general and administrative expense as a percent of total revenue will decline over the long-term as we benefit from the economies of scale of our overall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cash equivalents, and available-for-sale marketable securities. It also includes amortization of premiums and accretion of discount related to our available-for-sale marketable securities. Interest income varies each reporting period based on our average balance of cash, cash equivalents, and available-for-sale marketable securities during the period and market interest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income, net consists primarily of foreign currency exchange gains and losses, losses from impairment of marketable securities, and realized gains and losses on sales of available-for-sale marketable securities.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provision consists of an estimate of federal, state, and foreign income taxes based on enacted federal, state, and foreign tax rates, as adjusted for allowable credits, deductions, uncertain tax positions, changes in the valuation of our deferred tax assets and liabilities, and changes in tax laws. We maintain a full valuation allowance on our federal and state deferred tax assets as we have concluded that it is not more likely than not that the deferred tax assets will be realized.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230,443</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206,916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45,843</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266,795</w:t>
            </w:r>
          </w:p>
        </w:tc>
        <w:tc>
          <w:tcPr>
            <w:tcW w:w="8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Times New Roman" w:cs="Times New Roman" w:eastAsia="Times New Roman" w:hAnsi="Times New Roman"/>
                <w:sz w:val="18"/>
                <w:szCs w:val="18"/>
                <w:color w:val="auto"/>
              </w:rPr>
              <w:t>252,759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45,838</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002D72"/>
            </w:tcBorders>
            <w:shd w:val="clear" w:color="auto" w:fill="CCEEFF"/>
          </w:tcPr>
          <w:p>
            <w:pPr>
              <w:spacing w:after="0"/>
              <w:rPr>
                <w:sz w:val="23"/>
                <w:szCs w:val="23"/>
                <w:color w:val="auto"/>
              </w:rPr>
            </w:pPr>
          </w:p>
        </w:tc>
        <w:tc>
          <w:tcPr>
            <w:tcW w:w="1100" w:type="dxa"/>
            <w:vAlign w:val="bottom"/>
            <w:tcBorders>
              <w:bottom w:val="single" w:sz="8" w:color="002D72"/>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17,875</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189,046</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173,584</w:t>
            </w:r>
          </w:p>
        </w:tc>
        <w:tc>
          <w:tcPr>
            <w:tcW w:w="0" w:type="dxa"/>
            <w:vAlign w:val="bottom"/>
          </w:tcPr>
          <w:p>
            <w:pPr>
              <w:spacing w:after="0"/>
              <w:rPr>
                <w:sz w:val="1"/>
                <w:szCs w:val="1"/>
                <w:color w:val="auto"/>
              </w:rPr>
            </w:pPr>
          </w:p>
        </w:tc>
      </w:tr>
      <w:tr>
        <w:trPr>
          <w:trHeight w:val="27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150,544</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77,170</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002D72"/>
            </w:tcBorders>
            <w:shd w:val="clear" w:color="auto" w:fill="CCEEFF"/>
          </w:tcPr>
          <w:p>
            <w:pPr>
              <w:spacing w:after="0"/>
              <w:rPr>
                <w:sz w:val="23"/>
                <w:szCs w:val="23"/>
                <w:color w:val="auto"/>
              </w:rPr>
            </w:pPr>
          </w:p>
        </w:tc>
        <w:tc>
          <w:tcPr>
            <w:tcW w:w="1100" w:type="dxa"/>
            <w:vAlign w:val="bottom"/>
            <w:tcBorders>
              <w:bottom w:val="single" w:sz="8" w:color="002D72"/>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61,040</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470,951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385,168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002D72"/>
            </w:tcBorders>
          </w:tcPr>
          <w:p>
            <w:pPr>
              <w:spacing w:after="0"/>
              <w:rPr>
                <w:sz w:val="2"/>
                <w:szCs w:val="2"/>
                <w:color w:val="auto"/>
              </w:rPr>
            </w:pPr>
          </w:p>
        </w:tc>
        <w:tc>
          <w:tcPr>
            <w:tcW w:w="1100" w:type="dxa"/>
            <w:vAlign w:val="bottom"/>
            <w:tcBorders>
              <w:bottom w:val="single" w:sz="8" w:color="002D72"/>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(196,122)</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(268,164)</w:t>
            </w:r>
          </w:p>
        </w:tc>
        <w:tc>
          <w:tcPr>
            <w:tcW w:w="80" w:type="dxa"/>
            <w:vAlign w:val="bottom"/>
          </w:tcPr>
          <w:p>
            <w:pPr>
              <w:spacing w:after="0"/>
              <w:rPr>
                <w:sz w:val="20"/>
                <w:szCs w:val="20"/>
                <w:color w:val="auto"/>
              </w:rPr>
            </w:pPr>
          </w:p>
        </w:tc>
        <w:tc>
          <w:tcPr>
            <w:tcW w:w="340" w:type="dxa"/>
            <w:vAlign w:val="bottom"/>
            <w:tcBorders>
              <w:top w:val="single" w:sz="8" w:color="002D72"/>
            </w:tcBorders>
          </w:tcPr>
          <w:p>
            <w:pPr>
              <w:spacing w:after="0"/>
              <w:rPr>
                <w:sz w:val="20"/>
                <w:szCs w:val="20"/>
                <w:color w:val="auto"/>
              </w:rPr>
            </w:pPr>
          </w:p>
        </w:tc>
        <w:tc>
          <w:tcPr>
            <w:tcW w:w="1100" w:type="dxa"/>
            <w:vAlign w:val="bottom"/>
            <w:tcBorders>
              <w:top w:val="single" w:sz="8" w:color="002D72"/>
            </w:tcBorders>
          </w:tcPr>
          <w:p>
            <w:pPr>
              <w:jc w:val="right"/>
              <w:spacing w:after="0"/>
              <w:rPr>
                <w:sz w:val="20"/>
                <w:szCs w:val="20"/>
                <w:color w:val="auto"/>
              </w:rPr>
            </w:pPr>
            <w:r>
              <w:rPr>
                <w:rFonts w:ascii="Times New Roman" w:cs="Times New Roman" w:eastAsia="Times New Roman" w:hAnsi="Times New Roman"/>
                <w:sz w:val="18"/>
                <w:szCs w:val="18"/>
                <w:color w:val="auto"/>
              </w:rPr>
              <w:t>(191,276)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6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(268,839)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(192,065)</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6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4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0" w:type="dxa"/>
            <w:vAlign w:val="bottom"/>
          </w:tcPr>
          <w:p>
            <w:pPr>
              <w:spacing w:after="0"/>
              <w:rPr>
                <w:sz w:val="1"/>
                <w:szCs w:val="1"/>
                <w:color w:val="auto"/>
              </w:rPr>
            </w:pPr>
          </w:p>
        </w:tc>
      </w:tr>
      <w:tr>
        <w:trPr>
          <w:trHeight w:val="26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113,441</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presented:</w:t>
      </w:r>
    </w:p>
    <w:p>
      <w:pPr>
        <w:spacing w:after="0" w:line="21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7"/>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520" w:type="dxa"/>
            <w:vAlign w:val="bottom"/>
            <w:tcBorders>
              <w:top w:val="single" w:sz="8" w:color="002D72"/>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6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520" w:type="dxa"/>
            <w:vAlign w:val="bottom"/>
            <w:tcBorders>
              <w:top w:val="single" w:sz="8" w:color="002D72"/>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002D72"/>
            </w:tcBorders>
          </w:tcPr>
          <w:p>
            <w:pPr>
              <w:spacing w:after="0"/>
              <w:rPr>
                <w:sz w:val="2"/>
                <w:szCs w:val="2"/>
                <w:color w:val="auto"/>
              </w:rPr>
            </w:pPr>
          </w:p>
        </w:tc>
      </w:tr>
      <w:tr>
        <w:trPr>
          <w:trHeight w:val="244"/>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7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1520" w:type="dxa"/>
            <w:vAlign w:val="bottom"/>
            <w:tcBorders>
              <w:top w:val="single" w:sz="8" w:color="002D72"/>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6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002D72"/>
            </w:tcBorders>
          </w:tcPr>
          <w:p>
            <w:pPr>
              <w:spacing w:after="0"/>
              <w:rPr>
                <w:sz w:val="2"/>
                <w:szCs w:val="2"/>
                <w:color w:val="auto"/>
              </w:rPr>
            </w:pPr>
          </w:p>
        </w:tc>
      </w:tr>
      <w:tr>
        <w:trPr>
          <w:trHeight w:val="244"/>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52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520" w:type="dxa"/>
            <w:vAlign w:val="bottom"/>
            <w:tcBorders>
              <w:top w:val="single" w:sz="8" w:color="002D72"/>
            </w:tcBorders>
          </w:tcPr>
          <w:p>
            <w:pPr>
              <w:ind w:left="104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6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Years Ended April 30,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41910</wp:posOffset>
            </wp:positionV>
            <wp:extent cx="1457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62" w:lineRule="exact"/>
        <w:rPr>
          <w:sz w:val="20"/>
          <w:szCs w:val="20"/>
          <w:color w:val="auto"/>
        </w:rPr>
      </w:pPr>
    </w:p>
    <w:p>
      <w:pPr>
        <w:ind w:left="7040"/>
        <w:spacing w:after="0"/>
        <w:tabs>
          <w:tab w:leader="none" w:pos="8220" w:val="left"/>
          <w:tab w:leader="none" w:pos="9200" w:val="left"/>
          <w:tab w:leader="none" w:pos="103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41910</wp:posOffset>
            </wp:positionV>
            <wp:extent cx="29063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906395" cy="8890"/>
                    </a:xfrm>
                    <a:prstGeom prst="rect">
                      <a:avLst/>
                    </a:prstGeom>
                    <a:noFill/>
                  </pic:spPr>
                </pic:pic>
              </a:graphicData>
            </a:graphic>
          </wp:anchor>
        </w:drawing>
      </w:r>
    </w:p>
    <w:p>
      <w:pPr>
        <w:spacing w:after="0" w:line="6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230,443</w:t>
            </w:r>
          </w:p>
        </w:tc>
        <w:tc>
          <w:tcPr>
            <w:tcW w:w="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47,661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(3,874)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4"/>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266,795</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43,787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Subscription revenue accounted for 90% and 86% of our total revenue for the fiscal years ended April 30, 2024 and 2023, respectively. Subscription revenue increased by $47.7 million, or 21%, for the fiscal year ended April 30, 2024, compared to the prior fiscal year. Approximately 13% and 9%, respectively, of the total subscription revenue for the fiscal year ended April 30, 2024 and 2023, respectively, was attributable to revenue from new customers, and the remaining 87% and 91%, respectively, was attributable to revenue from existing customers.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services revenue decreased by $3.9 million, or (11)%, for the fiscal year ended April 30, 2024, compared to the prior fiscal year, predominantly due to decrease in revenue from prioritized engineering services.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41910</wp:posOffset>
            </wp:positionV>
            <wp:extent cx="1440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62" w:lineRule="exact"/>
        <w:rPr>
          <w:sz w:val="20"/>
          <w:szCs w:val="20"/>
          <w:color w:val="auto"/>
        </w:rPr>
      </w:pPr>
    </w:p>
    <w:p>
      <w:pPr>
        <w:ind w:left="7060"/>
        <w:spacing w:after="0"/>
        <w:tabs>
          <w:tab w:leader="none" w:pos="8220" w:val="left"/>
          <w:tab w:leader="none" w:pos="9200" w:val="left"/>
          <w:tab w:leader="none" w:pos="103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41910</wp:posOffset>
            </wp:positionV>
            <wp:extent cx="28892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889250" cy="8255"/>
                    </a:xfrm>
                    <a:prstGeom prst="rect">
                      <a:avLst/>
                    </a:prstGeom>
                    <a:noFill/>
                  </pic:spPr>
                </pic:pic>
              </a:graphicData>
            </a:graphic>
          </wp:anchor>
        </w:drawing>
      </w:r>
    </w:p>
    <w:p>
      <w:pPr>
        <w:spacing w:after="0" w:line="6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78,423</w:t>
            </w:r>
          </w:p>
        </w:tc>
        <w:tc>
          <w:tcPr>
            <w:tcW w:w="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50,046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(4,361)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3"/>
        </w:trPr>
        <w:tc>
          <w:tcPr>
            <w:tcW w:w="6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45,685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cost of subscription revenue for the fiscal year ended April 30, 2024 compared to the prior fiscal year was primarily due to higher personnel-related costs of $31.4 million as a result of increased headcount and overall costs to support the growth in our business, and increased stock-based compensation primarily related to additional equity awards granted to current and new employees, higher data center costs of $9.0 million, higher third-party outsourcing costs of $4.7 million, increased depreciation costs of $1.6 million, higher facilities costs of $1.4 million, and higher overhead costs of $0.8 million.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cost of professional services revenue for the fiscal year ended April 30, 2024 compared to the prior fiscal year was primarily due to lower personnel-related costs of $2.9 million as a result of a decrease in the number of service projects, lower facilities costs of $0.5 million and lower overhead costs of $0.4 million, and lower third-party outsourcing costs of $0.1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2"/>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178,560</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180,458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gross profit in the fiscal year ended April 30, 2024 was primarily driven by a decline in subscription margin, offset by an increase in professional services margin.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subscription margin for the fiscal year ended April 30, 2024 decreased due to higher personnel-related costs as a result of increased headcount and overall costs to support the growth in our business, and increased stock-based compensation primarily related to additional equity awards granted to current and new employees, compared to the prior fiscal year.</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professional services margin for the fiscal year ended April 30, 2024 increased primarily due to lower personnel-related costs due to a decrease in the number of service projects, compared to the prior fiscal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36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41910</wp:posOffset>
            </wp:positionV>
            <wp:extent cx="1448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62" w:lineRule="exact"/>
        <w:rPr>
          <w:sz w:val="20"/>
          <w:szCs w:val="20"/>
          <w:color w:val="auto"/>
        </w:rPr>
      </w:pPr>
    </w:p>
    <w:p>
      <w:pPr>
        <w:ind w:left="7060"/>
        <w:spacing w:after="0"/>
        <w:tabs>
          <w:tab w:leader="none" w:pos="8220" w:val="left"/>
          <w:tab w:leader="none" w:pos="9200" w:val="left"/>
          <w:tab w:leader="none" w:pos="103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41910</wp:posOffset>
            </wp:positionV>
            <wp:extent cx="28975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6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1517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214,167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183,121</w:t>
            </w:r>
          </w:p>
        </w:tc>
        <w:tc>
          <w:tcPr>
            <w:tcW w:w="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210,660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9"/>
        </w:trPr>
        <w:tc>
          <w:tcPr>
            <w:tcW w:w="6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470,951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The increase in sales and marketing expense for the fiscal year ended April 30, 2024 compared to the prior fiscal year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higher advertising spend of $9.0 million, higher marketing costs of $8.9 million, higher personnel-related costs of $5.8 million as a result of increased headcount and overall costs to support the growth in our business, and increased stock-based compensation primarily related to additional equity awards granted to current and new employees, higher marketing events costs of $5.1 million, and higher data center costs of $0.9 million.</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decrease in research and development expense for the fiscal year ended April 30, 2024 compared to the prior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personnel-related costs of $20.5 million, partially offset by higher cloud computing costs of $10.5 million.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The increase in general and administrative expense for the fiscal year ended April 30, 2024 compared to the prior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personnel-related costs of $3.7 million as a result of increased stock-based compensation primarily related to additional equity awards granted to current and new employees, higher professional services costs of $1.9 million, partially offset by lower corporate insurance costs of $1.7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40,079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fiscal year ended April 30, 2024 compared to the prior fiscal year was primarily the result of higher prevailing interest rates on our marketable securities portfolio.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(expense) income, net for the fiscal year ended April 30, 2024 compared to the prior fiscal year was due to foreign currency losses on the remeasurement of Euro-denominated cash and accounts receivable balances.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280" w:type="dxa"/>
            <w:vAlign w:val="bottom"/>
            <w:gridSpan w:val="5"/>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provision for income taxes was primarily related to foreign and state tax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generally accepted accounting principles in the United States, or GAAP, we believe free cash flow, a non-GAAP financial measure, is useful in evaluating liquidity and provides information to management and investors about our ability to fund future operating needs and strategic initiatives. We calculate free cash flow as net cash used in operating activities less purchases of property and equipment and capitalized software development costs. Free cash flow has limitations as an analytical tool, and it should not be considered in isolation or as a substitute for analysis of other GAAP financial measures, such as net cash used in operating activities. This non-GAAP financial measure may be different than similarly titled measures used by other companies. Additionally, the utility of free cash flow is further limited as it does not represent the total increase or decrease in our cash balances for a given period. The following table below provides a reconciliation of free cash flow to the GAAP measure of net cash used in operating activities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27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(62,362)</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(115,691)</w:t>
            </w: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(70,518)</w:t>
            </w:r>
          </w:p>
        </w:tc>
      </w:tr>
      <w:tr>
        <w:trPr>
          <w:trHeight w:val="270"/>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(187,209)</w:t>
            </w:r>
          </w:p>
        </w:tc>
      </w:tr>
      <w:tr>
        <w:trPr>
          <w:trHeight w:val="26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(66,615)</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59,946</w:t>
            </w:r>
          </w:p>
        </w:tc>
      </w:tr>
      <w:tr>
        <w:trPr>
          <w:trHeight w:val="26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sales generated from our customers and sales of equity securities. As of April 30, 2024 and 2023, we had $167.1 million and $284.8 million of cash and cash equivalents and $583.2 million and $527.6 million of marketable securities, respectively, which are available for use in current operations. Our marketable securities generally consist of high-grade U.S. treasury securities, certificates of deposit, U.S. government agency securities, commercial paper and corporate debt securities. We have generated operating losses from our operations as reflected in our accumulated deficit of $1,089.9 million as of April 30, 2024. We expect to continue to incur operating losses and generate negative cash flows from operations in the next few quarters due to the investments we intend to make in our business, and as a result we may require additional capital to execute on our strategic initiatives to grow the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existing cash and cash equivalents and marketable securities alone will be sufficient to support working capital and capital expenditure requirements for at least the next 12 months. We also believe we will meet expected future cash requirements and obligations through a combination of cash flows from operating activities and available cash balances. Our principal uses of cash in recent periods have been funding our operations and investing in capital expenditures. Our future capital requirements will depend on many factors, including our revenue growth rate, the timing and the amount of cash received from customers, the expansion of sales and marketing activities, the timing and extent of spending to support development efforts, expenses associated with our international expansion, the introduction of C3 AI Software enhancements, and the continuing market adoption of our C3 AI Software. In the future, we may enter into arrangements to acquire or invest in complementary businesses, products, and technologies. We may be required to seek additional equity or debt financing. If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37"/>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(115,691)</w:t>
            </w: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59,946</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7"/>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(55,124)</w:t>
            </w:r>
          </w:p>
        </w:tc>
      </w:tr>
      <w:tr>
        <w:trPr>
          <w:trHeight w:val="27"/>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used in operating activities of $62.4 million for the fiscal year ended April 30, 2024 was due to our net loss of $279.7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for certain non-cash items, primarily consisting of stock-based compensation of $215.8 million, accretion of discounts on marketable securities of $17.2 million depreciation and amortization of $12.7 million, and non-cash operating lease cost of $0.7 million. The $5.2 million cash inflow related to changes in operating assets and liabilities was primarily attributable to an increase in lease liabilities of $17.3 million, an increase in other liabilities of $8.2 million, a decrease in accounts receivable of $4.5 million, and a decrease in prepaid expenses, other current assets and other assets of $3.2 million. This was partially offset by a decrease in accounts payable of $12.9 million, a decrease in deferred revenue of $8.9 million, and a decrease in accrued compensation and employee benefits of $6.2 million.</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$115.7 million for the fiscal year ended April 30, 2023 was due to our net loss of $268.8 million adjusted for certain non-cash items, primarily consisting of stock-based compensation of $216.5 million, depreciation and amortization of $6.1 million, and non-cash operating lease cost of $7.0 million. The $72.2 million cash outflow related to changes in operating assets and liabilities was primarily attributable to an increase in accounts receivable of $54.5 million inclusive of an increase in related party balances of $38.8 million, a decrease in accounts payable of $22.0 million inclusive of a decrease in related party balances of $16.3 million, a decrease in other liabilities of $10.6 million inclusive of a decrease in related party balances of $2.5 million, a decrease to deferred revenue of $1.3 million inclusive of an increase in related party balances of $0.1 million and an increase in prepaid expenses, other current assets and other assets of $0.6 million inclusive of an increase in related party balances of $4.7 million. This was partially offset by cash inflows related to an increase in lease liabilities of $13.6 million and an increase to accrued compensation and employee benefits of $3.2 million.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used in investing activities of $66.6 million for the fiscal year ended April 30, 2024 was primarily attributable to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securities of $827.9 million and capital expenditures of $28.0 million mainly related to the leasehold improvements associated with leased space, partially offset by maturities and sales of marketable securities of $789.3 million.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$59.9 million for the fiscal year ended April 30, 2023 was primarily attributable to the maturities and sales of marketable securities of $876.7 million, partially offset by purchases of investments of $745.2 million and capital expenditures of $71.5 million mainly related to the leasehold improvements associated with the new leased space.</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of $11.3 million for the fiscal year ended April 30, 2024 was due to $13.8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exercise of stock options for Class A common stock and $10.8 million of proceeds from the issuance of Class A common stock under the Employee Stock Purchase Plan, or ESPP, partially offset by $13.2 million of taxes paid related to net share settlement of equity awards.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$0.6 million for the fiscal year ended April 30, 2023 was primarily due to $4.5 million of proceeds from the exercise of stock options for Class A common stock and $3.1 million of proceeds from the issuance of Class A common stock under the ESPP, partially offset by $6.9 million of taxes paid related to net share settlement of equity awards.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contractual obligations and commitments primarily consist of operating lease commitments for our facilities and non-cancellable purchase commitments related to third-party cloud hosting services.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refer to </w:t>
      </w:r>
      <w:r>
        <w:rPr>
          <w:rFonts w:ascii="Times New Roman" w:cs="Times New Roman" w:eastAsia="Times New Roman" w:hAnsi="Times New Roman"/>
          <w:sz w:val="18"/>
          <w:szCs w:val="18"/>
          <w:i w:val="1"/>
          <w:iCs w:val="1"/>
          <w:color w:val="auto"/>
        </w:rPr>
        <w:t>Note 6. Leases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7. Commitments and Contingencies</w:t>
      </w:r>
      <w:r>
        <w:rPr>
          <w:rFonts w:ascii="Times New Roman" w:cs="Times New Roman" w:eastAsia="Times New Roman" w:hAnsi="Times New Roman"/>
          <w:sz w:val="18"/>
          <w:szCs w:val="18"/>
          <w:color w:val="auto"/>
        </w:rPr>
        <w:t xml:space="preserve"> to our consolidated financial statements included elsewhere in this Annual Report on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and the accompanying notes thereto included elsewhere in this Annual Report on Form 10-K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w:t>
      </w:r>
      <w:r>
        <w:rPr>
          <w:rFonts w:ascii="Times New Roman" w:cs="Times New Roman" w:eastAsia="Times New Roman" w:hAnsi="Times New Roman"/>
          <w:sz w:val="18"/>
          <w:szCs w:val="18"/>
          <w:i w:val="1"/>
          <w:iCs w:val="1"/>
          <w:color w:val="auto"/>
        </w:rPr>
        <w:t>Note 1.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and Significant Accounting Policies </w:t>
      </w:r>
      <w:r>
        <w:rPr>
          <w:rFonts w:ascii="Times New Roman" w:cs="Times New Roman" w:eastAsia="Times New Roman" w:hAnsi="Times New Roman"/>
          <w:sz w:val="18"/>
          <w:szCs w:val="18"/>
          <w:color w:val="auto"/>
        </w:rPr>
        <w:t>to our consolidated financial statements appearing elsewhere in this Annual Report on Form 10-K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 The critical accounting estimates, assumptions and judgments that we believe have the most significant impact on our consolidated financial statements are described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customers in an amount that reflects the consideration to which we expect to be entitled in exchange for those goods or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7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primarily comprised of software licenses, software-as-a-service offerings, stand-ready COE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pilots and trials of our C3 AI Applications or Generative AI, and consumption-based pricing. Sales of our software licenses grant customers the right to use our functional intellectual property, either on their own cloud instance or internal hardware infrastructure, over the contractual term. As part of our customer acquisition strategy, we also sell premium stand-ready COE support services, hosting services, pilots and trials of our applications, and software licenses that are prototype versions of C3 AI Applications configured for a customer that do not require maintenance and support services. Sales of our software-as-a-service offerings include the right to use our software in a hosted environment over the contractual term. Substantially all of our subscriptions offerings include our software and our maintenance and support services. Our maintenance and support services include critical and continuous updates to the software that are integral to maintaining the intended utility of the software over the contractual term. Our software subscriptions and maintenance and support services are highly interdependent and interrelated and represent a single distinct performance obligation within the context of the contract. Revenue from software licenses that do not require maintenance and support services is recognized when the control of the software is transferred to the customer.</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additional runtime subscription fees for the use of our C3 AI Platform, a type of consumption billing based on computing and storage resources required to run our software. Customers may purchase blocks of runtime in advance. We typically recognize the consumption or usage-based revenue in excess of committed purchased runtime upon occurrence.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Professional services revenue primarily consists of implementation services, training and prioritized engineering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services are distinct from our subscription revenue.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services fees are based on the level of effort required to perform such tasks and are typically a fixed-fee engagement with a duration of less than 12 months. We recognize revenue for our professional services over time on an input or output basis as the performance obligations are satisfied.</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r>
        <w:rPr>
          <w:rFonts w:ascii="Times New Roman" w:cs="Times New Roman" w:eastAsia="Times New Roman" w:hAnsi="Times New Roman"/>
          <w:sz w:val="18"/>
          <w:szCs w:val="18"/>
          <w:color w:val="auto"/>
        </w:rPr>
        <w:t>. Most of our contracts with customers contain multiple performance obligations. Our subscriptions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for a broad range of amounts and a representative standalone selling price, or SSP, is not always discernible from past transactions or other observable evidence. When appropriate, we determine SSP based on the price at which the performance obligation has previously been sold through past standalone transactions. When the SSP of a license or subscription and bundled maintenance and support services is highly variable and the contract also includes additional performance obligations with observable SSP, we first allocate the transaction price to the performance obligations with established SSPs and then apply the residual approach to allocate the remaining transaction price to the license or subscription and bundled maintenance and support services. If the contract contains a single performance obligation, the entire transaction price is allocated to the single performance obligation.</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Areas of Judgment and Estimates</w:t>
      </w:r>
      <w:r>
        <w:rPr>
          <w:rFonts w:ascii="Times New Roman" w:cs="Times New Roman" w:eastAsia="Times New Roman" w:hAnsi="Times New Roman"/>
          <w:sz w:val="18"/>
          <w:szCs w:val="18"/>
          <w:color w:val="auto"/>
        </w:rPr>
        <w:t>. Determining whether the software subscriptions and the related support are considered distinct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should be accounted for separately or as a single performance obligation requires significant judgment. Management applies judgment in identifying and evaluating terms and conditions in customer contracts that may impact evaluation of performance obligations and 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the relative SSP for contracts that contain multiple performance obligations requires significant judgement. If there is no observable SSP, it is estimated using judgement and considering all reasonably available information including but not limited to, pricing practices in customer contracts with multiple goods and services, competitor pricing strategies, internally approved pricing guidelines, and other observable inputs. If applying the residual approach results in zero or very little consideration being allocated to a performance obligation, we consider all reasonably available data to determine an appropriate allocation of the transaction price.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We do not hold or issue financial instruments for trading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30, 2024, we had cash, cash equivalents, and marketable securities of $750.4 million. As of April 30, 2023, we had cash, cash equivalents, and marketable securities of $812.4 million. Interest-earning instruments carry a degree of interest rate risk. We do not enter into investments for trading or speculative purposes and have not used any derivative financial instruments to manage our interest rate risk exposure. As of April 30, 2024, a hypothetical 10% relative change in interest rates would not have had a material impact on the value of our cash equivalents or marketable securities portfolio. Any realized gains or losses resulting from such interest rate changes would only occur if we sold the marketable securities prior to maturity.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functional currency is the U.S. dollar. For the fiscal years ended April 30, 2024, 2023 and 2022, approximately 5%, 8%, and 13% of our sales were denominated in euros, respectively, and therefore our revenue, accounts receivable, and cash deposits are subject to foreign currency risk. Our foreign operating expenses are denominated in the local currencies of the countries in which we operate. Our consolidated results of operations and cash flows are, therefore, subject to fluctuations due to changes in foreign currency exchange rates and may be adversely affected in the future due to changes in foreign exchange rates. A hypothetical 10% change in foreign currency exchange rates may result in a material impact on our consolidated financial statements. As our international operations grow, we will continue to reassess our approach to manage our risk relating to fluctuations in currency rates.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including higher employee compensation costs, we may not be able to fully offset such higher costs through price increases. Our inability or failure to do so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Report of Independent Registered Public Accounting Firm (PCAOB ID: 34)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Balance Sheets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Statements of Operations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Statements of Comprehensive Loss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Statements of Stockholders’ Equity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Consolidated Statements of Cash Flows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87" w:name="page88"/>
    <w:bookmarkEnd w:id="87"/>
    <w:p>
      <w:pPr>
        <w:spacing w:after="0" w:line="200" w:lineRule="exact"/>
        <w:rPr>
          <w:sz w:val="20"/>
          <w:szCs w:val="20"/>
          <w:color w:val="auto"/>
        </w:rPr>
      </w:pPr>
    </w:p>
    <w:p>
      <w:pPr>
        <w:spacing w:after="0" w:line="260" w:lineRule="exact"/>
        <w:rPr>
          <w:sz w:val="20"/>
          <w:szCs w:val="20"/>
          <w:color w:val="auto"/>
        </w:rPr>
      </w:pPr>
    </w:p>
    <w:p>
      <w:pPr>
        <w:ind w:right="2540" w:firstLine="2535"/>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C3.ai,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C3.ai and subsidiaries (the “Company”) as of April 30, 2024 and 2023, the related consolidated statements of operations, comprehensive loss, stockholders’ equity, and cash flows, for each of the three fiscal years in the period ended April 30, 2024, and the related notes (collectively referred to as the “financial statements”). In our opinion, the financial statements present fairly, in all material respects, the financial position of the Company as of April 30, 2024 and 2023, and the results of its operations and its cash flows for each of the three years in the period ended April 30, 2024, in conformity with accounting principles generally accepted in the United States of America.</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April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June 18, 2024,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 Refer to Notes 1 and 2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revenue contracts with customers include multiple performance obligations (such as delivery of software licenses, software-as-a-service, associated maintenance and support, professional services, and others). The Company typically negotiates contracts with its customers, and while many of these contracts contain standard terms and conditions, customer contracts may have customer specific terms and conditions due to the nature of the contracts.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accounting principles generally accepted in the United States of America, the Company is required to evaluate whether each performance obligation represents goods and services that are distinct. A good or service is distinct where the customer can benefit from the good or service either on its own or together with other resources that are readily available from third parties or from the Company, and is distinct in the context of the contract, where the transfer of the good or service is separately identifiable from other promises in the contract. The identification and evaluation of performance obligations can require significant judgment and could impact the amount of revenue recognized in a given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Company’s identification and evaluation of performance obligations impacting revenue recognition as a critical audit matter because of the judgment management makes in evaluating the terms and conditions in such contracts and the impact of such judgment on the amount of revenue recognized in a given period. This required a high degree of auditor judgment and an increased extent of testing.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identification and evaluation of performance obligations for customer contracts included the following, among others:</w:t>
      </w:r>
    </w:p>
    <w:p>
      <w:pPr>
        <w:spacing w:after="0" w:line="108" w:lineRule="exact"/>
        <w:rPr>
          <w:sz w:val="20"/>
          <w:szCs w:val="20"/>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Company’s process related to the identification of performance obligations, specifically around the review of the terms and conditions and proper evaluation of performance obligations.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 related to revenue recognition, including the identification of performance obligations, for reasonableness and compliance with generally accepted accounting principles.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contracts and performed the following:</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contract source documents, including order forms, master agreements, amendments, and other documents that were a part of the contract.</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terms and conditions in the contract source documents and evaluated the appropriateness of management’s application of their accounting policies in the identification and evaluation of performance obligations.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167,146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284,829</w:t>
            </w: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Marketable securities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446,155</w:t>
            </w: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of $359 and $359 as of April 30, 2024 and 2023, respectively</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134,586</w:t>
            </w:r>
          </w:p>
        </w:tc>
      </w:tr>
      <w:tr>
        <w:trPr>
          <w:trHeight w:val="24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23,963</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23,309</w:t>
            </w:r>
          </w:p>
        </w:tc>
      </w:tr>
      <w:tr>
        <w:trPr>
          <w:trHeight w:val="23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904,394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888,879</w:t>
            </w: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88,631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84,578</w:t>
            </w:r>
          </w:p>
        </w:tc>
      </w:tr>
      <w:tr>
        <w:trPr>
          <w:trHeight w:val="25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81,418</w:t>
            </w:r>
          </w:p>
        </w:tc>
      </w:tr>
      <w:tr>
        <w:trPr>
          <w:trHeight w:val="25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r>
              <w:rPr>
                <w:rFonts w:ascii="Times New Roman" w:cs="Times New Roman" w:eastAsia="Times New Roman" w:hAnsi="Times New Roman"/>
                <w:sz w:val="21"/>
                <w:szCs w:val="21"/>
                <w:color w:val="auto"/>
                <w:vertAlign w:val="superscript"/>
              </w:rPr>
              <w:t>(3)</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44,575</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47,528</w:t>
            </w:r>
          </w:p>
        </w:tc>
      </w:tr>
      <w:tr>
        <w:trPr>
          <w:trHeight w:val="237"/>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1,038,225</w:t>
            </w: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1,103,028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1"/>
                <w:szCs w:val="21"/>
                <w:color w:val="auto"/>
                <w:vertAlign w:val="superscript"/>
              </w:rPr>
              <w:t>(4)</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44,263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46,513</w:t>
            </w: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 current</w:t>
            </w:r>
            <w:r>
              <w:rPr>
                <w:rFonts w:ascii="Times New Roman" w:cs="Times New Roman" w:eastAsia="Times New Roman" w:hAnsi="Times New Roman"/>
                <w:sz w:val="21"/>
                <w:szCs w:val="21"/>
                <w:color w:val="auto"/>
                <w:vertAlign w:val="superscript"/>
              </w:rPr>
              <w:t>(5)</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47,846</w:t>
            </w:r>
          </w:p>
        </w:tc>
      </w:tr>
      <w:tr>
        <w:trPr>
          <w:trHeight w:val="24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w:t>
            </w:r>
            <w:r>
              <w:rPr>
                <w:rFonts w:ascii="Times New Roman" w:cs="Times New Roman" w:eastAsia="Times New Roman" w:hAnsi="Times New Roman"/>
                <w:sz w:val="21"/>
                <w:szCs w:val="21"/>
                <w:color w:val="auto"/>
                <w:vertAlign w:val="superscript"/>
              </w:rPr>
              <w:t>(6)</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17,070</w:t>
            </w:r>
          </w:p>
        </w:tc>
      </w:tr>
      <w:tr>
        <w:trPr>
          <w:trHeight w:val="23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136,039</w:t>
            </w: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60,805</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37,320</w:t>
            </w:r>
          </w:p>
        </w:tc>
      </w:tr>
      <w:tr>
        <w:trPr>
          <w:trHeight w:val="236"/>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164,872</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173,363</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$0.001 par value. 1,000,000,000 shares authorized as of April 30, 2024 and 2023, respectively;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120,205,931 and 110,442,569 shares issued and outstanding as of April 30, 2024 and 2023, respectively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common stock, $0.001 par value; 3,500,000 shares authorized as of April 30, 2024 and 2023, respectively; 3,499,992</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3,499,992 shares issued and outstanding as of April 30, 2024 and 2023, respectively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5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1,963,726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1,740,174</w:t>
            </w: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4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(1,089,933)</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(810,237)</w:t>
            </w:r>
          </w:p>
        </w:tc>
      </w:tr>
      <w:tr>
        <w:trPr>
          <w:trHeight w:val="237"/>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873,353</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929,665</w:t>
            </w:r>
          </w:p>
        </w:tc>
      </w:tr>
      <w:tr>
        <w:trPr>
          <w:trHeight w:val="26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1,038,225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1,103,028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80" w:hanging="210"/>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from a related party of $74,620 as of April 30, 2023.</w:t>
      </w:r>
    </w:p>
    <w:p>
      <w:pPr>
        <w:spacing w:after="0" w:line="17" w:lineRule="exact"/>
        <w:rPr>
          <w:rFonts w:ascii="Times New Roman" w:cs="Times New Roman" w:eastAsia="Times New Roman" w:hAnsi="Times New Roman"/>
          <w:sz w:val="14"/>
          <w:szCs w:val="14"/>
          <w:color w:val="auto"/>
        </w:rPr>
      </w:pPr>
    </w:p>
    <w:p>
      <w:pPr>
        <w:ind w:left="380" w:hanging="210"/>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from a related party of $4,983 as of April 30, 2023.</w:t>
      </w:r>
    </w:p>
    <w:p>
      <w:pPr>
        <w:spacing w:after="0" w:line="11" w:lineRule="exact"/>
        <w:rPr>
          <w:rFonts w:ascii="Times New Roman" w:cs="Times New Roman" w:eastAsia="Times New Roman" w:hAnsi="Times New Roman"/>
          <w:sz w:val="14"/>
          <w:szCs w:val="14"/>
          <w:color w:val="auto"/>
        </w:rPr>
      </w:pPr>
    </w:p>
    <w:p>
      <w:pPr>
        <w:ind w:left="380" w:hanging="210"/>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from a related party of $11,279 as of April 30, 2023.</w:t>
      </w:r>
    </w:p>
    <w:p>
      <w:pPr>
        <w:spacing w:after="0" w:line="14" w:lineRule="exact"/>
        <w:rPr>
          <w:rFonts w:ascii="Times New Roman" w:cs="Times New Roman" w:eastAsia="Times New Roman" w:hAnsi="Times New Roman"/>
          <w:sz w:val="14"/>
          <w:szCs w:val="14"/>
          <w:color w:val="auto"/>
        </w:rPr>
      </w:pPr>
    </w:p>
    <w:p>
      <w:pPr>
        <w:ind w:left="380" w:hanging="210"/>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due to a related party of $2,200 as of April 30, 2023</w:t>
      </w:r>
    </w:p>
    <w:p>
      <w:pPr>
        <w:spacing w:after="0" w:line="14" w:lineRule="exact"/>
        <w:rPr>
          <w:rFonts w:ascii="Times New Roman" w:cs="Times New Roman" w:eastAsia="Times New Roman" w:hAnsi="Times New Roman"/>
          <w:sz w:val="14"/>
          <w:szCs w:val="14"/>
          <w:color w:val="auto"/>
        </w:rPr>
      </w:pPr>
    </w:p>
    <w:p>
      <w:pPr>
        <w:ind w:left="380" w:hanging="210"/>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from a related party of $249 as of April 30, 2023.</w:t>
      </w:r>
    </w:p>
    <w:p>
      <w:pPr>
        <w:spacing w:after="0" w:line="14" w:lineRule="exact"/>
        <w:rPr>
          <w:rFonts w:ascii="Times New Roman" w:cs="Times New Roman" w:eastAsia="Times New Roman" w:hAnsi="Times New Roman"/>
          <w:sz w:val="14"/>
          <w:szCs w:val="14"/>
          <w:color w:val="auto"/>
        </w:rPr>
      </w:pPr>
    </w:p>
    <w:p>
      <w:pPr>
        <w:ind w:left="380" w:hanging="210"/>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amounts due to a related party of $2,448 as of April 30, 2023.</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230,443</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206,916</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45,843</w:t>
            </w:r>
          </w:p>
        </w:tc>
        <w:tc>
          <w:tcPr>
            <w:tcW w:w="0" w:type="dxa"/>
            <w:vAlign w:val="bottom"/>
          </w:tcPr>
          <w:p>
            <w:pPr>
              <w:spacing w:after="0"/>
              <w:rPr>
                <w:sz w:val="1"/>
                <w:szCs w:val="1"/>
                <w:color w:val="auto"/>
              </w:rPr>
            </w:pPr>
          </w:p>
        </w:tc>
      </w:tr>
      <w:tr>
        <w:trPr>
          <w:trHeight w:val="236"/>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266,795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252,759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45,838</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17,875</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189,046</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173,584</w:t>
            </w:r>
          </w:p>
        </w:tc>
        <w:tc>
          <w:tcPr>
            <w:tcW w:w="0" w:type="dxa"/>
            <w:vAlign w:val="bottom"/>
          </w:tcPr>
          <w:p>
            <w:pPr>
              <w:spacing w:after="0"/>
              <w:rPr>
                <w:sz w:val="1"/>
                <w:szCs w:val="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61,040</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470,951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385,168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(196,122)</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(268,164)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(191,276)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6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(268,839)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(192,065)</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 basic and</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Class A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119,362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109,851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104,404</w:t>
            </w: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stockholders, basic and diluted</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related party revenue of $10,581, $75,452 and $60,425 for the fiscal years ended April 30, 2024, 2023 and 2022, respectively.</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related party revenue of $5,804, $16,774 and $16,872 for the fiscal years ended April 30, 2024, 2023 and 2022, respectively.</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purchases from related party included in cost of revenue of nil, nil and $578 for the fiscal years ended April 30, 2024, 2023 and 2022, respectively.</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related party sales and marketing expense of $810, $13,962 and $8,229 for the fiscal years ended April 30, 2024, 2023 and 2022,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(192,065)</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6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(279,874)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(267,076)</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(194,294)</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2240" w:type="dxa"/>
            <w:vAlign w:val="bottom"/>
            <w:gridSpan w:val="5"/>
            <w:vMerge w:val="restart"/>
          </w:tcPr>
          <w:p>
            <w:pPr>
              <w:ind w:left="5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24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00"/>
              <w:spacing w:after="0" w:line="136" w:lineRule="exact"/>
              <w:rPr>
                <w:sz w:val="20"/>
                <w:szCs w:val="20"/>
                <w:color w:val="auto"/>
              </w:rPr>
            </w:pPr>
            <w:r>
              <w:rPr>
                <w:rFonts w:ascii="Times New Roman" w:cs="Times New Roman" w:eastAsia="Times New Roman" w:hAnsi="Times New Roman"/>
                <w:sz w:val="15"/>
                <w:szCs w:val="15"/>
                <w:b w:val="1"/>
                <w:bCs w:val="1"/>
                <w:color w:val="auto"/>
              </w:rPr>
              <w:t>Paid-In</w:t>
            </w:r>
          </w:p>
        </w:tc>
        <w:tc>
          <w:tcPr>
            <w:tcW w:w="1160" w:type="dxa"/>
            <w:vAlign w:val="bottom"/>
            <w:gridSpan w:val="3"/>
            <w:vMerge w:val="restart"/>
          </w:tcPr>
          <w:p>
            <w:pPr>
              <w:ind w:left="40"/>
              <w:spacing w:after="0" w:line="136"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20" w:type="dxa"/>
            <w:vAlign w:val="bottom"/>
            <w:gridSpan w:val="3"/>
            <w:vMerge w:val="restart"/>
          </w:tcPr>
          <w:p>
            <w:pPr>
              <w:ind w:left="80"/>
              <w:spacing w:after="0" w:line="13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35"/>
        </w:trPr>
        <w:tc>
          <w:tcPr>
            <w:tcW w:w="42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8"/>
                <w:szCs w:val="18"/>
                <w:color w:val="auto"/>
              </w:rPr>
            </w:pPr>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April 30, 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1,410,325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(349,333)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1,061,175</w:t>
            </w:r>
          </w:p>
        </w:tc>
        <w:tc>
          <w:tcPr>
            <w:tcW w:w="0" w:type="dxa"/>
            <w:vAlign w:val="bottom"/>
          </w:tcPr>
          <w:p>
            <w:pPr>
              <w:spacing w:after="0"/>
              <w:rPr>
                <w:sz w:val="1"/>
                <w:szCs w:val="1"/>
                <w:color w:val="auto"/>
              </w:rPr>
            </w:pPr>
          </w:p>
        </w:tc>
      </w:tr>
      <w:tr>
        <w:trPr>
          <w:trHeight w:val="199"/>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Issuance of Class A common stock upon exercise of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21,410</w:t>
            </w:r>
          </w:p>
        </w:tc>
        <w:tc>
          <w:tcPr>
            <w:tcW w:w="0" w:type="dxa"/>
            <w:vAlign w:val="bottom"/>
          </w:tcPr>
          <w:p>
            <w:pPr>
              <w:spacing w:after="0"/>
              <w:rPr>
                <w:sz w:val="1"/>
                <w:szCs w:val="1"/>
                <w:color w:val="auto"/>
              </w:rPr>
            </w:pPr>
          </w:p>
        </w:tc>
      </w:tr>
      <w:tr>
        <w:trPr>
          <w:trHeight w:val="210"/>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options</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Vesting of early exercised Class A common stock options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0" w:type="dxa"/>
            <w:vAlign w:val="bottom"/>
          </w:tcPr>
          <w:p>
            <w:pPr>
              <w:spacing w:after="0"/>
              <w:rPr>
                <w:sz w:val="1"/>
                <w:szCs w:val="1"/>
                <w:color w:val="auto"/>
              </w:rPr>
            </w:pPr>
          </w:p>
        </w:tc>
      </w:tr>
      <w:tr>
        <w:trPr>
          <w:trHeight w:val="233"/>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Repurchase and retirement of Class A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33"/>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113,441</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0" w:type="dxa"/>
            <w:vAlign w:val="bottom"/>
          </w:tcPr>
          <w:p>
            <w:pPr>
              <w:spacing w:after="0"/>
              <w:rPr>
                <w:sz w:val="1"/>
                <w:szCs w:val="1"/>
                <w:color w:val="auto"/>
              </w:rPr>
            </w:pPr>
          </w:p>
        </w:tc>
      </w:tr>
      <w:tr>
        <w:trPr>
          <w:trHeight w:val="237"/>
        </w:trPr>
        <w:tc>
          <w:tcPr>
            <w:tcW w:w="4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(192,065)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(192,065)</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April 30,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106,225</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1,532,917</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(541,398)</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989,477</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upon exercise of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early exercised Class A common stock options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withholding related to net share settlement of 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w:t>
            </w:r>
          </w:p>
        </w:tc>
        <w:tc>
          <w:tcPr>
            <w:tcW w:w="0" w:type="dxa"/>
            <w:vAlign w:val="bottom"/>
          </w:tcPr>
          <w:p>
            <w:pPr>
              <w:spacing w:after="0"/>
              <w:rPr>
                <w:sz w:val="1"/>
                <w:szCs w:val="1"/>
                <w:color w:val="auto"/>
              </w:rPr>
            </w:pPr>
          </w:p>
        </w:tc>
      </w:tr>
      <w:tr>
        <w:trPr>
          <w:trHeight w:val="202"/>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under employee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25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181,522</w:t>
            </w:r>
          </w:p>
        </w:tc>
        <w:tc>
          <w:tcPr>
            <w:tcW w:w="0" w:type="dxa"/>
            <w:vAlign w:val="bottom"/>
          </w:tcPr>
          <w:p>
            <w:pPr>
              <w:spacing w:after="0"/>
              <w:rPr>
                <w:sz w:val="1"/>
                <w:szCs w:val="1"/>
                <w:color w:val="auto"/>
              </w:rPr>
            </w:pPr>
          </w:p>
        </w:tc>
      </w:tr>
      <w:tr>
        <w:trPr>
          <w:trHeight w:val="23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0" w:type="dxa"/>
            <w:vAlign w:val="bottom"/>
          </w:tcPr>
          <w:p>
            <w:pPr>
              <w:spacing w:after="0"/>
              <w:rPr>
                <w:sz w:val="1"/>
                <w:szCs w:val="1"/>
                <w:color w:val="auto"/>
              </w:rPr>
            </w:pPr>
          </w:p>
        </w:tc>
      </w:tr>
      <w:tr>
        <w:trPr>
          <w:trHeight w:val="246"/>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(268,839)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(268,839)</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April 30,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113,943</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1,740,174</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(810,237)</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929,665</w:t>
            </w: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2220" w:type="dxa"/>
            <w:vAlign w:val="bottom"/>
            <w:gridSpan w:val="5"/>
            <w:vMerge w:val="restart"/>
          </w:tcPr>
          <w:p>
            <w:pPr>
              <w:ind w:left="5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260" w:type="dxa"/>
            <w:vAlign w:val="bottom"/>
          </w:tcPr>
          <w:p>
            <w:pPr>
              <w:spacing w:after="0"/>
              <w:rPr>
                <w:sz w:val="10"/>
                <w:szCs w:val="10"/>
                <w:color w:val="auto"/>
              </w:rPr>
            </w:pPr>
          </w:p>
        </w:tc>
        <w:tc>
          <w:tcPr>
            <w:tcW w:w="22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00"/>
              <w:spacing w:after="0" w:line="136" w:lineRule="exact"/>
              <w:rPr>
                <w:sz w:val="20"/>
                <w:szCs w:val="20"/>
                <w:color w:val="auto"/>
              </w:rPr>
            </w:pPr>
            <w:r>
              <w:rPr>
                <w:rFonts w:ascii="Times New Roman" w:cs="Times New Roman" w:eastAsia="Times New Roman" w:hAnsi="Times New Roman"/>
                <w:sz w:val="15"/>
                <w:szCs w:val="15"/>
                <w:b w:val="1"/>
                <w:bCs w:val="1"/>
                <w:color w:val="auto"/>
              </w:rPr>
              <w:t>Paid-In</w:t>
            </w:r>
          </w:p>
        </w:tc>
        <w:tc>
          <w:tcPr>
            <w:tcW w:w="1160" w:type="dxa"/>
            <w:vAlign w:val="bottom"/>
            <w:gridSpan w:val="3"/>
            <w:vMerge w:val="restart"/>
          </w:tcPr>
          <w:p>
            <w:pPr>
              <w:jc w:val="right"/>
              <w:ind w:right="100"/>
              <w:spacing w:after="0" w:line="136"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20" w:type="dxa"/>
            <w:vAlign w:val="bottom"/>
            <w:gridSpan w:val="3"/>
            <w:vMerge w:val="restart"/>
          </w:tcPr>
          <w:p>
            <w:pPr>
              <w:ind w:left="80"/>
              <w:spacing w:after="0" w:line="13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35"/>
        </w:trPr>
        <w:tc>
          <w:tcPr>
            <w:tcW w:w="42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8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8"/>
                <w:szCs w:val="18"/>
                <w:color w:val="auto"/>
              </w:rPr>
            </w:pPr>
          </w:p>
        </w:tc>
        <w:tc>
          <w:tcPr>
            <w:tcW w:w="840" w:type="dxa"/>
            <w:vAlign w:val="bottom"/>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1,740,174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(810,237)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929,665</w:t>
            </w:r>
          </w:p>
        </w:tc>
        <w:tc>
          <w:tcPr>
            <w:tcW w:w="0" w:type="dxa"/>
            <w:vAlign w:val="bottom"/>
          </w:tcPr>
          <w:p>
            <w:pPr>
              <w:spacing w:after="0"/>
              <w:rPr>
                <w:sz w:val="1"/>
                <w:szCs w:val="1"/>
                <w:color w:val="auto"/>
              </w:rPr>
            </w:pPr>
          </w:p>
        </w:tc>
      </w:tr>
      <w:tr>
        <w:trPr>
          <w:trHeight w:val="202"/>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upon exercise of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early exercised Class A common stock options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02"/>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withheld related to net share settlement of 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34,833</w:t>
            </w:r>
          </w:p>
        </w:tc>
        <w:tc>
          <w:tcPr>
            <w:tcW w:w="0" w:type="dxa"/>
            <w:vAlign w:val="bottom"/>
          </w:tcPr>
          <w:p>
            <w:pPr>
              <w:spacing w:after="0"/>
              <w:rPr>
                <w:sz w:val="1"/>
                <w:szCs w:val="1"/>
                <w:color w:val="auto"/>
              </w:rPr>
            </w:pPr>
          </w:p>
        </w:tc>
      </w:tr>
      <w:tr>
        <w:trPr>
          <w:trHeight w:val="202"/>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Class A common stock under employee stock</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0" w:type="dxa"/>
            <w:vAlign w:val="bottom"/>
          </w:tcPr>
          <w:p>
            <w:pPr>
              <w:spacing w:after="0"/>
              <w:rPr>
                <w:sz w:val="1"/>
                <w:szCs w:val="1"/>
                <w:color w:val="auto"/>
              </w:rPr>
            </w:pPr>
          </w:p>
        </w:tc>
      </w:tr>
      <w:tr>
        <w:trPr>
          <w:trHeight w:val="25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176,968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176,968</w:t>
            </w:r>
          </w:p>
        </w:tc>
        <w:tc>
          <w:tcPr>
            <w:tcW w:w="0" w:type="dxa"/>
            <w:vAlign w:val="bottom"/>
          </w:tcPr>
          <w:p>
            <w:pPr>
              <w:spacing w:after="0"/>
              <w:rPr>
                <w:sz w:val="1"/>
                <w:szCs w:val="1"/>
                <w:color w:val="auto"/>
              </w:rPr>
            </w:pPr>
          </w:p>
        </w:tc>
      </w:tr>
      <w:tr>
        <w:trPr>
          <w:trHeight w:val="23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46"/>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(279,696)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(279,696)</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April 30,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123,706</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1,963,726</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(1,089,933)</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873,353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(279,696)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(268,839)</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(192,065)</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216,542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113,441</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discounts on marketable securities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(14,156)</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(14,578)</w:t>
            </w:r>
          </w:p>
        </w:tc>
        <w:tc>
          <w:tcPr>
            <w:tcW w:w="0" w:type="dxa"/>
            <w:vAlign w:val="bottom"/>
          </w:tcPr>
          <w:p>
            <w:pPr>
              <w:spacing w:after="0"/>
              <w:rPr>
                <w:sz w:val="1"/>
                <w:szCs w:val="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34,481</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10,394</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1"/>
                <w:szCs w:val="21"/>
                <w:color w:val="auto"/>
                <w:vertAlign w:val="superscript"/>
              </w:rPr>
              <w:t>(4)</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revenue</w:t>
            </w:r>
            <w:r>
              <w:rPr>
                <w:rFonts w:ascii="Times New Roman" w:cs="Times New Roman" w:eastAsia="Times New Roman" w:hAnsi="Times New Roman"/>
                <w:sz w:val="21"/>
                <w:szCs w:val="21"/>
                <w:color w:val="auto"/>
                <w:vertAlign w:val="superscript"/>
              </w:rPr>
              <w:t>(5)</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(26,085)</w:t>
            </w: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(62,362)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(115,691)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(86,462)</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(796,487)</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Maturities and sales of investments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789,292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876,713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1,117,793</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317,015</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Repurchase and retirement of Class A Common stock</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3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Class A common stock under employee stock purchase plan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Class A common stock options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20,816</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236,264</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297,395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352,519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116,255</w:t>
            </w:r>
          </w:p>
        </w:tc>
        <w:tc>
          <w:tcPr>
            <w:tcW w:w="0" w:type="dxa"/>
            <w:vAlign w:val="bottom"/>
          </w:tcPr>
          <w:p>
            <w:pPr>
              <w:spacing w:after="0"/>
              <w:rPr>
                <w:sz w:val="1"/>
                <w:szCs w:val="1"/>
                <w:color w:val="auto"/>
              </w:rPr>
            </w:pPr>
          </w:p>
        </w:tc>
      </w:tr>
      <w:tr>
        <w:trPr>
          <w:trHeight w:val="262"/>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297,395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352,519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339,528</w:t>
            </w:r>
          </w:p>
        </w:tc>
        <w:tc>
          <w:tcPr>
            <w:tcW w:w="0" w:type="dxa"/>
            <w:vAlign w:val="bottom"/>
          </w:tcPr>
          <w:p>
            <w:pPr>
              <w:spacing w:after="0"/>
              <w:rPr>
                <w:sz w:val="1"/>
                <w:szCs w:val="1"/>
                <w:color w:val="auto"/>
              </w:rPr>
            </w:pPr>
          </w:p>
        </w:tc>
      </w:tr>
      <w:tr>
        <w:trPr>
          <w:trHeight w:val="25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Restricted cash included in other assets, non-current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0" w:type="dxa"/>
            <w:vAlign w:val="bottom"/>
          </w:tcPr>
          <w:p>
            <w:pPr>
              <w:spacing w:after="0"/>
              <w:rPr>
                <w:sz w:val="1"/>
                <w:szCs w:val="1"/>
                <w:color w:val="auto"/>
              </w:rPr>
            </w:pPr>
          </w:p>
        </w:tc>
      </w:tr>
      <w:tr>
        <w:trPr>
          <w:trHeight w:val="26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297,395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352,519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7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 - cash paid for income taxes</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48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0" w:type="dxa"/>
            <w:vAlign w:val="bottom"/>
          </w:tcPr>
          <w:p>
            <w:pPr>
              <w:spacing w:after="0"/>
              <w:rPr>
                <w:sz w:val="1"/>
                <w:szCs w:val="1"/>
                <w:color w:val="auto"/>
              </w:rPr>
            </w:pPr>
          </w:p>
        </w:tc>
      </w:tr>
      <w:tr>
        <w:trPr>
          <w:trHeight w:val="23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liabilities</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48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 (including remeasurement of right-</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60" w:type="dxa"/>
            <w:vAlign w:val="bottom"/>
            <w:vMerge w:val="continue"/>
          </w:tcPr>
          <w:p>
            <w:pPr>
              <w:spacing w:after="0"/>
              <w:rPr>
                <w:sz w:val="13"/>
                <w:szCs w:val="13"/>
                <w:color w:val="auto"/>
              </w:rPr>
            </w:pPr>
          </w:p>
        </w:tc>
        <w:tc>
          <w:tcPr>
            <w:tcW w:w="920" w:type="dxa"/>
            <w:vAlign w:val="bottom"/>
            <w:vMerge w:val="restart"/>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48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8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26,529</w:t>
            </w:r>
          </w:p>
        </w:tc>
        <w:tc>
          <w:tcPr>
            <w:tcW w:w="0" w:type="dxa"/>
            <w:vAlign w:val="bottom"/>
          </w:tcPr>
          <w:p>
            <w:pPr>
              <w:spacing w:after="0"/>
              <w:rPr>
                <w:sz w:val="1"/>
                <w:szCs w:val="1"/>
                <w:color w:val="auto"/>
              </w:rPr>
            </w:pPr>
          </w:p>
        </w:tc>
      </w:tr>
      <w:tr>
        <w:trPr>
          <w:trHeight w:val="116"/>
        </w:trPr>
        <w:tc>
          <w:tcPr>
            <w:tcW w:w="67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of-use assets and lease liabilities due to changes in the timing of receipt of lease incentives)</w:t>
            </w:r>
          </w:p>
        </w:tc>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60" w:type="dxa"/>
            <w:vAlign w:val="bottom"/>
            <w:vMerge w:val="continue"/>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 arising from lease modifications</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Unpaid liabilities related to intangible purchases</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
        </w:trPr>
        <w:tc>
          <w:tcPr>
            <w:tcW w:w="676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6760" w:type="dxa"/>
            <w:vAlign w:val="bottom"/>
            <w:shd w:val="clear" w:color="auto" w:fill="CCEEFF"/>
          </w:tcPr>
          <w:p>
            <w:pPr>
              <w:ind w:left="240"/>
              <w:spacing w:after="0" w:line="175" w:lineRule="exact"/>
              <w:rPr>
                <w:sz w:val="20"/>
                <w:szCs w:val="20"/>
                <w:color w:val="auto"/>
              </w:rPr>
            </w:pPr>
            <w:r>
              <w:rPr>
                <w:rFonts w:ascii="Times New Roman" w:cs="Times New Roman" w:eastAsia="Times New Roman" w:hAnsi="Times New Roman"/>
                <w:sz w:val="16"/>
                <w:szCs w:val="16"/>
                <w:color w:val="auto"/>
              </w:rPr>
              <w:t>Receivable from exercise of stock options included in prepaid expenses, other current assets and</w:t>
            </w:r>
          </w:p>
        </w:tc>
        <w:tc>
          <w:tcPr>
            <w:tcW w:w="920" w:type="dxa"/>
            <w:vAlign w:val="bottom"/>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gridSpan w:val="3"/>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29"/>
        </w:trPr>
        <w:tc>
          <w:tcPr>
            <w:tcW w:w="67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480" w:type="dxa"/>
            <w:vAlign w:val="bottom"/>
            <w:gridSpan w:val="3"/>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760" w:type="dxa"/>
            <w:vAlign w:val="bottom"/>
            <w:tcBorders>
              <w:bottom w:val="single" w:sz="8" w:color="CCEEFF"/>
            </w:tcBorders>
            <w:vMerge w:val="continue"/>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4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$12,444, $38,772 and $20,668 for the fiscal years ended April 30, 2024, 2023 and 2022, respectively.</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$(810), $(4,741) and $12,739 for the fiscal years ended April 30, 2024, 2023 and 2022, respectively.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$248, $(16,349) and $18,493 for the fiscal years ended April 30, 2024, 2023 and 2022,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$(2,448), $(2,510) and $(3,350) for the fiscal years ended April 30, 2024, 2023 and 2022,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changes in related party balances of $(46), $117 and $(7,565) for the fiscal years ended April 30, 2024, 2023 and 2022,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C3.ai, Inc. (including its subsidiaries, “C3 AI” or “the Company”) is an enterprise artificial intelligence (“AI”) software provider. The Company’s C3 AI Platform supports accelerating digital transformation in various industries with prebuilt and configurable C3 AI Applications for business use cases including predictive maintenance, fraud detection, sensor network health, supply network optimization, energy management, anti-money laundering, and customer engagement. The Company supports customers in the United States, Europe, and other parts of the world. The Company was initially formed as a limited liability company in Delaware on January 8, 2009 and converted to a Delaware corporation in June 2012.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generally accepted accounting principles in the United States (“U.S. GAAP”) and applicable rules and regulations of the U.S. Securities and Exchange commission (the “SEC”). The consolidated financial statements include the accounts of the Company and its wholly owned subsidiaries. All intercompany balances and transactions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Actual results and outcomes could differ significantly from the Company’s estimates, judgments, and assumptions. Significant estimates include, but are not limited to, determining standalone selling price for performance obligations in contracts with customers and estimating variable consideration, the estimated expected benefit period for deferred contract acquisition costs, the useful lives of long-lived assets, the incremental borrowing rate for operating leases, other assumptions used to measure stock-based compensation, and the valuation of deferred income tax assets and uncertain tax positions.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April 30. References to fiscal 2024, 2023 and 2022 relate to the fiscal years ended April 30, 2024,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Financial instruments that potentially subject the Company to concentration of credit risk consist of cash and cash equivalents, marketable securities and accounts receivable. The majority of the Company’s cash and cash equivalents are held by one financial institution. The Company is exposed to that financial institution to the extent that its cash balance with that financial institution is in excess of Federal Deposit Insurance Company (“FDIC”) insurance limits. The Company’s investment policy is to invest in securities with a minimum rating of P-2 by Moody’s, A-2 by Standard &amp; Poor’s, F2 by Fitch’s or higher for short-term investments, and minimum rating of BBB by Moody’s, Standard &amp; Poor’s, Fitch’s or higher for long-term investments. For accounts receivable, the Company is exposed to credit risk in the event of nonpayment by customers up to the amounts recorded on the consolidated balance sheets. The Company manages its accounts receivable credit risk through ongoing credit evaluation of its customers financial conditions. The Company generally does not require collateral from its customers. See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xml:space="preserve"> for information regarding the Company’s significant customers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The Company’s cash equivalents consisted of investments in money market funds, certificates of deposit, commercial paper and corporate debt securities as of April 30, 2024 and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had restricted cash pledged as security deposits at April 30, 2024 and 2023 of $12.6 million and $12.6 million, respectively, representing a security deposit required by certain leases. The balance of restricted cash as of April 30, 2024 and 2023 was recorded in other assets, non-current and prepaid expenses and other current assets on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and are recorded at estimated fair value. The Company’s available-for-sale marketable securities comprised of money market funds, U.S. treasury securities, certificates of deposit, U.S. government agency securities, commercial paper, and corporate debt securities, are classified as available-for-sale marketable securities. The Company considers all of its marketable securities as available for use in current operations, including those with maturity dates beyond one year, and therefore classifies these securities within current assets on the consolidated balance sheet. Purchase premiums and discounts are amortized or accreted using the effective interest method over the life of the related security and such amortization and accretion are included in interest income in the consolidated statements of operations.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available-for-sale marketable securities in an unrealized loss position, the Company first assesses whether it intends to sell or it is more likely than not that the Company will be required to sell the security before the recovery of its entire amortized cost basis. If either of these criteria is met, the security’s amortized cost basis is written down to fair value through other income (expense), net in the consolidated statements of operations. If neither of these criteria is met, the Company further assesses whether the decline in fair value below amortized cost is due to credit or non-credit related factors. In making this assessment, the Company considers the extent to which fair value is less than amortized cost, any changes to the rating of the security by a rating agency, and any adverse conditions specifically related to the security, among other factors. Credit related unrealized losses are recognized as an allowance on the consolidated balance sheets with a corresponding charge in the other (expense) income, net in the consolidated statements of operations. Non-credit related unrealized losses and unrealized gains on available-for-sale marketable securities are reported in other comprehensive (loss) income as a separate component on the consolidated statements of comprehensive loss. Realized gains and losses are determined based on the specific-identification method and are reported in interest income on the consolidated statements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includes billed and unbilled receivables, net of allowance of doubtful accounts.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doubtful accounts by considering the age of each outstanding invoice and the collection history of each customer to determine the appropriate amount of allowance for doubtful accounts. An allowance for doubtful accounts balance of $0.4 million and $0.4 million was recorded as of April 30, 2024 and 2023, respectively. Accounts receivable included unbilled receivables of as of April 30, 2024 and April 30, 2023 of $62.3 million and $77.6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3—Inputs that are unobservable for the asset or liability.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are comprised primarily of prepaid cloud subscriptions, other receivables, costs to obtain and fulfill a contract, prepaid software subscriptions, prepaid rent, and prepaid insurance premiums.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Assets are depreciated using the straight-line method over useful lives of three to five years. Leasehold improvements and certain furniture and fixtures are amortized using the straight-line method over the lesser of the remaining respective lease term or useful lives.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April 30, 2024, 2023 and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the amount by which the cost of acquired net assets in a business combination exceeds the fair value of the net identifiable assets on the date of purchase and is carried at its historical cost. The Company tests goodwill for impairment on an annual basis or more frequently if events or changes in circumstances indicate that the asset might be impaired. The Company performs its annual impairment test of goodwill as of February 1, and whenever events or circumstances indicate that the asset might be impaired. The tests did not result in an impairment to goodwill during the fiscal years ended April 30, 2024, 2023 and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lease arrangements that include lease and non-lease components. The Company has elected to not account for the lease and non-lease components separately. For short-term leases, defined as leases with a lease term of 12 months or less, the Company elected to not recognize an associated lease liability and right-of-use (“ROU”), asset. Lease payments for short-term leases are expensed on a straight-line basis over the lease term.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subleases certain of its unoccupied facilities to third parties. Any impairment to the associated right-of-use assets, leasehold improvements, or other assets as a result of a sublease is recognized in the period the sublease is executed and recorded in the consolidated statements of operations. The Company recognizes sublease income on a straight-line basis over the sublease term. Sublease income is recorded as a reduction to the Company’s operating lease costs.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have financing leases. Operating lease ROU assets represent the Company’s right to use an underlying asset for the lease term and lease liabilities represent its obligation to make lease payments arising from the lease. Operating lease ROU assets and liabilities are recognized at the commencement date based on the present value of remaining lease payments over the lease term. The Company uses the rate implicit in the lease when readily determinable at lease inception. If the implicit rate is not readily determinable, the Company uses its incremental borrowing rate based on the information available at the adoption date for leases that commenced prior to the adoption date and the commencement date for leases that commenced after the adoption date. The incremental borrowing rate assumptions include the lease term and the Company’s credit risk. The operating lease ROU asset also includes any advance lease payments made and excludes lease incentives. The Company’s lease terms include options to extend or terminate the lease when it is reasonably certain that the Company will exercise that option. Lease expense for lease payments is recognized on a straight-line basis as operating expense in the consolidated statements of operations over the lease term.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certain software development costs subsequent to the establishment of technological feasibility. Based on the Company’s product development process and substantial development risks, the Company’s products are made available for general release as soon as technological feasibility is reached.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expenses the cost of purchased software that is to be sold, leased, or otherwise marketed as part of a product until the technological feasibility of the product has been established or where the software has an alternative future use.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product-by-product basis the greater of the ratio of current gross revenues to the total of current and anticipated future gross revenues or over the remaining estimated economic life of the product.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2024 and 2023, capitalized software costs of $4.3 million and $3.0 million, respectively, were included in other assets, non-current on the consolidated balance sheets. The Company amortized capitalized software costs of $1.3 million, $1.1 million and $0.7 million during the fiscal years ended April 30, 2024, 2023 and 2022, respectively, and included in cost of subscription revenue in the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of the Company’s revenue recognition criteria are met. The portion of deferred revenue that is anticipated to be recognized as revenue during the succeeding twelve-month period is recorded as deferred revenue, current and the remaining portion is recorded as deferred revenue, non-current on the consolidated balance sheets. The Company’s contract liabilities are classified as deferred revenue upon the right to invoice or when payments have been received for undelivered products or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Accounting Standards Codifications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all periods presented. The core principle of ASC 606 is to recognize revenue from the transfer of promised goods or services to customers in an amount that reflects the consideration the Company expects to be entitled to in exchange for those goods or services. This principle is achieved by applying the following five-step approach:</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Identification of the Contract, or Contracts, with a Customer. </w:t>
      </w:r>
      <w:r>
        <w:rPr>
          <w:rFonts w:ascii="Times New Roman" w:cs="Times New Roman" w:eastAsia="Times New Roman" w:hAnsi="Times New Roman"/>
          <w:sz w:val="18"/>
          <w:szCs w:val="18"/>
          <w:color w:val="auto"/>
        </w:rPr>
        <w:t>A contract with a customer exists when (1) the Company enters into an enforceable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customer that defines each party’s rights regarding the goods or services to be transferred and identifies the payment terms related to these goods or services, (2) the contract has commercial substance and (3) the Company determines that collection of substantially all consideration for goods or services that are transferred is probable based on the customer’s intent and ability to pay the promised consideration.</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Identification of the Performance Obligations in the Contract. </w:t>
      </w:r>
      <w:r>
        <w:rPr>
          <w:rFonts w:ascii="Times New Roman" w:cs="Times New Roman" w:eastAsia="Times New Roman" w:hAnsi="Times New Roman"/>
          <w:sz w:val="18"/>
          <w:szCs w:val="18"/>
          <w:color w:val="auto"/>
        </w:rPr>
        <w:t>Performance obligations promised in a contract are identified based on the goods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 To the extent a contract includes multiple promised goods or services, the Company applies judgment to determine whether promised goods or services are capable of being distinct and distinct in the context of the contract. If these criteria are not met, the promised goods or services are accounted for as a combined performance obligation.</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Determination of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transferring goods or services to the customer, net of sales taxes or value-added taxes. If the transaction price includes variable consideration, the Company includes an estimate of the amount it expects to receive if it is probable that a significant reversal of cumulative revenue recognized will not occur. Usage-based fees earned in exchange for the use of the Company’s software licenses and subscription services in excess of committed usage are recognized in the period when usage occurs.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Allocation of the Transaction Price to the Performance Obligations in the Contract. </w:t>
      </w:r>
      <w:r>
        <w:rPr>
          <w:rFonts w:ascii="Times New Roman" w:cs="Times New Roman" w:eastAsia="Times New Roman" w:hAnsi="Times New Roman"/>
          <w:sz w:val="18"/>
          <w:szCs w:val="18"/>
          <w:color w:val="auto"/>
        </w:rPr>
        <w:t>Contracts that contain multiple performance obligations require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of the transaction price to each performance obligation based on a relative standalone selling price (“SSP”). When appropriate, the Company determines SSP based on data points that include the price at which the performance obligation has previously been sold through past transactions on a stand-alone basis, internally approved pricing guidelines and other relevant data points. If there is no observable SSP, it is estimated using judgement and considering all reasonably available information including but not limited to pricing practices, competitor pricing strategies and other observable inputs. When the SSP of a license or subscription and bundled maintenance and support services is highly variable and the contract also includes additional performance obligations with observable SSP, the Company first allocates the transaction price to the performance obligations with established SSPs and then applies the residual approach to allocate the remaining transaction price to the license or subscription and bundled maintenance and support services. If applying the residual approach results in zero or very little consideration being allocated to the performance obligation, the Company considers all reasonably available data to determine an appropriate allocation of the transaction price. If the contract contains a single performance obligation, the entire transaction price is allocated to the single performance obligation.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Recognition of Revenue when, or as, Performance Obligations are Satisfied</w:t>
      </w:r>
      <w:r>
        <w:rPr>
          <w:rFonts w:ascii="Times New Roman" w:cs="Times New Roman" w:eastAsia="Times New Roman" w:hAnsi="Times New Roman"/>
          <w:sz w:val="18"/>
          <w:szCs w:val="18"/>
          <w:color w:val="auto"/>
        </w:rPr>
        <w:t>. The Company satisfies substantially all of its performance obligations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as discussed in further detail below. Revenue is recognized at the time the related performance obligation is satisfied with the transfer of a promised good or service to a customer over time. Revenue from software licenses that do not require maintenance and support services is recognized when the control of the software is transferred to the customer.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Subscription Revenue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subscription revenue is primarily comprised of software licenses, software-as-a-service offerings (“SaaS”) stand-ready Center of Excellence (“COE”) support services, pilots and trials of our C3 AI Applications or Generative AI, and consumption-based pricing. Licenses represent a contractual right for a customer to take possession of the software and it is feasible for the customer to host the software independently. SaaS represents a right for a customer to access the software through the Company’s cloud environment and the customer does not have the right to take possession of the software. Subscriptions generally include our maintenance and support services that comprise of critical and continuous updates to the software that are integral to maintaining the intended utility of the software over the contractual term. For the significant majority of the Company’s offerings, software and maintenance and support services are highly interdependent and interrelated and represent a single performance obligation within the context of the contract and are generally satisfied over time.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subscriptions are generally offered under renewable, multi-period, fixed fee contracts where payments are typically due in advance. A time-elapsed output method is used to measure progress because the nature of the promise is a stand-ready service. The Company also offers premium stand-ready C3 AI COE support services, hosting services and trial services, which are distinct performance obligations. A description of the Company’s offerings are as follows:</w:t>
      </w:r>
    </w:p>
    <w:p>
      <w:pPr>
        <w:spacing w:after="0" w:line="124" w:lineRule="exact"/>
        <w:rPr>
          <w:sz w:val="20"/>
          <w:szCs w:val="20"/>
          <w:color w:val="auto"/>
        </w:rPr>
      </w:pPr>
    </w:p>
    <w:p>
      <w:pPr>
        <w:jc w:val="both"/>
        <w:ind w:left="660" w:hanging="4"/>
        <w:spacing w:after="0" w:line="257" w:lineRule="auto"/>
        <w:tabs>
          <w:tab w:leader="none" w:pos="9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C3 AI Platform. </w:t>
      </w:r>
      <w:r>
        <w:rPr>
          <w:rFonts w:ascii="Times New Roman" w:cs="Times New Roman" w:eastAsia="Times New Roman" w:hAnsi="Times New Roman"/>
          <w:sz w:val="18"/>
          <w:szCs w:val="18"/>
          <w:color w:val="auto"/>
        </w:rPr>
        <w:t>C3 AI Platform is a comprehensive suite that allows for the design, deployment, and operation of AI, predictive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analytics, and applications at enterprise scale. The C3 AI Platform provides data scientists and application developers robust advantages for rapid application and analytics development and deployment. Customers primarily pay for the C3 AI Platform via fixed annual fees based on the number of development users allowed to access the C3 AI Platform. The C3 AI Platform offering is primarily a term subscription but at times has been sold as a perpetual license and generates additional runtime subscription fees, a form of consumption or usage-based revenue based on compute and storage resources required to run the C3 AI Platform.</w:t>
      </w:r>
    </w:p>
    <w:p>
      <w:pPr>
        <w:spacing w:after="0" w:line="128"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9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Applications. </w:t>
      </w:r>
      <w:r>
        <w:rPr>
          <w:rFonts w:ascii="Times New Roman" w:cs="Times New Roman" w:eastAsia="Times New Roman" w:hAnsi="Times New Roman"/>
          <w:sz w:val="18"/>
          <w:szCs w:val="18"/>
          <w:color w:val="auto"/>
        </w:rPr>
        <w:t>C3 AI Applications are production applications that address a wide range of predictive analytics, reporting, visualization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Generative AI use cases. C3 AI Applications are industry-tested and proven enterprise-grade applications built on a cohesive suite architecture that is designed to integrate and process highly dynamic data sets from sensor networks and enterprise and extraprise information systems, and enable advanced ML capabilities. C3 AI Applications sold without the C3 AI Platform can be in the form of term or perpetual licenses or subscriptions and earn revenue through a fixed fee or through runtime subscription fees. This includes software licenses that are prototype versions of C3 AI Applications configured for a customer and do not require maintenance and support services.</w:t>
      </w:r>
    </w:p>
    <w:p>
      <w:pPr>
        <w:spacing w:after="0" w:line="128" w:lineRule="exact"/>
        <w:rPr>
          <w:rFonts w:ascii="Times New Roman" w:cs="Times New Roman" w:eastAsia="Times New Roman" w:hAnsi="Times New Roman"/>
          <w:sz w:val="18"/>
          <w:szCs w:val="18"/>
          <w:color w:val="auto"/>
        </w:rPr>
      </w:pPr>
    </w:p>
    <w:p>
      <w:pPr>
        <w:ind w:left="660" w:hanging="4"/>
        <w:spacing w:after="0" w:line="284" w:lineRule="auto"/>
        <w:tabs>
          <w:tab w:leader="none" w:pos="9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Generative AI. </w:t>
      </w:r>
      <w:r>
        <w:rPr>
          <w:rFonts w:ascii="Times New Roman" w:cs="Times New Roman" w:eastAsia="Times New Roman" w:hAnsi="Times New Roman"/>
          <w:sz w:val="18"/>
          <w:szCs w:val="18"/>
          <w:color w:val="auto"/>
        </w:rPr>
        <w:t>C3 Generative AI combines the utility of LLMs, generative AI, reinforcement learning, natural language processing,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C3 AI Platform to rapidly locate, retrieve, and present information, disparate data stores, applications, and enterprise information systems.</w:t>
      </w:r>
    </w:p>
    <w:p>
      <w:pPr>
        <w:spacing w:after="0" w:line="104"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9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Maintenance and Support Services. </w:t>
      </w:r>
      <w:r>
        <w:rPr>
          <w:rFonts w:ascii="Times New Roman" w:cs="Times New Roman" w:eastAsia="Times New Roman" w:hAnsi="Times New Roman"/>
          <w:sz w:val="18"/>
          <w:szCs w:val="18"/>
          <w:color w:val="auto"/>
        </w:rPr>
        <w:t>C3 AI Maintenance and Support Services are provided for the C3 AI Platform and the C3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that are selected by the customer. This support includes standard monitoring, performance monitoring, database maintenance, security monitoring, upgrading, backup and restore, patching, etc. provided by the Company. The Company continuously provides updates that are critical to the continued and enhanced utility of the software.</w:t>
      </w:r>
    </w:p>
    <w:p>
      <w:pPr>
        <w:spacing w:after="0" w:line="125" w:lineRule="exact"/>
        <w:rPr>
          <w:rFonts w:ascii="Times New Roman" w:cs="Times New Roman" w:eastAsia="Times New Roman" w:hAnsi="Times New Roman"/>
          <w:sz w:val="18"/>
          <w:szCs w:val="18"/>
          <w:color w:val="auto"/>
        </w:rPr>
      </w:pPr>
    </w:p>
    <w:p>
      <w:pPr>
        <w:jc w:val="both"/>
        <w:ind w:left="660" w:hanging="4"/>
        <w:spacing w:after="0" w:line="258" w:lineRule="auto"/>
        <w:tabs>
          <w:tab w:leader="none" w:pos="9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C3 AI COE Support Services. </w:t>
      </w:r>
      <w:r>
        <w:rPr>
          <w:rFonts w:ascii="Times New Roman" w:cs="Times New Roman" w:eastAsia="Times New Roman" w:hAnsi="Times New Roman"/>
          <w:sz w:val="18"/>
          <w:szCs w:val="18"/>
          <w:color w:val="auto"/>
        </w:rPr>
        <w:t>COE Support Services provide premium development services and support by an available pool of resources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 the customer to utilize, extend or modify C3 AI Applications and/or to develop its own applications on the C3 AI Platform COE Support Services represent a stand-ready performance obligation comprised of a series of distinct days of service that is satisfied and recognized in revenue ratably over the term of the COE agreement. Revenue for COE Support Services is included within subscription revenue in the consolidated statements of operations.</w:t>
      </w:r>
    </w:p>
    <w:p>
      <w:pPr>
        <w:spacing w:after="0" w:line="129" w:lineRule="exact"/>
        <w:rPr>
          <w:rFonts w:ascii="Times New Roman" w:cs="Times New Roman" w:eastAsia="Times New Roman" w:hAnsi="Times New Roman"/>
          <w:sz w:val="18"/>
          <w:szCs w:val="18"/>
          <w:color w:val="auto"/>
        </w:rPr>
      </w:pPr>
    </w:p>
    <w:p>
      <w:pPr>
        <w:jc w:val="both"/>
        <w:ind w:left="660" w:hanging="4"/>
        <w:spacing w:after="0" w:line="267" w:lineRule="auto"/>
        <w:tabs>
          <w:tab w:leader="none" w:pos="9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Pilots. </w:t>
      </w:r>
      <w:r>
        <w:rPr>
          <w:rFonts w:ascii="Times New Roman" w:cs="Times New Roman" w:eastAsia="Times New Roman" w:hAnsi="Times New Roman"/>
          <w:sz w:val="18"/>
          <w:szCs w:val="18"/>
          <w:color w:val="auto"/>
        </w:rPr>
        <w:t>Pilots are subscriptions for unlimited developers access to C3 AI Platform, one C3 AI Application or C3 Generative AI and COE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services of up to six-months. Following the pilot period, customers either pay a monthly fee and consumption charges using vCPU and vGPU hours as the metric to calculate payment or enter into a time-certain multi-period commitment that may include consumption charge.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both"/>
        <w:ind w:left="660" w:hanging="4"/>
        <w:spacing w:after="0" w:line="257" w:lineRule="auto"/>
        <w:tabs>
          <w:tab w:leader="none" w:pos="9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Trials. </w:t>
      </w:r>
      <w:r>
        <w:rPr>
          <w:rFonts w:ascii="Times New Roman" w:cs="Times New Roman" w:eastAsia="Times New Roman" w:hAnsi="Times New Roman"/>
          <w:sz w:val="18"/>
          <w:szCs w:val="18"/>
          <w:color w:val="auto"/>
        </w:rPr>
        <w:t>Trial projects are typically fixed-price eight to 16-week product trials during which the Company works with customers to define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business problem or use case and address the use case using AI-based predictive analytics, integrate data, configure ML algorithms supporting the use case, and present the resulting insights, demonstrating a working application that shows the utility, benefit, and economic value to be gained from a production deployment. These paid trials are solely meant to demonstrate the feasibility of the Company’s offering to the customer and to encourage them to enter into a large, multi-year arrangement with the Company. Trial revenue is recognized over time during the trial period.</w:t>
      </w:r>
    </w:p>
    <w:p>
      <w:pPr>
        <w:spacing w:after="0" w:line="128"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9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Hosting Services. </w:t>
      </w:r>
      <w:r>
        <w:rPr>
          <w:rFonts w:ascii="Times New Roman" w:cs="Times New Roman" w:eastAsia="Times New Roman" w:hAnsi="Times New Roman"/>
          <w:sz w:val="18"/>
          <w:szCs w:val="18"/>
          <w:color w:val="auto"/>
        </w:rPr>
        <w:t>For certain customers, the Company provides access to the C3 AI Platform and/or C3 AI Applications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environment. The customer consumes and receives benefit throughout the hosting period from the entity’s performance of hosting and providing access to the hosted software, which the customer would otherwise have to undertake itself or obtain another party to do. The Company recognizes hosting services over time based on the consumption patterns of the customers. Customers who choose to install the C3 AI Platform and/or C3 AI Applications in their own cloud environments do not subscribe to the Company’s hosting services. Hosting services are generally offered as part of the subscription for C3 AI Platform and/or C3 AI Application arrangements, including pilots and the amount of revenue recognized on a monthly basis varies based on actual consumption by the customer.</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Professional Services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professional services primarily include implementation services, training and prioritized engineering services. The Company offers a complete range of professional service support both onsite and remotely, including training, application design, project management, system design, data modeling, data integration, application design, development support, data science, and application and AI Platform administration support. Professional services fees are based on the level of effort required to perform such tasks and are typically a fixed-fee engagement with a duration of less than 12 months. Prioritized engineering services are undertaken at the request of customers to accelerate the development of software features in C3 AI software products. These features are typically part of the Company’s product roadmap, but the customer contracts with the Company to obtain such features on a time-accelerated basis. The Company generally recognizes revenue from professional services over time as the performance obligations are satisfied.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typically invoices customers for subscription fees in annual increments upon execution of the initial contract or subsequent renewal, payable within 30 to 60 days, and providing customers access to the C3 AI Platform and/or C3 AI Applications. For pilots, the Company typically invoices customers upon execution of the contract. Monthly usage-based runtime and hosting charges are billed as they are delivered or in arrears. Certain government contracts are cancellable during the subscription term depending on the future fiscal funding available to the contract. The Company has not experienced any cancellation due to the funding constraint related to such contracts.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Accounts receivable are recorded at the invoiced amount, net of an allowance for doubtful accounts. A receivable is recognized in the period the Company delivers goods or provides services, or when the Company’s right to consideration is unconditional, whichever is earlier. In situations where revenue recognition occurs before invoicing, an unbilled receivable is recorded.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timing of revenue recognition usually differs from the timing of payment, the Company has determined the contracts generally do not include a significant financing component, because the period between when the Company transfers its software and services to a customer and when the customer pays for the software and service is typically one year or less. The primary purpose of the invoicing terms is to provide customers with simplified and predictable ways of purchasing the Company’s software and services, not to receive or provide financing.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customer acquisition costs are primarily related to sales commissions if such costs are incremental costs to obtain a contract without a service condition.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commissions are deferred and then amortized taking into consideration the pattern of transfer to which assets relate. If the commissions paid on the initial and renewal contracts are not commensurate to each other, the Company amortizes the commissions paid on the initial contract over an expected period of benefit, including expected renewals, which is determined to be approximately five years. In arriving at the average period of benefit the Company considered the duration of the Company’s relationships with customers and the Company’s technology. Sales commissions for renewal contracts are generally deferred and amortized over the contract period. Sales commissions for renewal contracts are expensed as incurred when the expected amortization period is one year or less.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to obtain a contract that will be amortized within the succeeding 12-month period are classified as current and included in prepaid expenses and other current assets on the consolidated balance sheets. The remaining balance is classified as non-current and are included in other assets on the consolidated balance sheets. Amortization expense is included in sales and marketing expenses in the consolidated statements of operations. Deferred commissions are periodically analyzed for impairment.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subscription revenue consists primarily of fulfillment costs related to compensation, including salaries, bonuses, benefits, stock-based compensation and other related expenses for the production environment, support and COE staff, hosting of the Company’s AI Platform, including payments to outside cloud service providers, and allocated overhead and depreciation for facilities.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professional services revenue consists primarily of compensation, including salaries, bonuses, benefits, stock-based compensation and other related costs associated with the Company’s professional service personnel that are fulfilling contracts with customers, and allocated overhead and depreciation for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offerings are warranted to perform in a manner consistent with industry standards.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arrangements generally include provisions for indemnifying customers against liabilities if its services infringe on a third party’s intellectual property rights. They also generally include service-level agreements warranting defined levels of uptime reliability and performance.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consider such assurance-type warranties as performance obligations under ASC 606. To date, the Company has not incurred material costs as a result of its warranties and indemnifications. There are no accrued liabilities related to these obligations on the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 awards, restricted stock units (“RSUs”) and employee stock awards related to the Employee Stock Purchase Plan (“ESPP”) is recognized based on the fair value of the awards granted.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and ESPP awards are estimated on the grant date using the Black-Scholes option pricing model. The Black-Scholes option pricing model requires the input of assumptions, including the fair value of the underlying common stock, the expected term of the option, the expected volatility of the price of the Company’s common stock, risk-free interest rates, and the expected dividend yield of the Company’s common stock, which are estimated as follows: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—For stock options considered to be “plain vanilla” options, the Company estimates the expected term based on the simplified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essentially the weighted average of the vesting period and contractual term, as the Company’s historical option exercise experience does not provide a reasonable basis upon which to estimate the expected term. The expected term for ESPP awards approximates the offering period.</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Company uses the average volatility of its Class A common stock and the stocks of a peer group of representative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develop an expected volatility assumption.</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—Risk-free rate is estimated based upon quoted market yields for the United States Treasury debt securities for a term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life of the awards in effect at the time of grant.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expected dividend is assumed to be zero as the Company has never paid dividends and has no current plans to do so.</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underlying common stock</w:t>
      </w:r>
      <w:r>
        <w:rPr>
          <w:rFonts w:ascii="Times New Roman" w:cs="Times New Roman" w:eastAsia="Times New Roman" w:hAnsi="Times New Roman"/>
          <w:sz w:val="18"/>
          <w:szCs w:val="18"/>
          <w:color w:val="auto"/>
        </w:rPr>
        <w:t>—Since the completion of the IPO, the fair value of the Company’s common stock is determined by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on the date of grant, of its common stock, which is traded on the New York Stock Exchange.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recognized following the straight-line attribution method over the requisite service period for options, and over the offering period for ESPP awards.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RSUs include time-based RSUs and performance-based RSUs with market conditions (“PRSUs”). The fair value of each time-based RSU is based on the fair value of the Company’s common stock on the date of grant. The fair value of each PRSU is measured using a Monte Carlo simulation valuation model which requires the use of various assumptions, including the stock price volatility and risk-free interest rate as of the valuation date corresponding to the length of time remaining in the performance period. Stock-based compensation expense for awards with market conditions is recognized over the requisite service period using the accelerated attribution method and is not reversed if the market condition is not met. The related stock-based compensation expense is recognized on a straight-line basis over the requisite service period of the awards.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forfeitures as they occur.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bonuses, benefits, and stock-based compensation for personnel involved in developing and refining platforms and applications, including adding new features and modules, increasing their functionality, and enhancing the usability of platforms and applications. Research and development expenses also include cloud infrastructure costs, other IT-related costs, and allocated overhead and depreciation for facilities. This includes certain costs related to development of features and modules created through prioritized engineering services purchased by customers where the Company retains the related intellectual property. Research and development costs are expensed as incurred.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expenses of $15.8 million, $6.9 million and $51.9 million incurred during the fiscal years ended April 30, 2024, 2023 and 2022, respectively, were expensed as incurred as a component of sales and marketing expenses on the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fiscal years ended April 30, 2024, 2023 and 2022, the Company did not match any employee contributions.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 U.S. dollar. Accordingly, monetary assets and liabilities of the Company’s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recognized in other (expense) income, net within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included in the consolidated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are recognized to the extent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is able to realize its deferred tax assets in the future in excess of their net recorded amount, the Company records an adjustment to the deferred tax asset valuation allowance, which reduces the provision for income taxes.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 benefits from uncertain tax positions are recognized only if it is more likely than not that the tax position will be sustained on examination by the taxing authorities, based on the technical merits of the position. The tax benefits recognized in the Company’s consolidated financial statements from such positions are measured based on the largest benefit that has a greater than 50% likelihood of being realized. Interest and penalties are recognized associated with tax matters as part of the income tax provision and include accrued interest and penalties with the related income tax liability on the Company’s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rights, including the liquidation and dividend rights, of the holders of Class A and Class B common stock are identical, except with respect to voting and conversion. As the liquidation and dividend rights are identical, the undistributed earnings are allocated on a proportionate basis and the resulting net loss per share will, therefore, be the same for both Class A and Class B common stock on an individual or combined basis. The net loss is allocated on a proportionate basis to participating securities and the resulting net loss per share attributable to common stockholders was the same for Class A and Class B common shares.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RSUs and ESPP. As the Company has reported losses for all periods presented, all potentially dilutive securities are antidilutive and accordingly, basic net loss per share equals diluted net loss per share.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(Loss) Income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comprehensive (loss) income during the fiscal years ended April 30, 2024, 2023 and 2022, was related to unrealized losses or gain from available-for-sale marketable securities, net of tax.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entity where discrete financial information is evaluated regularly by the chief operating decision maker in deciding how to allocate resources and assessing performance. The Company has identified its Chief Executive Officer (“CEO”) as the chief operating decision maker (“CODM”). The Company operates in one operating segment. The Company’s CODM allocates resources and assesses performance at the consolidated level. See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xml:space="preserve"> for revenue by geographic region. The Company’s property and equipment, net, are primarily located in the United States. No single other country accounted for more than 10% of total property and equipment, net as of April 30, 2024 and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Accounting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agreement establishing the C3.ai Digital Transformation Institute (“C3.ai DTI”), a program established to attract the world’s leading scientists to join in a coordinated and innovative effort to advance the digital transformation of business, government, and society. As part of the agreement, the Company issued cash grants to C3.ai DTI which are conditional in nature and subject to execution of the program in line with specific requirements on a quarterly basis. The cash grants do not represent an exchange transaction since there is not a commensurate transfer of resources at fair value, resulting in the application of the contribution accounting model. The Company expects contributions to C3.ai DTI to primarily benefit its research and development efforts. The Company recognized nil, nil and $11.5 million of expense related to the contribution in research and development for the fiscal years ended April 30, 2024, 2023 and 2022,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(“ASU 2023-07”) to improve the disclosures regarding a public entity’s reportable segments and address requests from investors for additional, more detailed information about a reportable segment’s expenses. The Company is required to adopt the guidance in the fourth quarter of fiscal 2025, though early adoption is permitted. The Company is currently evaluating the impact of this amendment on its consolidated financial statements.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(“ASU 2023-09”) to provide disaggregated income tax disclosures on rate reconciliation and income taxes paid. The Company is required to adopt the guidance in the fourth quarter of fiscal 2026, though early adoption is permitted. The Company is currently evaluating the impact of this amendment on its consolidated financial statements.</w:t>
      </w:r>
    </w:p>
    <w:p>
      <w:pPr>
        <w:spacing w:after="0" w:line="3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geographical region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020" w:type="dxa"/>
            <w:vAlign w:val="bottom"/>
          </w:tcPr>
          <w:p>
            <w:pPr>
              <w:spacing w:after="0"/>
              <w:rPr>
                <w:sz w:val="16"/>
                <w:szCs w:val="16"/>
                <w:color w:val="auto"/>
              </w:rPr>
            </w:pPr>
          </w:p>
        </w:tc>
      </w:tr>
      <w:tr>
        <w:trPr>
          <w:trHeight w:val="37"/>
        </w:trPr>
        <w:tc>
          <w:tcPr>
            <w:tcW w:w="70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7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197,485</w:t>
            </w:r>
          </w:p>
        </w:tc>
      </w:tr>
      <w:tr>
        <w:trPr>
          <w:trHeight w:val="27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46,251</w:t>
            </w:r>
          </w:p>
        </w:tc>
      </w:tr>
      <w:tr>
        <w:trPr>
          <w:trHeight w:val="27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r>
      <w:tr>
        <w:trPr>
          <w:trHeight w:val="27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comprised 86%, 79% and 78% of the Company’s revenue in the fiscal years ended April 30, 2024, 2023 and 2022, respectively. No other country comprised 10% or greater of the Company’s revenue for each of the fiscal years ended April 30, 2024, 2023 and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2024 and 2023, the Company’s deferred revenue balances were $39.0 million and $47.9 million, respectively. Revenue of $47.8 million and $48.9 million was recognized during the fiscal years ended April 30, 2024 and 2023, respectively, that was included in the deferred revenue balances as of April 30,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are committed and represent non-cancellable contracted revenue that has not yet been recognized and will be recognized as revenue in future periods. Some contracts allow customers to cancel the contracts without a significant penalty, and the cancellable amount of contract value is not included in the remaining performance obligations.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excludes amounts related to performance obligations and usage-based royalties that are billed and recognized as they are delivered or billed and recognized in the same period. This primarily consists of monthly usage-based runtime and hosting charges.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expected to be recognized from remaining performance obligations was approximately $244.3 million as of April 30, 2024, of which $163.8 million is expected to be recognized over the next 12 months and the remainder thereafter.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30, 2024 and 2023, the amount of costs to obtain a contract included in prepaid expenses and other current assets was $7.0 million and $6.2 million, respectively. The amount of costs to obtain a contract included in other assets, non-current as of April 30, 2024 and 2023 were $11.0 million and $14.5 million, respectively. Expenses recognized for costs to obtain a contract for the years ended April 30, 2024, 2023 and 2022 were $7.2 million, $5.9 million and $5.1 million, respectively, and are included in sales and marketing expenses on the consolidated statements of operations. The Company recognized an immaterial impairment cost related to costs to obtain or fulfill a contract for the fiscal years ended April 30, 2024, 2023 and 2022,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 and Accounts Receivable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the Company’s Customer-Entities consist of corporate and governmental entities. A Customer-Entity is defined as each entity that is the ultimate parent of a party contracting with the Company. A limited number of Customer-Entities have accounted for a large part of the Company’s revenue and accounts receivable to date. For the purpose of determining customer concentration and accounts receivable, unbilled receivables have been excluded from the accounts receivable balance. Two separate Customer-Entities accounted for 27% and 14% of revenue for the fiscal year ended April 30, 2024. One Customer-Entity accounted for 35% of revenue for the fiscal year ended April 30, 2023. One Customer-Entity accounted for 31% of revenue for the year ended April 30, 2022. Two separate Customer-Entities accounted for 25% and 16% of accounts receivable at April 30, 2024. Two separate Customer-Entities accounted for 20% and 18% of accounts receivable at April 30, 2023.</w:t>
      </w:r>
    </w:p>
    <w:p>
      <w:pPr>
        <w:spacing w:after="0" w:line="131"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equivalents, restricted cash, available-for-sale marketable securities, accounts receivable, and accounts payable. Cash equivalents and available-for-sale marketable securities are reported at their respective fair values on the consolidated balance sheets. The remaining financial instruments are reported on the consolidated balance sheets at amounts that approximate current fair values.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types of assets measured at fair value on a recurring basis by level within the fair value hierarchy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4"/>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April 30, 2023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4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112,851</w:t>
            </w:r>
          </w:p>
        </w:tc>
        <w:tc>
          <w:tcPr>
            <w:tcW w:w="0" w:type="dxa"/>
            <w:vAlign w:val="bottom"/>
          </w:tcPr>
          <w:p>
            <w:pPr>
              <w:spacing w:after="0"/>
              <w:rPr>
                <w:sz w:val="1"/>
                <w:szCs w:val="1"/>
                <w:color w:val="auto"/>
              </w:rPr>
            </w:pPr>
          </w:p>
        </w:tc>
      </w:tr>
      <w:tr>
        <w:trPr>
          <w:trHeight w:val="243"/>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0" w:type="dxa"/>
            <w:vAlign w:val="bottom"/>
          </w:tcPr>
          <w:p>
            <w:pPr>
              <w:spacing w:after="0"/>
              <w:rPr>
                <w:sz w:val="1"/>
                <w:szCs w:val="1"/>
                <w:color w:val="auto"/>
              </w:rPr>
            </w:pPr>
          </w:p>
        </w:tc>
      </w:tr>
      <w:tr>
        <w:trPr>
          <w:trHeight w:val="243"/>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75,674</w:t>
            </w:r>
          </w:p>
        </w:tc>
        <w:tc>
          <w:tcPr>
            <w:tcW w:w="0" w:type="dxa"/>
            <w:vAlign w:val="bottom"/>
          </w:tcPr>
          <w:p>
            <w:pPr>
              <w:spacing w:after="0"/>
              <w:rPr>
                <w:sz w:val="1"/>
                <w:szCs w:val="1"/>
                <w:color w:val="auto"/>
              </w:rPr>
            </w:pPr>
          </w:p>
        </w:tc>
      </w:tr>
      <w:tr>
        <w:trPr>
          <w:trHeight w:val="243"/>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179,247</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179,247</w:t>
            </w:r>
          </w:p>
        </w:tc>
        <w:tc>
          <w:tcPr>
            <w:tcW w:w="0" w:type="dxa"/>
            <w:vAlign w:val="bottom"/>
          </w:tcPr>
          <w:p>
            <w:pPr>
              <w:spacing w:after="0"/>
              <w:rPr>
                <w:sz w:val="1"/>
                <w:szCs w:val="1"/>
                <w:color w:val="auto"/>
              </w:rPr>
            </w:pPr>
          </w:p>
        </w:tc>
      </w:tr>
      <w:tr>
        <w:trPr>
          <w:trHeight w:val="205"/>
        </w:trPr>
        <w:tc>
          <w:tcPr>
            <w:tcW w:w="24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equivalents and</w:t>
            </w: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607,877</w:t>
            </w:r>
          </w:p>
        </w:tc>
        <w:tc>
          <w:tcPr>
            <w:tcW w:w="100" w:type="dxa"/>
            <w:vAlign w:val="bottom"/>
          </w:tcPr>
          <w:p>
            <w:pPr>
              <w:spacing w:after="0"/>
              <w:rPr>
                <w:sz w:val="18"/>
                <w:szCs w:val="18"/>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690,441</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75,293</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642,424</w:t>
            </w:r>
          </w:p>
        </w:tc>
        <w:tc>
          <w:tcPr>
            <w:tcW w:w="100" w:type="dxa"/>
            <w:vAlign w:val="bottom"/>
          </w:tcPr>
          <w:p>
            <w:pPr>
              <w:spacing w:after="0"/>
              <w:rPr>
                <w:sz w:val="18"/>
                <w:szCs w:val="18"/>
                <w:color w:val="auto"/>
              </w:rPr>
            </w:pPr>
          </w:p>
        </w:tc>
        <w:tc>
          <w:tcPr>
            <w:tcW w:w="720" w:type="dxa"/>
            <w:vAlign w:val="bottom"/>
            <w:vMerge w:val="restart"/>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717,717</w:t>
            </w: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440" w:type="dxa"/>
            <w:vAlign w:val="bottom"/>
            <w:gridSpan w:val="3"/>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107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 of securities classified as Level 2 financial instruments was determined based on third-party pricing services. The pricing services utilize industry standard valuation models, including both income- and market-based approaches, for which all significant inputs are observable, either directly or indirectly, to estimate fair value. Inputs used for fair value measurement categorized as Level 2 include benchmark yields, reported trades, broker or dealer quotes, issuer spreads, two-sided markets, benchmark securities, bids, offers, and reference data including market research publications.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and available-for-sale marketable securities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April 30, 2023</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2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82,564</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112,851</w:t>
            </w:r>
          </w:p>
        </w:tc>
        <w:tc>
          <w:tcPr>
            <w:tcW w:w="0" w:type="dxa"/>
            <w:vAlign w:val="bottom"/>
          </w:tcPr>
          <w:p>
            <w:pPr>
              <w:spacing w:after="0"/>
              <w:rPr>
                <w:sz w:val="1"/>
                <w:szCs w:val="1"/>
                <w:color w:val="auto"/>
              </w:rPr>
            </w:pPr>
          </w:p>
        </w:tc>
      </w:tr>
      <w:tr>
        <w:trPr>
          <w:trHeight w:val="243"/>
        </w:trPr>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0" w:type="dxa"/>
            <w:vAlign w:val="bottom"/>
          </w:tcPr>
          <w:p>
            <w:pPr>
              <w:spacing w:after="0"/>
              <w:rPr>
                <w:sz w:val="1"/>
                <w:szCs w:val="1"/>
                <w:color w:val="auto"/>
              </w:rPr>
            </w:pPr>
          </w:p>
        </w:tc>
      </w:tr>
      <w:tr>
        <w:trPr>
          <w:trHeight w:val="243"/>
        </w:trPr>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75,674</w:t>
            </w:r>
          </w:p>
        </w:tc>
        <w:tc>
          <w:tcPr>
            <w:tcW w:w="0" w:type="dxa"/>
            <w:vAlign w:val="bottom"/>
          </w:tcPr>
          <w:p>
            <w:pPr>
              <w:spacing w:after="0"/>
              <w:rPr>
                <w:sz w:val="1"/>
                <w:szCs w:val="1"/>
                <w:color w:val="auto"/>
              </w:rPr>
            </w:pPr>
          </w:p>
        </w:tc>
      </w:tr>
      <w:tr>
        <w:trPr>
          <w:trHeight w:val="243"/>
        </w:trPr>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184,230</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179,247</w:t>
            </w: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equivalents and</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marketable</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691,002</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w w:val="97"/>
              </w:rPr>
              <w:t>(630)</w:t>
            </w:r>
          </w:p>
        </w:tc>
        <w:tc>
          <w:tcPr>
            <w:tcW w:w="100" w:type="dxa"/>
            <w:vAlign w:val="bottom"/>
          </w:tcPr>
          <w:p>
            <w:pPr>
              <w:spacing w:after="0"/>
              <w:rPr>
                <w:sz w:val="18"/>
                <w:szCs w:val="18"/>
                <w:color w:val="auto"/>
              </w:rPr>
            </w:pPr>
          </w:p>
        </w:tc>
        <w:tc>
          <w:tcPr>
            <w:tcW w:w="24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690,441</w:t>
            </w:r>
          </w:p>
        </w:tc>
        <w:tc>
          <w:tcPr>
            <w:tcW w:w="100" w:type="dxa"/>
            <w:vAlign w:val="bottom"/>
          </w:tcPr>
          <w:p>
            <w:pPr>
              <w:spacing w:after="0"/>
              <w:rPr>
                <w:sz w:val="18"/>
                <w:szCs w:val="18"/>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718,102</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22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717,717</w:t>
            </w:r>
          </w:p>
        </w:tc>
        <w:tc>
          <w:tcPr>
            <w:tcW w:w="0" w:type="dxa"/>
            <w:vAlign w:val="bottom"/>
          </w:tcPr>
          <w:p>
            <w:pPr>
              <w:spacing w:after="0"/>
              <w:rPr>
                <w:sz w:val="1"/>
                <w:szCs w:val="1"/>
                <w:color w:val="auto"/>
              </w:rPr>
            </w:pP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of its marketable securities as available for use in current operations, including those with maturity dates beyond one year, and therefore classifies these securities within current assets on the consolidated balance sheet as of April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marketable securities by contractual maturity (in thousands):</w:t>
      </w:r>
    </w:p>
    <w:p>
      <w:pPr>
        <w:sectPr>
          <w:pgSz w:w="11900" w:h="16838" w:orient="portrait"/>
          <w:cols w:equalWidth="0" w:num="1">
            <w:col w:w="11240"/>
          </w:cols>
          <w:pgMar w:left="320" w:top="117" w:right="339" w:bottom="1440" w:gutter="0" w:footer="0" w:header="0"/>
        </w:sectPr>
      </w:pPr>
    </w:p>
    <w:p>
      <w:pPr>
        <w:spacing w:after="0" w:line="22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5"/>
          <w:szCs w:val="15"/>
          <w:b w:val="1"/>
          <w:bCs w:val="1"/>
          <w:color w:val="auto"/>
        </w:rPr>
        <w:t>As of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41275</wp:posOffset>
            </wp:positionV>
            <wp:extent cx="16802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64" w:lineRule="exact"/>
        <w:rPr>
          <w:sz w:val="20"/>
          <w:szCs w:val="20"/>
          <w:color w:val="auto"/>
        </w:rPr>
      </w:pPr>
    </w:p>
    <w:p>
      <w:pPr>
        <w:ind w:left="5980"/>
        <w:spacing w:after="0"/>
        <w:tabs>
          <w:tab w:leader="none" w:pos="7500" w:val="left"/>
        </w:tabs>
        <w:rPr>
          <w:sz w:val="20"/>
          <w:szCs w:val="20"/>
          <w:color w:val="auto"/>
        </w:rPr>
      </w:pPr>
      <w:r>
        <w:rPr>
          <w:rFonts w:ascii="Times New Roman" w:cs="Times New Roman" w:eastAsia="Times New Roman" w:hAnsi="Times New Roman"/>
          <w:sz w:val="15"/>
          <w:szCs w:val="15"/>
          <w:b w:val="1"/>
          <w:bCs w:val="1"/>
          <w:color w:val="auto"/>
        </w:rPr>
        <w:t>Amortized Cost</w:t>
      </w:r>
      <w:r>
        <w:rPr>
          <w:sz w:val="20"/>
          <w:szCs w:val="20"/>
          <w:color w:val="auto"/>
        </w:rPr>
        <w:tab/>
      </w: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As of April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41275</wp:posOffset>
            </wp:positionV>
            <wp:extent cx="16802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6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5"/>
          <w:szCs w:val="15"/>
          <w:b w:val="1"/>
          <w:bCs w:val="1"/>
          <w:color w:val="auto"/>
        </w:rPr>
        <w:t>Amortized Cost</w:t>
      </w:r>
      <w:r>
        <w:rPr>
          <w:sz w:val="20"/>
          <w:szCs w:val="20"/>
          <w:color w:val="auto"/>
        </w:rPr>
        <w:tab/>
      </w:r>
      <w:r>
        <w:rPr>
          <w:rFonts w:ascii="Times New Roman" w:cs="Times New Roman" w:eastAsia="Times New Roman" w:hAnsi="Times New Roman"/>
          <w:sz w:val="14"/>
          <w:szCs w:val="14"/>
          <w:b w:val="1"/>
          <w:bCs w:val="1"/>
          <w:color w:val="auto"/>
        </w:rPr>
        <w:t>Fair Value</w:t>
      </w:r>
    </w:p>
    <w:p>
      <w:pPr>
        <w:spacing w:after="0" w:line="45" w:lineRule="exact"/>
        <w:rPr>
          <w:sz w:val="20"/>
          <w:szCs w:val="20"/>
          <w:color w:val="auto"/>
        </w:rPr>
      </w:pPr>
    </w:p>
    <w:p>
      <w:pPr>
        <w:sectPr>
          <w:pgSz w:w="11900" w:h="16838" w:orient="portrait"/>
          <w:cols w:equalWidth="0" w:num="2">
            <w:col w:w="8200" w:space="520"/>
            <w:col w:w="25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9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446,629</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446,155</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527,573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9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values and unrealized losses of the Company’s available-for-sale marketable securities classified by length of time that the securities have been in a continuous unrealized loss position but were not deemed to be other-than-temporarily impaired, as of April 30,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35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5"/>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5"/>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22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4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r>
      <w:tr>
        <w:trPr>
          <w:trHeight w:val="37"/>
        </w:trPr>
        <w:tc>
          <w:tcPr>
            <w:tcW w:w="3540" w:type="dxa"/>
            <w:vAlign w:val="bottom"/>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354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35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agencies securities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21"/>
                <w:szCs w:val="21"/>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41,639</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100" w:type="dxa"/>
            <w:vAlign w:val="bottom"/>
          </w:tcPr>
          <w:p>
            <w:pPr>
              <w:spacing w:after="0"/>
              <w:rPr>
                <w:sz w:val="21"/>
                <w:szCs w:val="21"/>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224,565</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April 30, 2023</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35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5"/>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5"/>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22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4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r>
      <w:tr>
        <w:trPr>
          <w:trHeight w:val="37"/>
        </w:trPr>
        <w:tc>
          <w:tcPr>
            <w:tcW w:w="3540" w:type="dxa"/>
            <w:vAlign w:val="bottom"/>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354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0" w:type="dxa"/>
            <w:vAlign w:val="bottom"/>
          </w:tcPr>
          <w:p>
            <w:pPr>
              <w:spacing w:after="0"/>
              <w:rPr>
                <w:sz w:val="16"/>
                <w:szCs w:val="16"/>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35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agencies securities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123,893</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145,241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30, 2024, the Company had 219 marketable securities in an unrealized loss positions. As of April 30, 2023, the Company had 119 investment positions in an unrealized loss position. The Company considers factors such as the duration, the magnitude and the reason for the decline in value, the potential recovery period, creditworthiness of the issuers of the securities and its intent to sell. For marketable securities, it also considers whether (i) it is more likely than not that the Company will be required to sell the debt securities before recovery of their amortized cost basis, and (ii) the amortized cost basis cannot be recovered as a result of credit losses. No significant facts or circumstances have arisen to indicate that there has been any significant deterioration in the creditworthiness of the issuers of the securities held by the Company. The decline in fair value below amortized cost basis was not considered other-than-temporary as it is more likely than not that the Company will hold the securities until maturity or a recovery of the cost basis, and no significant credit-related impairment losses were recorded as of April 30, 2024 and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Balance Sheet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0"/>
        </w:trPr>
        <w:tc>
          <w:tcPr>
            <w:tcW w:w="676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34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66,522</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r>
      <w:tr>
        <w:trPr>
          <w:trHeight w:val="27"/>
        </w:trPr>
        <w:tc>
          <w:tcPr>
            <w:tcW w:w="6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in progress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7"/>
        </w:trPr>
        <w:tc>
          <w:tcPr>
            <w:tcW w:w="67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88,906</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7"/>
        </w:trPr>
        <w:tc>
          <w:tcPr>
            <w:tcW w:w="67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88,631</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right="3180" w:firstLine="8"/>
        <w:spacing w:after="0" w:line="278" w:lineRule="auto"/>
        <w:tabs>
          <w:tab w:leader="none" w:pos="315"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improvements are amortized over the shorter of the estimated useful lives of the improvements or the remaining lease term. NA = Not Applicable</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 in progress primarily consisted of costs related to various leasehold improvements in connection with leased space that is not considered available for use and has not yet been placed into service.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$11.5 million, $5.0 million, and $4.4 million for the fiscal years ended April 30, 2024,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 and Employee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 and employee benefits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4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420" w:type="dxa"/>
            <w:vAlign w:val="bottom"/>
            <w:tcBorders>
              <w:bottom w:val="single" w:sz="8" w:color="CCEEFF"/>
            </w:tcBorders>
          </w:tcPr>
          <w:p>
            <w:pPr>
              <w:spacing w:after="0"/>
              <w:rPr>
                <w:sz w:val="3"/>
                <w:szCs w:val="3"/>
                <w:color w:val="auto"/>
              </w:rPr>
            </w:pPr>
          </w:p>
        </w:tc>
        <w:tc>
          <w:tcPr>
            <w:tcW w:w="38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stock-settled bonus</w:t>
            </w:r>
          </w:p>
        </w:tc>
        <w:tc>
          <w:tcPr>
            <w:tcW w:w="472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31,194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32,414</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3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3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taxes and benefits</w:t>
            </w:r>
          </w:p>
        </w:tc>
        <w:tc>
          <w:tcPr>
            <w:tcW w:w="3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3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w:t>
            </w:r>
          </w:p>
        </w:tc>
        <w:tc>
          <w:tcPr>
            <w:tcW w:w="3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contributions</w:t>
            </w:r>
          </w:p>
        </w:tc>
        <w:tc>
          <w:tcPr>
            <w:tcW w:w="38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4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44,263</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435"/>
              <w:spacing w:after="0"/>
              <w:rPr>
                <w:sz w:val="20"/>
                <w:szCs w:val="20"/>
                <w:color w:val="auto"/>
              </w:rPr>
            </w:pPr>
            <w:r>
              <w:rPr>
                <w:rFonts w:ascii="Times New Roman" w:cs="Times New Roman" w:eastAsia="Times New Roman" w:hAnsi="Times New Roman"/>
                <w:sz w:val="18"/>
                <w:szCs w:val="18"/>
                <w:color w:val="auto"/>
              </w:rPr>
              <w:t>111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4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2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for common stock exercised prior to vesting</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general expenses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7"/>
        </w:trPr>
        <w:tc>
          <w:tcPr>
            <w:tcW w:w="8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7"/>
        </w:trPr>
        <w:tc>
          <w:tcPr>
            <w:tcW w:w="8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payable to a related party</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7"/>
        </w:trPr>
        <w:tc>
          <w:tcPr>
            <w:tcW w:w="8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its facilities for office space under non-cancellable operating leases with various expiration dates through the fiscal year ending April 30, 2033. Certain lease agreements include options to renew or terminate the applicable lease, which are not reasonably certain to be exercised and therefore are not factored into the determination of lease payments.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25, 2021, the Company entered into a new lease to acquire approximately 283,015 square feet of office space in several phases in Redwood City, California. The lease commencement date of the first two phases was determined to have occurred in the quarter ended January 31, 2022, when the landlord delivered the leased space to the Company. The lease commencement date of the third phase was determined to have occurred in the quarter ended October 31, 2022, when the landlord delivered the leased space to the Company. The lease commencement date of the fourth phase was determined to have occurred in the quarter ended April 30, 2023, when the landlord delivered the leased space to the Company. The lease commencement date of the fifth phase was determined to have occurred in the quarter ended July 31, 2023, when the landlord delivered the leased space to the Company. The Company recorded $1.6 million of lease liability in other long-term liabilities and corresponding right-of-use asset in other assets, non-current in the consolidated balance sheets related to the fifth phase of the lease. The lease commencement date of the sixth phase was determined to have occurred in the quarter ended January 31, 2024, when the landlord delivered the leased space to the Company. The Company recorded $1.7 million of lease liability in other long-term liabilities and corresponding right-of-use asset in other assets, non-current in the consolidated balance sheets related to the sixth phase of the lease. The lease commencement date of the seventh phase will be determined when the landlord delivers the applicable leased space to the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lease costs, including variable lease costs, for the fiscal years ended April 30, 2024, 2023 and 2022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February 21, 2023, the Company entered into a sublease agreement with First Virtual Group, Inc. (the “Subtenant”), whereby the Company agreed to sublease to the Subtenant approximately 3,130 square feet of space located in Redwood City, California. Refer to </w:t>
      </w:r>
      <w:r>
        <w:rPr>
          <w:rFonts w:ascii="Times New Roman" w:cs="Times New Roman" w:eastAsia="Times New Roman" w:hAnsi="Times New Roman"/>
          <w:sz w:val="18"/>
          <w:szCs w:val="18"/>
          <w:i w:val="1"/>
          <w:iCs w:val="1"/>
          <w:color w:val="auto"/>
        </w:rPr>
        <w:t>Note 12. Related Party Transactions</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costs are primarily related to payments made to the Company’s landlords for common area maintenance, property taxes, insurance, and other operating expenses. Short-term lease costs primarily represent payments related to marketing arrangements that contain embedded short-term leases of billboards. Supplemental cash flow information and non-cash activity related to leases was as follows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0"/>
        <w:spacing w:after="0" w:line="281" w:lineRule="auto"/>
        <w:rPr>
          <w:sz w:val="20"/>
          <w:szCs w:val="20"/>
          <w:color w:val="auto"/>
        </w:rPr>
      </w:pPr>
      <w:r>
        <w:rPr>
          <w:rFonts w:ascii="Times New Roman" w:cs="Times New Roman" w:eastAsia="Times New Roman" w:hAnsi="Times New Roman"/>
          <w:sz w:val="18"/>
          <w:szCs w:val="18"/>
          <w:color w:val="auto"/>
        </w:rPr>
        <w:t>Cash payments included in the measurement of operating lease liabilities – operating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06285" cy="316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06285" cy="316865"/>
                    </a:xfrm>
                    <a:prstGeom prst="rect">
                      <a:avLst/>
                    </a:prstGeom>
                    <a:noFill/>
                  </pic:spPr>
                </pic:pic>
              </a:graphicData>
            </a:graphic>
          </wp:anchor>
        </w:drawing>
      </w:r>
    </w:p>
    <w:p>
      <w:pPr>
        <w:jc w:val="both"/>
        <w:ind w:left="140" w:right="80"/>
        <w:spacing w:after="0" w:line="266" w:lineRule="auto"/>
        <w:rPr>
          <w:sz w:val="20"/>
          <w:szCs w:val="20"/>
          <w:color w:val="auto"/>
        </w:rPr>
      </w:pPr>
      <w:r>
        <w:rPr>
          <w:rFonts w:ascii="Times New Roman" w:cs="Times New Roman" w:eastAsia="Times New Roman" w:hAnsi="Times New Roman"/>
          <w:sz w:val="18"/>
          <w:szCs w:val="18"/>
          <w:color w:val="auto"/>
        </w:rPr>
        <w:t>Right-of-use assets obtained in exchange for lease obligations (including remeasurement of right-of-use assets and lease liabilities due to changes in the timing of receipt of lease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06285" cy="308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ind w:left="140" w:right="680"/>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lease obligations arising from lease modifications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837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344"/>
        </w:trPr>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Pr>
          <w:p>
            <w:pPr>
              <w:spacing w:after="0"/>
              <w:rPr>
                <w:sz w:val="24"/>
                <w:szCs w:val="24"/>
                <w:color w:val="auto"/>
              </w:rPr>
            </w:pPr>
          </w:p>
        </w:tc>
        <w:tc>
          <w:tcPr>
            <w:tcW w:w="8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5,250</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r>
      <w:tr>
        <w:trPr>
          <w:trHeight w:val="594"/>
        </w:trPr>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24"/>
                <w:szCs w:val="24"/>
                <w:color w:val="auto"/>
              </w:rPr>
            </w:pPr>
          </w:p>
        </w:tc>
        <w:tc>
          <w:tcPr>
            <w:tcW w:w="8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(5,589)</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r>
      <w:tr>
        <w:trPr>
          <w:trHeight w:val="594"/>
        </w:trPr>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3,093</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r>
    </w:tbl>
    <w:p>
      <w:pPr>
        <w:spacing w:after="0" w:line="344" w:lineRule="exact"/>
        <w:rPr>
          <w:sz w:val="20"/>
          <w:szCs w:val="20"/>
          <w:color w:val="auto"/>
        </w:rPr>
      </w:pPr>
    </w:p>
    <w:p>
      <w:pPr>
        <w:sectPr>
          <w:pgSz w:w="11900" w:h="16838" w:orient="portrait"/>
          <w:cols w:equalWidth="0" w:num="2">
            <w:col w:w="6600" w:space="140"/>
            <w:col w:w="4500"/>
          </w:cols>
          <w:pgMar w:left="320" w:top="117"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balances within the consolidated balance sheets, weighted-average remaining lease term, and weighted-average discount rates related to the Company’s operating leases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ind w:left="80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0" w:type="dxa"/>
            <w:vAlign w:val="bottom"/>
          </w:tcPr>
          <w:p>
            <w:pPr>
              <w:spacing w:after="0"/>
              <w:rPr>
                <w:sz w:val="1"/>
                <w:szCs w:val="1"/>
                <w:color w:val="auto"/>
              </w:rPr>
            </w:pPr>
          </w:p>
        </w:tc>
      </w:tr>
      <w:tr>
        <w:trPr>
          <w:trHeight w:val="3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240" w:type="dxa"/>
            <w:vAlign w:val="bottom"/>
            <w:tcBorders>
              <w:bottom w:val="single" w:sz="8" w:color="CCEEFF"/>
            </w:tcBorders>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18,664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42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3,226</w:t>
            </w:r>
          </w:p>
        </w:tc>
        <w:tc>
          <w:tcPr>
            <w:tcW w:w="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4240" w:type="dxa"/>
            <w:vAlign w:val="bottom"/>
            <w:tcBorders>
              <w:bottom w:val="single" w:sz="8" w:color="CCEEFF"/>
            </w:tcBorders>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55,599</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58,825</w:t>
            </w: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0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8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minimum payments under lease obligations as of April 30, 2024 were as follows (in thousands):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0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0" w:type="dxa"/>
            <w:vAlign w:val="bottom"/>
          </w:tcPr>
          <w:p>
            <w:pPr>
              <w:spacing w:after="0"/>
              <w:rPr>
                <w:sz w:val="1"/>
                <w:szCs w:val="1"/>
                <w:color w:val="auto"/>
              </w:rPr>
            </w:pPr>
          </w:p>
        </w:tc>
      </w:tr>
      <w:tr>
        <w:trPr>
          <w:trHeight w:val="37"/>
        </w:trPr>
        <w:tc>
          <w:tcPr>
            <w:tcW w:w="4040" w:type="dxa"/>
            <w:vAlign w:val="bottom"/>
            <w:tcBorders>
              <w:bottom w:val="single" w:sz="8" w:color="CCEEFF"/>
            </w:tcBorders>
          </w:tcPr>
          <w:p>
            <w:pPr>
              <w:spacing w:after="0"/>
              <w:rPr>
                <w:sz w:val="3"/>
                <w:szCs w:val="3"/>
                <w:color w:val="auto"/>
              </w:rPr>
            </w:pPr>
          </w:p>
        </w:tc>
        <w:tc>
          <w:tcPr>
            <w:tcW w:w="3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 and thereafter</w:t>
            </w:r>
          </w:p>
        </w:tc>
        <w:tc>
          <w:tcPr>
            <w:tcW w:w="3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(3,427)</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(28,025)</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58,825</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Non-cancellable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non-cancellable arrangement with a cloud services provider in July 2022. Under the arrangement, the Company committed to spend an aggregate of at least $100.0 million for the period of three years beginning July 2022, on services with this vendor. The Company has incurred costs totaling $31.8 million and $8.3 million during the fiscal years ended April 30, 2024 and April 30, 2023, respectively, under the arrangement.</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non-cancellable arrangement with a professional services provider in October 2023. Under the arrangement, the Company committed to purchase an aggregate of $15.0 million of professional services for a period of 18 months beginning October 2023. The Company has incurred costs totaling $7.8 million during the fiscal year ended April 30, 2024, under the arrangement.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non-cancellable arrangement with a professional services provider in January 2024, which was amended in April 2024. Under the amended arrangement, the Company committed to purchase an aggregate of $31.0 million of professional services for a period of two years beginning January 2024. The Company has incurred costs totaling $3.5 million during the fiscal year ended April 30, 2024, under the arrangement.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C3.ai DTI Grants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2020, the Company entered into an agreement establishing the C3.ai Digital Transformation Institute (“C3.ai DTI”), a program established to attract many of the world’s leading research institutions to join in a coordinated and innovative effort to advance the digital transformation of business, government, and society. As part of the agreement, the Company has agreed to issue grants to C3.ai DTI, which are subject to compliance with certain obligations. The grants shall be paid by the Company over five years in the form of cash, publicly traded securities, or other property of equivalent net value. As of April 30, 2024 and 2023, the total potential remaining contributions are $31.6 million and $31.6 million, respectively. The future grant payments are conditional in nature and subject to execution of the program in line with specific requirements.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4, 2022, a putative securities class action complaint (captioned The Reckstin Family Trust v. C3.ai, Inc. et al., 22-cv-01413-HSG) was filed in the U.S. District Court for the Northern District of California against the Company, and certain current and former officers and directors. On December 12, 2022, the court appointed a lead plaintiff and lead counsel. On February 15, 2023, the lead plaintiff and three additional named plaintiffs filed an amended complaint. The amended complaint names as defendants the Company, four current and former officers and directors, the underwriters in the Company’s initial public offering (“IPO”), and Baker Hughes Company (“Baker Hughes”). The amended complaint generally alleges that the defendants made material misstatements or omissions about the Company’s partnership with Baker Hughes and the Company’s own salesforce. The amended complaint alleges that defendants made these misstatements or omissions in connection with the Company’s IPO in violation of Sections 11 and 15 of the Securities Act of 1933 and between December 9, 2020 and December 2, 2021, inclusive, in violation of Sections 10(b) and 20(a) of the Securities Exchange Act of 1934. The amended complaint further alleges that certain defendants engaged in insider trading in violation of Section 20A of the Securities Exchange Act of 1934. Plaintiffs seek unspecified damages, interest, fees and costs. All defendants moved to dismiss plaintiffs’ amended complaint on May 1, 2023. On June 30, 2023, plaintiffs voluntarily dismissed the underwriter defendants. On February 22, 2024, the court granted the motion to dismiss on all claims except for portions of the alleged violations of Section 11 and Section 15. Plaintiffs filed a second amended complaint on April 4, 2024. Defendants filed motions to dismiss on May 17,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Five putative shareholder derivative actions have been filed: (1) Suri v. Siebel et al. (22-cv-03031) filed on May 23, 2022 in the U.S. District Court for the Northern District of California; (2) Rabasca v. Siebel et al. (23-cv-1566) filed on April 3, 2023 in the U.S. District Court for the Northern District of California; (3) Vo v. Siebel et al. (23-cv-428) filed on April 19, 2023 in the U.S. District Court for the District of Delaware; and (4) Lanfair v. Siebel et al. (24-cv-01869) filed on March 26, 2024 in the U.S. District Court for the Northern District of California; and (5) Pankow v. Siebel et al. (2024-0530-NAC) on May 15, 2024 in the Chancery Court of Delaware. In these cases, the plaintiffs assert claims on the Company’s behalf against certain of the Company’s current and former officers and directors for breach of fiduciary duty, aiding and abetting breach of fiduciary duty, gross mismanagement, corporate waste, abuse of control, unjust enrichment, and violations of the Securities Exchange Act of 1934 based on allegations similar to those in the securities class action. In all four cases, the Company is named as a nominal defendant. The derivative complaints seek unspecified damages, disgorgement of profits from board member stock sales, an award of costs and expenses, including reasonable attorneys’ fees, and corporate governance reforms. On September 7, 2022, Suri was stayed pending resolution of the Reckstin case. On August 3, 2023, Vo was transferred to the U.S. District Court for the Northern District of California (3:23-cv-03895), and on August 30, 2023 the Vo action was stayed on the same terms as the Suri action. On December 4, 2023, the parties in Rabasca filed a stipulation to consolidate the Rabasca action with the Suri action, and to stay the Rabasca action on the same terms as the Suri action. The Company has not yet been required to answer the complaints in Suri, Rabasca and Vo and has not yet been served with the complaint in the Lanfair or Pankow matters.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the Company does not believe it is probable that these cases will result in an unfavorable outcome; however, if an unfavorable outcome were to occur in these cases, it is possible that the impact could be material to the Company’s results of operations in the period(s) in which any such outcome becomes probable and estimable. Due to the early stages of these legal proceedings, neither the likelihood that a loss, if any, will be realized, nor an estimate of the possible loss or range of loss, if any, can be determined.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27, 2024, the Company filed a lawsuit in the Court of Rome, Italy against Enel Global Services S.r.l. and any involved corporate affiliates (“Enel”). The claims in the suit against Enel include misappropriation of trade secrets under Articles 98 and 99 of the Italian Industrial Property Code and breach of contract. In this action, the Company seeks compensatory damages in the amount of €2.1 billion, equitable and other relief, as well as fees and costs. The Company has also filed a report of criminal misconduct with Italian law enforcement under Article 623 of the Italian Criminal Code. The Company is evaluating other legal venues to fully redress its claims. The Company is considering filing a report of misconduct with federal law enforcement in the United States. Since any legal action is unpredictable, it is difficult to quantify the potential recoveries, associated potential costs, and timeline associated with resolution of this matter. Any gain on this matter is considered a gain contingency and will be recognized in the period in which the award is realized or realizable. The Company does not assume any obligation to provide regular updates on this legal action.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the Company is involved in various other legal proceedings arising in the ordinary course of business. Apart from the foregoing, the Company is not presently a party to any other such litigation the outcome of which, the Company believes, if determined adversely to the Company, would individually, or taken together, have a material adverse effect on the Company’s business, operating results, cash flows,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authorized 200,000,000 shares of undesignated preferred stock with a par value of $0.001 per share with rights and preferences, including voting rights, designated from time to time by the board of directors. As of April 30, 2024, there were no shares of Preferred Stock issued or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authorized 1,000,000,000 shares of Class A common stock and 3,500,000 shares of Class B common stock. The shares of Class A common stock and Class B common stock are identical, except with respect to voting, conversion, and transfer rights. Each share of Class A common stock is entitled to one vote. Each share of Class B common stock is entitled to 50 votes. Class A and Class B common stock have a par value of $0.001 per share and are referred to as common stock throughout the notes to the consolidated financial statements, unless otherwise noted. Holders of common stock are entitled to receive any dividends as may be declared from time to time by the board of directors.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of Class B common stock may be converted to Class A common stock at any time at the option of the stockholder. Each share of Class B common stock will be automatically converted into one share of Class A common stock upon the earliest of the following: (i) the date that is six months following the death or incapacity of Mr. Siebel; (ii) the date that is six months following the date that Mr. Siebel is no longer providing services to the Company as an officer, employee, director, or consultant; (iii) December 11, 2040, which is the twentieth anniversary of the completion of the IPO; or (iv) the date specified by the holders of a majority of the then outstanding shares of Class B common stock, voting as a separate class. Future transfers by holders of Class B common stock will generally result in those shares converting to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Repurchase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Under the Company’s Amended and Restated 2012 Equity Incentive Plan (the “2012 Incentive Plan”) and the Company’s Amended and Restated 2020 Equity Incentive Plan (the “2020 Incentive Plan”), certain optionholders are allowed to exercise stock options to purchase Class A common stock prior to vesting. The Company has the right to repurchase at the original purchase price any unvested but outstanding shares of common stock upon termination of service of the optionholder. The consideration received for an early exercise of a stock option is considered to be a deposit of the exercise price and the related amount is recorded as a liability. There have been no net proceeds from the early exercise of such options during the fiscal years ended April 30, 2024, 2023 and 2022, respectively. The Company has recorded a current liability of $0.3 million and $0.8 million as of April 30, 2024 and 2023, respectively. The liability is reclassified into equity on a ratable basis as the stock options vest. Unvested Class A common stock of 43,188 and 148,239 shares as of April 30, 2024 and 2023, respectively were subject to such repurchase right and are legally issued and outstanding as of each period presented. See </w:t>
      </w:r>
      <w:r>
        <w:rPr>
          <w:rFonts w:ascii="Times New Roman" w:cs="Times New Roman" w:eastAsia="Times New Roman" w:hAnsi="Times New Roman"/>
          <w:sz w:val="18"/>
          <w:szCs w:val="18"/>
          <w:i w:val="1"/>
          <w:iCs w:val="1"/>
          <w:color w:val="auto"/>
        </w:rPr>
        <w:t>Note 9. Stock-Based Compensation</w:t>
      </w:r>
      <w:r>
        <w:rPr>
          <w:rFonts w:ascii="Times New Roman" w:cs="Times New Roman" w:eastAsia="Times New Roman" w:hAnsi="Times New Roman"/>
          <w:sz w:val="18"/>
          <w:szCs w:val="18"/>
          <w:color w:val="auto"/>
        </w:rPr>
        <w:t xml:space="preserve"> for more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stock repurchase program for the repurchase of up to $100.0 million of the Company’s outstanding shares of Class A common stock for the 18 months following the date of such approval. Under the program, the Company may purchase stock in the open market or through privately negotiated transactions in accordance with applicable securities laws. The timing and actual amount of the stock repurchases will depend on several factors including price, capital availability, regulatory requirements, alternative investment opportunities and other market conditions.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March 2022, the Company repurchased and immediately retired 0.7 million shares of its Class A common stock for an aggregate amount of $15.0 million. The Company had not repurchased any shares of its Class A common stock under this program during the fiscal years ended April 30, 2024 and 2023. The stock repurchase program expired in June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27, 2020, the Company’s board of directors adopted, and its stockholders approved, the 2020 Incentive Plan, which became effective in connection with the IPO. The 2020 Incentive Plan provides for the grant of incentive stock options, non-statutory stock options, stock appreciation rights, restricted stock awards, RSU awards, performance awards and other equity awards.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30, 2024, the number of shares of Class A common stock available for issuance was 8,769,914 under the 2020 Incentive Plan. On August 15, 2023 and August 21, 2023, respectively, the Company’s compensation committee and board of directors adopted, and, on October 4, 2023, its stockholders approved, the amendment of the 2020 Incentive Plan to increase the maximum number of shares of Class A common stock that may be automatically added to the share reserve of the 2020 Incentive Plan on May 1 of each year from May 1, 2024 until (and including) May 1, 2030 pursuant to the “evergreen” provision of the 2020 Incentive Plan from five percent (5%) to seven percent (7%) of the total number of shares of the Company’s Class A common stock and Class B common stock outstanding on April 30 of the immediately preceding fiscal year. Prior to the adoption and approval of such amendment, there was an automatic annual increase on May 1, 2023 in the number of shares reserved for future issuance pursuant to the 2020 Incentive Plan in an amount equal to five percent (5%) of the total number of shares of the Company’s Class A common stock and Class B common stock outstanding as of April 30,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generally expire 10 years from the date of grant, or earlier if services are terminated. Generally, each stock option for common stock is subject to a vesting schedule such that one fifth of the award vests after the first-year anniversary and one-sixtieth of the award vests each month thereafter over the remaining four years, subject to continuous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during the periods indicated was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April 30, 2022</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Options granted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Options cancelled</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April 30, 2023</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Options granted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Options cancelled</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April 30, 2024</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 and exercisable as of April 30, 2024</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Vested and expected to vest as of April 30, 2024</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41910</wp:posOffset>
            </wp:positionV>
            <wp:extent cx="3531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4"/>
                <w:szCs w:val="14"/>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5"/>
                <w:szCs w:val="15"/>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5"/>
                <w:szCs w:val="15"/>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80" w:type="dxa"/>
            <w:vAlign w:val="bottom"/>
          </w:tcPr>
          <w:p>
            <w:pPr>
              <w:spacing w:after="0"/>
              <w:rPr>
                <w:sz w:val="17"/>
                <w:szCs w:val="17"/>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 thousands)</w:t>
            </w:r>
          </w:p>
        </w:tc>
      </w:tr>
      <w:tr>
        <w:trPr>
          <w:trHeight w:val="28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165,436</w:t>
            </w: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175,907</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268,167</w:t>
            </w:r>
          </w:p>
        </w:tc>
      </w:tr>
      <w:tr>
        <w:trPr>
          <w:trHeight w:val="21"/>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284,778</w:t>
            </w:r>
          </w:p>
        </w:tc>
      </w:tr>
      <w:tr>
        <w:trPr>
          <w:trHeight w:val="270"/>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31,371</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-1953895</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-1610995</wp:posOffset>
            </wp:positionV>
            <wp:extent cx="71323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-1268095</wp:posOffset>
            </wp:positionV>
            <wp:extent cx="7132320" cy="196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-882015</wp:posOffset>
            </wp:positionV>
            <wp:extent cx="713232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-539750</wp:posOffset>
            </wp:positionV>
            <wp:extent cx="7132320" cy="196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-153670</wp:posOffset>
            </wp:positionV>
            <wp:extent cx="713232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4960" w:space="720"/>
            <w:col w:w="5560"/>
          </w:cols>
          <w:pgMar w:left="320" w:top="117"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The number of options vested and expected to vest as of April 30, 2024 includes early exercised, unvested Class A common stock. Refer to </w:t>
      </w:r>
      <w:r>
        <w:rPr>
          <w:rFonts w:ascii="Times New Roman" w:cs="Times New Roman" w:eastAsia="Times New Roman" w:hAnsi="Times New Roman"/>
          <w:sz w:val="14"/>
          <w:szCs w:val="14"/>
          <w:i w:val="1"/>
          <w:iCs w:val="1"/>
          <w:color w:val="auto"/>
        </w:rPr>
        <w:t>Note 8. Stockholders’ Equity</w:t>
      </w:r>
      <w:r>
        <w:rPr>
          <w:rFonts w:ascii="Times New Roman" w:cs="Times New Roman" w:eastAsia="Times New Roman" w:hAnsi="Times New Roman"/>
          <w:sz w:val="14"/>
          <w:szCs w:val="14"/>
          <w:color w:val="auto"/>
        </w:rPr>
        <w:t xml:space="preserve"> for more information.</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fiscal years ended April 30, 2024, 2023 and 2022 was $16.70, $7.88 and $19.15, respectively. Aggregate intrinsic value represents the difference between the estimated fair value of the underlying common stock and the exercise price of outstanding in-the-money options. The total intrinsic value of options exercised during the fiscal years ended April 30, 2024, 2023 and 2022 was $89.7 million, $24.4 million and $187.3 million, respectively. The total grant date fair value of options vested during the fiscal years ended April 30, 2024, 2023 and 2022 was $34.7 million, $49.9 million and $35.3 million, respectively.</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2024 and 2023, there was $79.6 million and $104.7 million, respectively, of unrecognized compensation cost related to stock options which are expected to be recognized over an estimated weighted-average period of 2.2 years and 2.5 years,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grant-date fair value of the options issued for the fiscal years ended April 30, 2024, 2023 and 2022 are estimated on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Scholes-Merton option pricing model. The weighted average assumptions underlying the fair value estimation are provided in the following table:</w:t>
      </w:r>
    </w:p>
    <w:p>
      <w:pPr>
        <w:spacing w:after="0" w:line="18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r>
      <w:tr>
        <w:trPr>
          <w:trHeight w:val="24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
        </w:trPr>
        <w:tc>
          <w:tcPr>
            <w:tcW w:w="64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RSUs include time-based RSUs and PRSUs.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RSUs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time-based RSUs are typically subject to service-based vesting conditions satisfied over five years with one-fifth of the award vesting after the first-year anniversary and one-twentieth of the award vesting quarterly thereafter. The related stock-based compensation is recognized on a straight-line basis over the requisite service period. For the fiscal year ended April 30, 2024, 2023 and 2022, the Company recognized stock-based compensation expense of $130.6 million, $134.8 million and $72.9 million, respectively, associated with such time-based RSUs.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PRSUs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compensation committee of the board of directors (the “Compensation Committee”) approved the grant of a maximum of 1,700,000 performance-based restricted stock units (the “PRSU Award”) to the CEO, pursuant to the 2020 Incentive Plan, subject to and conditioned upon the subsequent determination by the board of directors of performance metrics upon the achievement of which the PRSU Award would vest. In August 2022, the board of directors approved performance metrics in concept, subject to further action by the Compensation Committee. In December 2022, the Compensation Committee: (a) determined and approved the performance metrics, which are based on the achievement of certain total shareholder return results, as measured against certain stock price hurdles (the “Market Condition”); and (b) extended the vesting period of the PRSU Award through December 31, 2027. As an additional condition to vesting of each tranche of the PRSU Award, Mr. Siebel must remain in continuous service to the Company through a minimum service date that applies to such tranche or, if later, the date the applicable performance metric is achieved (the “Service Condition”). The grant date of the PRSU Award was established in December 2022.</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associated with the PRSU Award will be recognized over the longer of the expected achievement period for the Market Condition or the Service Condition. For the fiscal years ended April 30, 2024 and 2023, the Company recorded stock-based compensation expense of $5.4 million and $2.1 million, respectively, related to the PRSU Award.</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value of the PRSU Award using a Monte Carlo simulation model with the following assumptions: stock price of $12.90, risk-free interest rate of 3.7%, dividend yield of 0% and expected volatility of 51.4%.</w:t>
      </w:r>
    </w:p>
    <w:p>
      <w:pPr>
        <w:sectPr>
          <w:pgSz w:w="11900" w:h="16838" w:orient="portrait"/>
          <w:cols w:equalWidth="0" w:num="1">
            <w:col w:w="11240"/>
          </w:cols>
          <w:pgMar w:left="320" w:top="117"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RSU activities and related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April 30, 2022</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vested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74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April 30, 2023</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vested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RSUs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6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April 30, 2024</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27432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40" w:type="dxa"/>
            <w:vAlign w:val="bottom"/>
          </w:tcPr>
          <w:p>
            <w:pPr>
              <w:spacing w:after="0"/>
              <w:rPr>
                <w:sz w:val="15"/>
                <w:szCs w:val="15"/>
                <w:color w:val="auto"/>
              </w:rPr>
            </w:pPr>
          </w:p>
        </w:tc>
        <w:tc>
          <w:tcPr>
            <w:tcW w:w="18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0"/>
        </w:trPr>
        <w:tc>
          <w:tcPr>
            <w:tcW w:w="2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7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4320"/>
          </w:cols>
          <w:pgMar w:left="320" w:top="117" w:right="339" w:bottom="1440" w:gutter="0" w:footer="0" w:header="0"/>
          <w:type w:val="continuous"/>
        </w:sectPr>
      </w:pPr>
    </w:p>
    <w:p>
      <w:pPr>
        <w:spacing w:after="0" w:line="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April 30, 2024 and 2023, there was $422.6 million and $423.8 million, respectively, of unrecognized stock-based compensation expense related to outstanding RSUs granted to employees that is expected to be recognized over a weighted-average period of 3.7 years and 3.9 years,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and 2022, the Compensation Committee approved the payment of fiscal year 2023 and 2022 bonuses, respectively, under the Company’s annual bonus program in the form of fully vested RSUs covering shares of Class A common stock to employees. The Company issued 532,842 and 811,790 shares of Class A common stock pursuant to this program during the fiscal year ended April 30, 2024 and April 30, 2023, respectively.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issued in settlement of fully vested RSUs granted under this bonus program were issued from the 2020 Incentive Plan and reduced the shares available for issuance under the 2020 Incentive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27, 2020, the Company’s board of directors also adopted, and its stockholders also approved, the 2020 Employee Stock Purchase Plan (the “2020 ESPP”), which became effective immediately prior to the IPO. The 2020 ESPP authorizes the issuance of shares of Class A common stock pursuant to purchase rights granted to employees. A total of 3,000,000 shares of Class A common stock were initially reserved for future issuance under the 2020 ESPP. The number of shares of Class A common stock reserved for issuance under the 2020 ESPP is subject to automatic evergreen increases annually through (and including) May 1, 2030 pursuant to the terms of the 2020 ESPP. There was an automatic annual increase on May 1, 2023 in the number of shares reserved for future issuance pursuant to the 2020 ESPP in an amount equal to one percent (1%) of the total number of shares of the Company’s Class A common stock and Class B common stock outstanding on April 30, 2023. The 2020 ESPP permits participants to purchase shares of Class A common stock in an amount not exceeding 15% of their earnings during the relevant offering period. The offering dates and purchase dates for the 2020 ESPP are determined at the discretion of the Company’s board of directors.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the initial offering period under the 2020 ESPP, which commenced on October 16, 2022 and ends on September 15, 2024, the 2020 ESPP provides for 24-month offering periods beginning September 15 and March 15 of each year, with each offering period consisting of four six-month purchase periods. The 2020 ESPP allows eligible employees to purchase shares of the Company’s Class A common stock, subject to purchase limits of 2,500 shares during each six-month period or $25,000 worth of stock for each calendar year, through payroll deductions at price per share equal to 85% of the lesser of the fair market value of the Company’s Class A common stock on (i) the first trading day of the applicable offering period and (ii) the last trading day of each purchase period in the applicable offering period. If the price per share of the Company’s Class A common stock on any purchase date in the offering period is lower than the price per share of the Company’s Class A common stock price on the enrollment date of that offering period, the offering period will immediately reset after the purchase of shares on such purchase date and automatically roll into a new 24-month offering period.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a Black-Scholes-Merton option pricing model to determine the fair value of employee stock purchase rights granted under the 2020 ESPP.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shares to be granted under the 2020 ESPP during the period:</w:t>
      </w:r>
    </w:p>
    <w:p>
      <w:pPr>
        <w:spacing w:after="0" w:line="21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41910</wp:posOffset>
            </wp:positionV>
            <wp:extent cx="33343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20" w:type="dxa"/>
            <w:vAlign w:val="bottom"/>
          </w:tcPr>
          <w:p>
            <w:pPr>
              <w:spacing w:after="0"/>
              <w:rPr>
                <w:sz w:val="16"/>
                <w:szCs w:val="16"/>
                <w:color w:val="auto"/>
              </w:rPr>
            </w:pPr>
          </w:p>
        </w:tc>
        <w:tc>
          <w:tcPr>
            <w:tcW w:w="2060" w:type="dxa"/>
            <w:vAlign w:val="bottom"/>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r>
      <w:tr>
        <w:trPr>
          <w:trHeight w:val="37"/>
        </w:trPr>
        <w:tc>
          <w:tcPr>
            <w:tcW w:w="380" w:type="dxa"/>
            <w:vAlign w:val="bottom"/>
          </w:tcPr>
          <w:p>
            <w:pPr>
              <w:spacing w:after="0"/>
              <w:rPr>
                <w:sz w:val="3"/>
                <w:szCs w:val="3"/>
                <w:color w:val="auto"/>
              </w:rPr>
            </w:pPr>
          </w:p>
        </w:tc>
        <w:tc>
          <w:tcPr>
            <w:tcW w:w="52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r>
      <w:tr>
        <w:trPr>
          <w:trHeight w:val="230"/>
        </w:trPr>
        <w:tc>
          <w:tcPr>
            <w:tcW w:w="38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5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380" w:type="dxa"/>
            <w:vAlign w:val="bottom"/>
          </w:tcPr>
          <w:p>
            <w:pPr>
              <w:spacing w:after="0"/>
              <w:rPr>
                <w:sz w:val="20"/>
                <w:szCs w:val="20"/>
                <w:color w:val="auto"/>
              </w:rPr>
            </w:pPr>
          </w:p>
        </w:tc>
      </w:tr>
      <w:tr>
        <w:trPr>
          <w:trHeight w:val="243"/>
        </w:trPr>
        <w:tc>
          <w:tcPr>
            <w:tcW w:w="380" w:type="dxa"/>
            <w:vAlign w:val="bottom"/>
          </w:tcPr>
          <w:p>
            <w:pPr>
              <w:spacing w:after="0"/>
              <w:rPr>
                <w:sz w:val="21"/>
                <w:szCs w:val="21"/>
                <w:color w:val="auto"/>
              </w:rPr>
            </w:pPr>
          </w:p>
        </w:tc>
        <w:tc>
          <w:tcPr>
            <w:tcW w:w="6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54.5 - 73.3%</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47.8 - 61.4%</w:t>
            </w:r>
          </w:p>
        </w:tc>
        <w:tc>
          <w:tcPr>
            <w:tcW w:w="38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6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0.5 - 2.0</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0.4 - 2.0</w:t>
            </w:r>
          </w:p>
        </w:tc>
        <w:tc>
          <w:tcPr>
            <w:tcW w:w="38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4.7 - 5.5%</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4.1 - 4.9%</w:t>
            </w:r>
          </w:p>
        </w:tc>
        <w:tc>
          <w:tcPr>
            <w:tcW w:w="380" w:type="dxa"/>
            <w:vAlign w:val="bottom"/>
          </w:tcPr>
          <w:p>
            <w:pPr>
              <w:spacing w:after="0"/>
              <w:rPr>
                <w:sz w:val="21"/>
                <w:szCs w:val="21"/>
                <w:color w:val="auto"/>
              </w:rPr>
            </w:pPr>
          </w:p>
        </w:tc>
      </w:tr>
      <w:tr>
        <w:trPr>
          <w:trHeight w:val="905"/>
        </w:trPr>
        <w:tc>
          <w:tcPr>
            <w:tcW w:w="718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119</w:t>
            </w:r>
          </w:p>
        </w:tc>
        <w:tc>
          <w:tcPr>
            <w:tcW w:w="1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7"/>
        </w:trPr>
        <w:tc>
          <w:tcPr>
            <w:tcW w:w="3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April 30, 2024 and 2023, the Company recognized $5.4 million and $3.7 million, respectively, of stock-based compensation expense related to the 2020 ESPP. During the fiscal years ended April 30, 2024 and 2023, the Company’s employees purchased 863,412 and 310,784, respectively, shares of its Class A common stock under the 2020 ESPP. As of April 30, 2024 and 2023, there was $2.7 million and $5.8 million, respectively, of unrecognized stock-based compensation expense that is expected to be recognized over the remaining term of the respective offering periods. As of April 30, 2024 and 2023, 5,049,150 and 4,773,137, respectively, shares of Class A common stock were available for future issuance under the 2020 ESPP.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stock-based compensation on the Company’s consolidated statements of operations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r>
      <w:tr>
        <w:trPr>
          <w:trHeight w:val="263"/>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113,441</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stock-based compensation associated with the Company’s annual bonus program and retention bonus program for certain employees, which may be paid out in fully vested RSUs that are settled in shares of Class A common stock. During the fiscal years ended April 30, 2024 and 2023, the Company recognized $38.8 million and $35.0 million respectively, of stock-based compensation expense associated with these programs, of which $31.2 million and $32.4 million was reflected under accrued compensation and employee benefits in the consolidated balance sheets as of April 30, 2024 and 2023, respectively. Upon settlement, this amount will be reflected under common stock and additional paid-in capital in the consolidated statements of stockholders’ equity.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the Company’s net loss before provision for income taxes for the fiscal years ended April 30, 2024, 2023 and 2022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4340" w:type="dxa"/>
            <w:vAlign w:val="bottom"/>
            <w:tcBorders>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(189,891)</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3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provision for income taxes for the fiscal years ended April 30, 2024, 2023 and 2022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8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reconciliation of U.S. federal statutory rate to the Company’s effective tax rate was follows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2"/>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6"/>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24"/>
                <w:szCs w:val="24"/>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benefit at federal statutory rate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(40,119)</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expense—net of federal benefit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59,450</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in the Company’s effective tax rate and the U.S. federal statutory tax rate is primarily due to recording a full valuation allowance on the Company’s U.S. deferred tax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 assets and liabilities as of April 30, 2024 and 2023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payroll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accruals &amp; reserves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R&amp;D tax credit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R&amp;D expenditure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30,696</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268,738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189,036</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(180,571)</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37"/>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since inception and expected future losses and as such, management does not believe it is more likely than not that the deferred tax assets will be realized. Accordingly, a full valuation allowance has been established in the U.S. and no deferred tax assets and related tax benefit have been recognized in the accompanying financial statements. The valuation allowance as of April 30, 2024 and 2023 was $252.7 million and $180.6 million, respectively. The increase of $72.1 million in the Company’s valuation allowance compared to the prior fiscal year was primarily due to an increase in deferred tax assets arising from net operating loss and capitalized R&amp;D expenses.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30, 2024 and 2023, the Company had net operating loss carryforwards for federal income tax purposes of approximately $599.3 million and $487.6 million, respectively. The federal net operating loss carryforwards will expire, if not utilized, beginning in year 2029. Federal research and development tax credit carryforwards of approximately $18.8 million, will expire beginning in 2032 if not utilized. Federal charitable contribution carryforwards of approximately $25.6 million will expire beginning in 2022 if not utilized. Federal capital loss carryforwards of approximately $1.0 million will begin to expire in 2026 if not utilized.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of April 30, 2024 and 2023, the Company had net operating loss carryforwards for state income tax purposes of approximately $249.3 million and $187.8 million, respectively. The state net operating loss carryforwards will expire, if not utilized, beginning in the year 2032. The Company had state research and development tax credit carryforwards of approximately $14.2 million. The state research and development tax credits do not expire. State capitol loss carryforwards of approximately $0.4 million will begin to expire in 2026 if not utilized.</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Tax Reform Act of 1986 and similar California legislation impose substantial restrictions on the utilization of net operating losses and tax credit carryforwards if there is a change in ownership as provided by Section 382 of the Internal Revenue Code and similar state provisions. Such a limitation could result in the expiration of the net operating loss carryforwards and tax credits before utilization.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Company’s total gross unrecognized tax benefits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4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May 1</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11,369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7"/>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16,548</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2024, $0.1 million of unrecognized tax benefits, if recognized, would impact the Company’s effective income tax rate. The Company does not expect any unrecognized tax benefits to be recognized within the next 12 months.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income tax expense. As of April 30, 2024 and 2023, the Company has no cumulative interest and penalties related to unrecognized tax benefits. The Company does not anticipate a significant change in the unrecognized tax benefits over the next 12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was the same as diluted net loss per share for the periods presented because the Company was in a loss position for fiscal years ended April 30, 2024, 2023 and 2022. For purposes of this calculation, stock options, RSUs, Class A common stock issuable in connection with the 2020 ESPP and early exercised stock options subject to repurchase are considered to be potential common stock equivalents but have been excluded from the calculation of diluted net loss per share attributable to common stockholders as their effect is anti-dilutive.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110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(268,839)</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(192,065)</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Class A and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6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B common stockholders, basic and diluted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104,404</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attributable to common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 net loss per Class A and Class B common shares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 presented because including them would have had an antidilutive effect were as follows (in thousands):</w:t>
      </w:r>
    </w:p>
    <w:p>
      <w:pPr>
        <w:spacing w:after="0" w:line="155"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41910</wp:posOffset>
            </wp:positionV>
            <wp:extent cx="28460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31,371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36,712</w:t>
            </w:r>
          </w:p>
        </w:tc>
      </w:tr>
      <w:tr>
        <w:trPr>
          <w:trHeight w:val="24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19,283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r>
      <w:tr>
        <w:trPr>
          <w:trHeight w:val="27"/>
        </w:trPr>
        <w:tc>
          <w:tcPr>
            <w:tcW w:w="6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4"/>
        </w:trPr>
        <w:tc>
          <w:tcPr>
            <w:tcW w:w="676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rPr>
              <w:t>123</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7"/>
        </w:trPr>
        <w:tc>
          <w:tcPr>
            <w:tcW w:w="6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Transactions with Baker Hughes Company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2019, the Company entered into multiple agreements with Baker Hughes under which Baker Hughes received a three-year subscription to use the Company’s software. This arrangement was revised in June 2020 to extend the term to five years and modify the subscription fees due. Under the agreements as revised in June 2020, Baker Hughes made minimum, non-cancellable revenue commitments, inclusive of their direct subscription fees and third party revenue generated through a joint marketing arrangement with Baker Hughes in the amount of $46.7 million in fiscal year 2020, $53.3 million in fiscal year ending April 30, 2021, $75.0 million in the fiscal year ending April 30, 2022, $125.0 million in fiscal year ending April 30, 2023, and $150.0 million in fiscal year ending April 30, 2024. The Company also agreed to pay Baker Hughes a sales commission on subscriptions and services offerings it resold in excess of the minimum revenue commitments.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Baker Hughes again revised this arrangement in October 2021 to extend the term by an additional year, for a total of six years, with an expiration date in the fiscal year ending April 30, 2025, to modify the amount of Baker Hughes’ annual commitments to $85.0 million in fiscal year 2023, $110.0 million in fiscal year 2024, and $125.0 million in fiscal year 2025, and to revise the structure of the arrangement to simplify the sales process for Baker Hughes. Beginning in the fiscal year ended April 30, 2023, Baker Hughes’ annual commitments were reduced by any revenue the Company generates from certain customers. Known and estimable revenue from certain customers related to the arrangement is a form of variable consideration, which was determined at contract inception and reduced the revenue recognized from the arrangement. The Company acknowledged that Baker Hughes had met its minimum annual revenue commitment for the fiscal year 2022 and recognized $16.0 million of sales commission as deferred costs during the fiscal quarter ended October 31, 2021 related to this arrangement, which will be amortized over an expected period of five years.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Baker Hughes again revised and expanded the agreements in January 2023. Pursuant to this revised arrangement, the frequency of payments due from Baker Hughes to the Company was accelerated, Baker Hughes obtained expanded reseller rights, and the Company agreed to provide additional products and services. This results in an increase of the overall transaction price of the arrangement by eliminating potential variable consideration attributable to any revenue the Company generated from certain customers. The amount of consideration to the Company may increase if Baker Hughes exceeds certain thresholds. The Company also provided Baker Hughes the option to extend the subscription term upon payment of a renewal fee. Pursuant to the January 2023 revised agreement, the transaction price of the Baker Hughes arrangement is not impacted by revenue the Company recognizes from certain customers in the oil and gas field.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Baker Hughes ceased to qualify as a related party of the Company as of June 30, 2023 and the amounts disclosed related to them are accordingly presented only for the periods in which they were considered a related party.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subscription revenue from direct subscription fees from Baker Hughes of $10.6 million, $75.5 million, and $60.4 million during the fiscal year ended April 30, 2024, 2023 and 2022, respectively. The Company recognized professional services revenue from Baker Hughes of $5.8 million, $16.8 million and $16.9 million during the during the fiscal years ended April 30, 2024, 2023, and 2022,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cost of subscription revenue related to services purchased from Baker Hughes to be used for third party customer of nil, nil and $0.6 million for the fiscal years ended April 30, 2024, 2023, and 2022, respectively. The Company recognized sales and marketing expenses related to Baker Hughes of $0.8 million, $14.0 million, and $8.2 million (inclusive of amortization of $0.8 million, $4.9 million and $3.3 million, respectively, of deferred commissions) for the fiscal years ended April 30, 2024, 2023, and 2022, respectively. The Company paid sales commission of nil, $16.0 million, and $3.4 million during the fiscal years ended April 30, 2024, 2023, and 2022 respectively, related to this arrangement.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Arrangement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21, 2023, the Company entered into a sublease agreement (the “Sublease”) with First Virtual Group, Inc. (the “Subtenant”), whereby the Company agreed to sublease to the Subtenant approximately 3,130 square feet of space located in Redwood City, California (the “Subleased Space”). The Company previously entered into a lease (the “Original Lease”) with DWF IV 1400-1500 Seaport Blvd, LLC dated August 25, 2021 for approximately 283,013 square feet of office space split between two office towers, including the Subleased Space. Thomas M. Siebel, Chief Executive Officer and Chairman of the Company, serves as Chairman of the Subtenant. The term of the Sublease commenced on February 1, 2023. The Sublease was automatically renewed on October 1, 2023 and will be automatically renewed for successive one year periods thereafter unless the Subtenant notifies the Company of its election to terminate the Sublease, up to the expiration date of the Original Lease. The monthly base rent for the Sublease is equal to the rate per square foot paid by the Company as stated in the Original Lease. The monthly base rent the Subtenant pays was approximately $8,608 through September 30, 2023, increasing annually thereafter. In addition to base rent, the Subtenant is responsible for its allocated share of costs incurred and expenditures made by the Company in the operation and management of the Subleased Space.</w:t>
      </w:r>
    </w:p>
    <w:p>
      <w:pPr>
        <w:spacing w:after="0" w:line="200" w:lineRule="exact"/>
        <w:rPr>
          <w:sz w:val="20"/>
          <w:szCs w:val="20"/>
          <w:color w:val="auto"/>
        </w:rPr>
      </w:pPr>
    </w:p>
    <w:p>
      <w:pPr>
        <w:spacing w:after="0" w:line="341" w:lineRule="exact"/>
        <w:rPr>
          <w:sz w:val="20"/>
          <w:szCs w:val="20"/>
          <w:color w:val="auto"/>
        </w:rPr>
      </w:pPr>
    </w:p>
    <w:p>
      <w:pPr>
        <w:ind w:right="104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Exchange Act Rules 13a-15(e) and 15d-15(e)) as of the end of the period covered by this Annual Report on Form 10-K, and have concluded that, based on such evaluation, our disclosure controls and procedures were effective as of April 30, 2024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preparation of financial statements for external purposes in accordance with generally accepted accounting principles. Our management conducted an assessment of the effectiveness of the Company’s internal control over financial reporting as of April 30, 2024 based on criteria established in Internal Control - Integrated Framework (2013) issued by the Committee of Sponsoring Organizations of the Treadway Commission. Based on the assessment, our management has concluded that our internal control over financial reporting was effective as of April 30, 2024.</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has issued an audit report with respect to our internal control over financial reporting, which is included on the following page.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quarter ended April 30,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260" w:lineRule="exact"/>
        <w:rPr>
          <w:sz w:val="20"/>
          <w:szCs w:val="20"/>
          <w:color w:val="auto"/>
        </w:rPr>
      </w:pPr>
    </w:p>
    <w:p>
      <w:pPr>
        <w:ind w:right="2540" w:firstLine="2535"/>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C3.ai,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C3.ai, Inc. and subsidiaries (the “Company”) as of April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April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April 30, 2024, of the Company and our report dated June 18, 2024,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2024, our directors and officers (as defined in Rule 16a-1(f) under the Exchange Act) adopted or terminated the contracts, instructions or written plans for the purchase or sale of our securities set forth in the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Total Shares of</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Total Shares of</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Rule 10b5-</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Non-Rule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Common Stock to</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Action</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8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10b5-1**</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be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to be Purchased</w:t>
            </w:r>
          </w:p>
        </w:tc>
        <w:tc>
          <w:tcPr>
            <w:tcW w:w="1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0" w:type="dxa"/>
            <w:vAlign w:val="bottom"/>
          </w:tcPr>
          <w:p>
            <w:pPr>
              <w:spacing w:after="0"/>
              <w:rPr>
                <w:sz w:val="1"/>
                <w:szCs w:val="1"/>
                <w:color w:val="auto"/>
              </w:rPr>
            </w:pPr>
          </w:p>
        </w:tc>
      </w:tr>
      <w:tr>
        <w:trPr>
          <w:trHeight w:val="22"/>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Edward Y. Abbo</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President and Chief Technology</w:t>
            </w:r>
          </w:p>
        </w:tc>
        <w:tc>
          <w:tcPr>
            <w:tcW w:w="1120" w:type="dxa"/>
            <w:vAlign w:val="bottom"/>
            <w:gridSpan w:val="2"/>
            <w:shd w:val="clear" w:color="auto" w:fill="CCEEFF"/>
          </w:tcPr>
          <w:p>
            <w:pPr>
              <w:jc w:val="center"/>
              <w:ind w:right="100"/>
              <w:spacing w:after="0" w:line="203" w:lineRule="exact"/>
              <w:rPr>
                <w:sz w:val="20"/>
                <w:szCs w:val="20"/>
                <w:color w:val="auto"/>
              </w:rPr>
            </w:pPr>
            <w:r>
              <w:rPr>
                <w:rFonts w:ascii="Times New Roman" w:cs="Times New Roman" w:eastAsia="Times New Roman" w:hAnsi="Times New Roman"/>
                <w:sz w:val="16"/>
                <w:szCs w:val="16"/>
                <w:color w:val="auto"/>
                <w:w w:val="96"/>
              </w:rPr>
              <w:t xml:space="preserve">Adoption </w:t>
            </w:r>
            <w:r>
              <w:rPr>
                <w:rFonts w:ascii="Times New Roman" w:cs="Times New Roman" w:eastAsia="Times New Roman" w:hAnsi="Times New Roman"/>
                <w:sz w:val="21"/>
                <w:szCs w:val="21"/>
                <w:color w:val="auto"/>
                <w:w w:val="96"/>
                <w:vertAlign w:val="superscript"/>
              </w:rPr>
              <w:t>(1)</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July 3, 2024</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217,612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32"/>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Stephen M. Ward, Jr.</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Adoption</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July 1, 2024</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118"/>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112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2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Hitesh Lath</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Adoption</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June 27, 2024</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32"/>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8"/>
        <w:spacing w:after="0" w:line="266"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10b5-1 trading arrangement was adopted by Edward Abbo, individually and as Trustee of the Abbo 2012 Children’s Trust FBO Dana Lauren Abbo U/A OTO 3/8/2021, the Abbo 2012 Children’s Trust FCO Layla Grace Abbo U/A OTO 3/8/2021, and the Abbo 2012 Children’s Trust FBO Casey Cecile Abbo U/A OTO 3/8/2021.</w:t>
      </w:r>
    </w:p>
    <w:p>
      <w:pPr>
        <w:spacing w:after="0" w:line="122" w:lineRule="exact"/>
        <w:rPr>
          <w:sz w:val="20"/>
          <w:szCs w:val="20"/>
          <w:color w:val="auto"/>
        </w:rPr>
      </w:pPr>
    </w:p>
    <w:p>
      <w:pPr>
        <w:ind w:right="1500" w:firstLine="8"/>
        <w:spacing w:after="0" w:line="344" w:lineRule="auto"/>
        <w:tabs>
          <w:tab w:leader="none" w:pos="1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348" w:lineRule="exact"/>
        <w:rPr>
          <w:sz w:val="20"/>
          <w:szCs w:val="20"/>
          <w:color w:val="auto"/>
        </w:rPr>
      </w:pPr>
    </w:p>
    <w:p>
      <w:pPr>
        <w:ind w:right="30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6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will be included in our definitive proxy statement for our 2024 annual meeting of stockholders, or our 2024 Proxy Statement, to be filed with the SEC within 120 days after the end of our fiscal year ended April 30, 2024, and is incorporated herein by reference.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code of conduct that applies to all of our employees, officers, and directors, including our Chief Executive Officer, Chief Financial Officer and other executive and senior financial officers. The full text of our code of conduct is posted on the investor relations section on our website, which is located at https://ir.c3.ai. We intend to satisfy the disclosure requirement under Item 5.05 of Form 8-K regarding amendment to, or waiver from, a provision of our code of conduct by posting such information in the investor relations section of our website.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Insider Trading Policy, employees, directors, and designated consultants, as well as immediate family members or others subject to the influence, direction or control of these individuals are prohibited from insider trading, hedging transactions, pledges, holding securities in margin accounts, short sales and transactions involving derivative securities, such as exchange-traded put or call options or swaps relating to our securities. A copy of our Insider Trading Policy has been filed as an exhibit to this report.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2024 Proxy Statement and is incorporated herein by reference.</w:t>
      </w:r>
    </w:p>
    <w:p>
      <w:pPr>
        <w:spacing w:after="0" w:line="200" w:lineRule="exact"/>
        <w:rPr>
          <w:sz w:val="20"/>
          <w:szCs w:val="20"/>
          <w:color w:val="auto"/>
        </w:rPr>
      </w:pPr>
    </w:p>
    <w:p>
      <w:pPr>
        <w:spacing w:after="0" w:line="3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2024 Proxy Statement and is incorporated herein by reference.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2024 Proxy Statement and is incorporated herein by reference.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our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6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171"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under Part II, Item 8 of this Annual Report on Form 10-K.</w:t>
      </w:r>
    </w:p>
    <w:p>
      <w:pPr>
        <w:spacing w:after="0" w:line="171"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not listed above have been omitted because they are not required, not applicable, or the required information is otherwise included.</w:t>
      </w:r>
    </w:p>
    <w:p>
      <w:pPr>
        <w:spacing w:after="0" w:line="171"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as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1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gridSpan w:val="3"/>
          </w:tcPr>
          <w:p>
            <w:pPr>
              <w:jc w:val="right"/>
              <w:ind w:right="400"/>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gridSpan w:val="4"/>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Amended and Restated Certificate of Incorporation of the</w:t>
              </w:r>
            </w:hyperlink>
          </w:p>
        </w:tc>
        <w:tc>
          <w:tcPr>
            <w:tcW w:w="10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001-39744</w:t>
            </w:r>
          </w:p>
        </w:tc>
        <w:tc>
          <w:tcPr>
            <w:tcW w:w="100" w:type="dxa"/>
            <w:vAlign w:val="bottom"/>
          </w:tcPr>
          <w:p>
            <w:pPr>
              <w:spacing w:after="0"/>
              <w:rPr>
                <w:sz w:val="17"/>
                <w:szCs w:val="17"/>
                <w:color w:val="auto"/>
              </w:rPr>
            </w:pPr>
          </w:p>
        </w:tc>
        <w:tc>
          <w:tcPr>
            <w:tcW w:w="1060" w:type="dxa"/>
            <w:vAlign w:val="bottom"/>
          </w:tcPr>
          <w:p>
            <w:pPr>
              <w:jc w:val="right"/>
              <w:ind w:right="339"/>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11, 2020</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Registrant.</w:t>
              </w:r>
            </w:hyperlink>
          </w:p>
        </w:tc>
        <w:tc>
          <w:tcPr>
            <w:tcW w:w="9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420"/>
        <w:spacing w:after="0"/>
        <w:tabs>
          <w:tab w:leader="none" w:pos="1140" w:val="left"/>
        </w:tabs>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182">
        <w:r>
          <w:rPr>
            <w:rFonts w:ascii="Times New Roman" w:cs="Times New Roman" w:eastAsia="Times New Roman" w:hAnsi="Times New Roman"/>
            <w:sz w:val="17"/>
            <w:szCs w:val="17"/>
            <w:u w:val="single" w:color="auto"/>
            <w:color w:val="0000FF"/>
          </w:rPr>
          <w:t>Amended and Restated Bylaws of the Registrant.</w:t>
        </w:r>
      </w:hyperlink>
    </w:p>
    <w:p>
      <w:pPr>
        <w:spacing w:after="0" w:line="63" w:lineRule="exact"/>
        <w:rPr>
          <w:sz w:val="20"/>
          <w:szCs w:val="20"/>
          <w:color w:val="auto"/>
        </w:rPr>
      </w:pPr>
    </w:p>
    <w:p>
      <w:pPr>
        <w:ind w:left="420"/>
        <w:spacing w:after="0"/>
        <w:tabs>
          <w:tab w:leader="none" w:pos="1140" w:val="left"/>
        </w:tabs>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183">
        <w:r>
          <w:rPr>
            <w:rFonts w:ascii="Times New Roman" w:cs="Times New Roman" w:eastAsia="Times New Roman" w:hAnsi="Times New Roman"/>
            <w:sz w:val="17"/>
            <w:szCs w:val="17"/>
            <w:u w:val="single" w:color="auto"/>
            <w:color w:val="0000FF"/>
          </w:rPr>
          <w:t>Form of Class A common stock certificate of the Registrant.</w:t>
        </w:r>
      </w:hyperlink>
    </w:p>
    <w:p>
      <w:pPr>
        <w:spacing w:after="0" w:line="63" w:lineRule="exact"/>
        <w:rPr>
          <w:sz w:val="20"/>
          <w:szCs w:val="20"/>
          <w:color w:val="auto"/>
        </w:rPr>
      </w:pPr>
    </w:p>
    <w:p>
      <w:pPr>
        <w:ind w:left="1160" w:hanging="744"/>
        <w:spacing w:after="0" w:line="266" w:lineRule="auto"/>
        <w:tabs>
          <w:tab w:leader="none" w:pos="1140" w:val="left"/>
        </w:tabs>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u w:val="single" w:color="auto"/>
          <w:color w:val="0000FF"/>
        </w:rPr>
        <w:tab/>
      </w:r>
      <w:hyperlink r:id="rId184">
        <w:r>
          <w:rPr>
            <w:rFonts w:ascii="Times New Roman" w:cs="Times New Roman" w:eastAsia="Times New Roman" w:hAnsi="Times New Roman"/>
            <w:sz w:val="18"/>
            <w:szCs w:val="18"/>
            <w:u w:val="single" w:color="auto"/>
            <w:color w:val="0000FF"/>
          </w:rPr>
          <w:t>Amended and Restated Registration Rights Agreement by and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among the Registrant and certain of its stockholders, dated August</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15, 2019.</w:t>
        </w:r>
      </w:hyperlink>
    </w:p>
    <w:p>
      <w:pPr>
        <w:spacing w:after="0" w:line="14" w:lineRule="exact"/>
        <w:rPr>
          <w:rFonts w:ascii="Times New Roman" w:cs="Times New Roman" w:eastAsia="Times New Roman" w:hAnsi="Times New Roman"/>
          <w:sz w:val="18"/>
          <w:szCs w:val="18"/>
          <w:u w:val="single" w:color="auto"/>
          <w:color w:val="0000FF"/>
        </w:rPr>
      </w:pPr>
    </w:p>
    <w:p>
      <w:pPr>
        <w:ind w:left="1160" w:right="140" w:hanging="811"/>
        <w:spacing w:after="0" w:line="266" w:lineRule="auto"/>
        <w:tabs>
          <w:tab w:leader="none" w:pos="1140" w:val="left"/>
        </w:tabs>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4.2.1</w:t>
        </w:r>
      </w:hyperlink>
      <w:r>
        <w:rPr>
          <w:rFonts w:ascii="Times New Roman" w:cs="Times New Roman" w:eastAsia="Times New Roman" w:hAnsi="Times New Roman"/>
          <w:sz w:val="18"/>
          <w:szCs w:val="18"/>
          <w:u w:val="single" w:color="auto"/>
          <w:color w:val="0000FF"/>
        </w:rPr>
        <w:tab/>
      </w:r>
      <w:hyperlink r:id="rId185">
        <w:r>
          <w:rPr>
            <w:rFonts w:ascii="Times New Roman" w:cs="Times New Roman" w:eastAsia="Times New Roman" w:hAnsi="Times New Roman"/>
            <w:sz w:val="18"/>
            <w:szCs w:val="18"/>
            <w:u w:val="single" w:color="auto"/>
            <w:color w:val="0000FF"/>
          </w:rPr>
          <w:t>Amendment to Registration Rights Agreement and Waiver of</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Registration Rights and Notice by and among the Registrant and</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certain of its stockholders, dated December 3,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November 30, 2020</w:t>
            </w:r>
          </w:p>
        </w:tc>
      </w:tr>
      <w:tr>
        <w:trPr>
          <w:trHeight w:val="27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November 30, 2020</w:t>
            </w:r>
          </w:p>
        </w:tc>
      </w:tr>
      <w:tr>
        <w:trPr>
          <w:trHeight w:val="270"/>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November 23, 2020</w:t>
            </w:r>
          </w:p>
        </w:tc>
      </w:tr>
      <w:tr>
        <w:trPr>
          <w:trHeight w:val="702"/>
        </w:trPr>
        <w:tc>
          <w:tcPr>
            <w:tcW w:w="7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4.2.1</w:t>
            </w: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June 25, 2021</w:t>
            </w:r>
          </w:p>
        </w:tc>
      </w:tr>
    </w:tbl>
    <w:p>
      <w:pPr>
        <w:spacing w:after="0" w:line="454"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940" w:space="540"/>
            <w:col w:w="47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40" w:type="dxa"/>
            <w:vAlign w:val="bottom"/>
            <w:gridSpan w:val="3"/>
          </w:tcPr>
          <w:p>
            <w:pPr>
              <w:jc w:val="center"/>
              <w:ind w:left="330"/>
              <w:spacing w:after="0"/>
              <w:rPr>
                <w:rFonts w:ascii="Times New Roman" w:cs="Times New Roman" w:eastAsia="Times New Roman" w:hAnsi="Times New Roman"/>
                <w:sz w:val="18"/>
                <w:szCs w:val="18"/>
                <w:color w:val="0000FF"/>
                <w:w w:val="97"/>
              </w:rPr>
            </w:pPr>
            <w:hyperlink r:id="rId18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gridSpan w:val="15"/>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Voting Agreement by and among the Registrant, Thomas M. Siebel</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and Patricia A. House, dated January 15, 2015.</w:t>
              </w:r>
            </w:hyperlink>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0" w:type="dxa"/>
            <w:vAlign w:val="bottom"/>
            <w:gridSpan w:val="3"/>
          </w:tcPr>
          <w:p>
            <w:pPr>
              <w:jc w:val="center"/>
              <w:ind w:left="330"/>
              <w:spacing w:after="0"/>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8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Description of Capital Stock of the Registrant.</w:t>
              </w:r>
            </w:hyperlink>
          </w:p>
        </w:tc>
        <w:tc>
          <w:tcPr>
            <w:tcW w:w="1700" w:type="dxa"/>
            <w:vAlign w:val="bottom"/>
            <w:gridSpan w:val="8"/>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001-39744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June 25, 2021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gridSpan w:val="4"/>
          </w:tcPr>
          <w:p>
            <w:pPr>
              <w:jc w:val="center"/>
              <w:ind w:left="230"/>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20" w:type="dxa"/>
            <w:vAlign w:val="bottom"/>
          </w:tcPr>
          <w:p>
            <w:pPr>
              <w:spacing w:after="0"/>
              <w:rPr>
                <w:sz w:val="21"/>
                <w:szCs w:val="21"/>
                <w:color w:val="auto"/>
              </w:rPr>
            </w:pPr>
          </w:p>
        </w:tc>
        <w:tc>
          <w:tcPr>
            <w:tcW w:w="5080" w:type="dxa"/>
            <w:vAlign w:val="bottom"/>
            <w:gridSpan w:val="15"/>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Amended and Restated 2012 Equity Incentive Plan and</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478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forms of agreements thereunder.</w:t>
              </w:r>
            </w:hyperlink>
          </w:p>
        </w:tc>
        <w:tc>
          <w:tcPr>
            <w:tcW w:w="30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001-39744</w:t>
            </w: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420" w:type="dxa"/>
            <w:vAlign w:val="bottom"/>
          </w:tcPr>
          <w:p>
            <w:pPr>
              <w:spacing w:after="0"/>
              <w:rPr>
                <w:sz w:val="21"/>
                <w:szCs w:val="21"/>
                <w:color w:val="auto"/>
              </w:rPr>
            </w:pPr>
          </w:p>
        </w:tc>
        <w:tc>
          <w:tcPr>
            <w:tcW w:w="5080" w:type="dxa"/>
            <w:vAlign w:val="bottom"/>
            <w:gridSpan w:val="15"/>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2020 Equity Incentive Plan, as amended, and forms</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vMerge w:val="continue"/>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December 7, 2023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450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thereunder.</w:t>
              </w:r>
            </w:hyperlink>
          </w:p>
        </w:tc>
        <w:tc>
          <w:tcPr>
            <w:tcW w:w="58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gridSpan w:val="4"/>
          </w:tcPr>
          <w:p>
            <w:pPr>
              <w:jc w:val="center"/>
              <w:ind w:left="230"/>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20" w:type="dxa"/>
            <w:vAlign w:val="bottom"/>
          </w:tcPr>
          <w:p>
            <w:pPr>
              <w:spacing w:after="0"/>
              <w:rPr>
                <w:sz w:val="21"/>
                <w:szCs w:val="21"/>
                <w:color w:val="auto"/>
              </w:rPr>
            </w:pPr>
          </w:p>
        </w:tc>
        <w:tc>
          <w:tcPr>
            <w:tcW w:w="5080" w:type="dxa"/>
            <w:vAlign w:val="bottom"/>
            <w:gridSpan w:val="1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C3.</w:t>
              </w:r>
              <w:r>
                <w:rPr>
                  <w:rFonts w:ascii="Times New Roman" w:cs="Times New Roman" w:eastAsia="Times New Roman" w:hAnsi="Times New Roman"/>
                  <w:sz w:val="18"/>
                  <w:szCs w:val="18"/>
                  <w:u w:val="single" w:color="auto"/>
                  <w:color w:val="0000FF"/>
                </w:rPr>
                <w:t>ai,</w:t>
              </w:r>
              <w:r>
                <w:rPr>
                  <w:rFonts w:ascii="Times New Roman" w:cs="Times New Roman" w:eastAsia="Times New Roman" w:hAnsi="Times New Roman"/>
                  <w:sz w:val="18"/>
                  <w:szCs w:val="18"/>
                  <w:color w:val="0000FF"/>
                </w:rPr>
                <w:t xml:space="preserve"> Inc. 2020 Employee Stock Purchase Plan.</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gridSpan w:val="4"/>
          </w:tcPr>
          <w:p>
            <w:pPr>
              <w:jc w:val="center"/>
              <w:ind w:left="230"/>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420" w:type="dxa"/>
            <w:vAlign w:val="bottom"/>
          </w:tcPr>
          <w:p>
            <w:pPr>
              <w:spacing w:after="0"/>
              <w:rPr>
                <w:sz w:val="21"/>
                <w:szCs w:val="21"/>
                <w:color w:val="auto"/>
              </w:rPr>
            </w:pPr>
          </w:p>
        </w:tc>
        <w:tc>
          <w:tcPr>
            <w:tcW w:w="5080" w:type="dxa"/>
            <w:vAlign w:val="bottom"/>
            <w:gridSpan w:val="15"/>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Offer Letter by and between the Registrant and Edward Y. Abbo,</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dated July 22, 2009.</w:t>
              </w:r>
            </w:hyperlink>
          </w:p>
        </w:tc>
        <w:tc>
          <w:tcPr>
            <w:tcW w:w="3220" w:type="dxa"/>
            <w:vAlign w:val="bottom"/>
            <w:tcBorders>
              <w:top w:val="single" w:sz="8" w:color="0000FF"/>
            </w:tcBorders>
            <w:gridSpan w:val="8"/>
          </w:tcPr>
          <w:p>
            <w:pPr>
              <w:spacing w:after="0"/>
              <w:rPr>
                <w:sz w:val="17"/>
                <w:szCs w:val="17"/>
                <w:color w:val="auto"/>
              </w:rPr>
            </w:pPr>
          </w:p>
        </w:tc>
        <w:tc>
          <w:tcPr>
            <w:tcW w:w="4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 w:type="dxa"/>
            <w:vAlign w:val="bottom"/>
            <w:gridSpan w:val="4"/>
          </w:tcPr>
          <w:p>
            <w:pPr>
              <w:jc w:val="center"/>
              <w:ind w:left="230"/>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420" w:type="dxa"/>
            <w:vAlign w:val="bottom"/>
          </w:tcPr>
          <w:p>
            <w:pPr>
              <w:spacing w:after="0"/>
              <w:rPr>
                <w:sz w:val="21"/>
                <w:szCs w:val="21"/>
                <w:color w:val="auto"/>
              </w:rPr>
            </w:pPr>
          </w:p>
        </w:tc>
        <w:tc>
          <w:tcPr>
            <w:tcW w:w="5080" w:type="dxa"/>
            <w:vAlign w:val="bottom"/>
            <w:gridSpan w:val="15"/>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Offer Letter by and between the Registrant and Houman Behzadi,</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dated January 6, 2010</w:t>
              </w:r>
              <w:r>
                <w:rPr>
                  <w:rFonts w:ascii="Times New Roman" w:cs="Times New Roman" w:eastAsia="Times New Roman" w:hAnsi="Times New Roman"/>
                  <w:sz w:val="18"/>
                  <w:szCs w:val="18"/>
                  <w:color w:val="000000"/>
                </w:rPr>
                <w:t>.</w:t>
              </w:r>
            </w:hyperlink>
          </w:p>
        </w:tc>
        <w:tc>
          <w:tcPr>
            <w:tcW w:w="34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gridSpan w:val="4"/>
          </w:tcPr>
          <w:p>
            <w:pPr>
              <w:jc w:val="center"/>
              <w:ind w:left="230"/>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20" w:type="dxa"/>
            <w:vAlign w:val="bottom"/>
          </w:tcPr>
          <w:p>
            <w:pPr>
              <w:spacing w:after="0"/>
              <w:rPr>
                <w:sz w:val="21"/>
                <w:szCs w:val="21"/>
                <w:color w:val="auto"/>
              </w:rPr>
            </w:pPr>
          </w:p>
        </w:tc>
        <w:tc>
          <w:tcPr>
            <w:tcW w:w="5080" w:type="dxa"/>
            <w:vAlign w:val="bottom"/>
            <w:gridSpan w:val="15"/>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Revised Offer Letter by and between the Registrant and Edward Y.</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7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Abbo, dated July 15, 2011.</w:t>
              </w:r>
            </w:hyperlink>
          </w:p>
        </w:tc>
        <w:tc>
          <w:tcPr>
            <w:tcW w:w="2880" w:type="dxa"/>
            <w:vAlign w:val="bottom"/>
            <w:tcBorders>
              <w:top w:val="single" w:sz="8" w:color="0000FF"/>
            </w:tcBorders>
            <w:gridSpan w:val="9"/>
          </w:tcPr>
          <w:p>
            <w:pPr>
              <w:spacing w:after="0"/>
              <w:rPr>
                <w:sz w:val="17"/>
                <w:szCs w:val="17"/>
                <w:color w:val="auto"/>
              </w:rPr>
            </w:pPr>
          </w:p>
        </w:tc>
        <w:tc>
          <w:tcPr>
            <w:tcW w:w="2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80" w:type="dxa"/>
            <w:vAlign w:val="bottom"/>
            <w:gridSpan w:val="10"/>
          </w:tcPr>
          <w:p>
            <w:pPr>
              <w:ind w:left="4320"/>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1" w:name="page132"/>
    <w:bookmarkEnd w:id="131"/>
    <w:p>
      <w:pPr>
        <w:spacing w:after="0" w:line="200" w:lineRule="exact"/>
        <w:rPr>
          <w:sz w:val="20"/>
          <w:szCs w:val="20"/>
          <w:color w:val="auto"/>
        </w:rPr>
      </w:pPr>
    </w:p>
    <w:p>
      <w:pPr>
        <w:spacing w:after="0" w:line="318" w:lineRule="exact"/>
        <w:rPr>
          <w:sz w:val="20"/>
          <w:szCs w:val="20"/>
          <w:color w:val="auto"/>
        </w:rPr>
      </w:pPr>
    </w:p>
    <w:p>
      <w:pPr>
        <w:ind w:left="10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10.7+</w:t>
        </w:r>
      </w:hyperlink>
    </w:p>
    <w:p>
      <w:pPr>
        <w:spacing w:after="0" w:line="279" w:lineRule="exact"/>
        <w:rPr>
          <w:sz w:val="20"/>
          <w:szCs w:val="20"/>
          <w:color w:val="auto"/>
        </w:rPr>
      </w:pPr>
    </w:p>
    <w:p>
      <w:pPr>
        <w:ind w:left="100"/>
        <w:spacing w:after="0"/>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10.8+</w:t>
        </w:r>
      </w:hyperlink>
    </w:p>
    <w:p>
      <w:pPr>
        <w:spacing w:after="0" w:line="279" w:lineRule="exact"/>
        <w:rPr>
          <w:sz w:val="20"/>
          <w:szCs w:val="20"/>
          <w:color w:val="auto"/>
        </w:rPr>
      </w:pPr>
    </w:p>
    <w:p>
      <w:pPr>
        <w:ind w:left="160"/>
        <w:spacing w:after="0"/>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10.9</w:t>
        </w:r>
      </w:hyperlink>
    </w:p>
    <w:p>
      <w:pPr>
        <w:spacing w:after="0" w:line="200" w:lineRule="exact"/>
        <w:rPr>
          <w:sz w:val="20"/>
          <w:szCs w:val="20"/>
          <w:color w:val="auto"/>
        </w:rPr>
      </w:pPr>
    </w:p>
    <w:p>
      <w:pPr>
        <w:spacing w:after="0" w:line="295"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10.9.1</w:t>
        </w:r>
      </w:hyperlink>
    </w:p>
    <w:p>
      <w:pPr>
        <w:spacing w:after="0" w:line="279"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10.9.2</w:t>
        </w:r>
      </w:hyperlink>
    </w:p>
    <w:p>
      <w:pPr>
        <w:spacing w:after="0" w:line="279"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10.9.3</w:t>
        </w:r>
      </w:hyperlink>
    </w:p>
    <w:p>
      <w:pPr>
        <w:spacing w:after="0" w:line="252"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10.9.4</w:t>
        </w:r>
      </w:hyperlink>
    </w:p>
    <w:p>
      <w:pPr>
        <w:spacing w:after="0" w:line="279"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10.9.5</w:t>
        </w:r>
      </w:hyperlink>
    </w:p>
    <w:p>
      <w:pPr>
        <w:spacing w:after="0" w:line="279" w:lineRule="exact"/>
        <w:rPr>
          <w:sz w:val="20"/>
          <w:szCs w:val="20"/>
          <w:color w:val="auto"/>
        </w:rPr>
      </w:pPr>
    </w:p>
    <w:p>
      <w:pPr>
        <w:ind w:left="60"/>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10.10#</w:t>
        </w:r>
      </w:hyperlink>
    </w:p>
    <w:p>
      <w:pPr>
        <w:spacing w:after="0" w:line="27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05">
        <w:r>
          <w:rPr>
            <w:rFonts w:ascii="Times New Roman" w:cs="Times New Roman" w:eastAsia="Times New Roman" w:hAnsi="Times New Roman"/>
            <w:sz w:val="17"/>
            <w:szCs w:val="17"/>
            <w:u w:val="single" w:color="auto"/>
            <w:color w:val="0000FF"/>
          </w:rPr>
          <w:t>10.10.1#</w:t>
        </w:r>
      </w:hyperlink>
    </w:p>
    <w:p>
      <w:pPr>
        <w:spacing w:after="0" w:line="200" w:lineRule="exact"/>
        <w:rPr>
          <w:sz w:val="20"/>
          <w:szCs w:val="20"/>
          <w:color w:val="auto"/>
        </w:rPr>
      </w:pPr>
    </w:p>
    <w:p>
      <w:pPr>
        <w:spacing w:after="0" w:line="30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06">
        <w:r>
          <w:rPr>
            <w:rFonts w:ascii="Times New Roman" w:cs="Times New Roman" w:eastAsia="Times New Roman" w:hAnsi="Times New Roman"/>
            <w:sz w:val="17"/>
            <w:szCs w:val="17"/>
            <w:u w:val="single" w:color="auto"/>
            <w:color w:val="0000FF"/>
          </w:rPr>
          <w:t>10.10.2#</w:t>
        </w:r>
      </w:hyperlink>
    </w:p>
    <w:p>
      <w:pPr>
        <w:spacing w:after="0" w:line="291"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10.10.3</w:t>
        </w:r>
      </w:hyperlink>
    </w:p>
    <w:p>
      <w:pPr>
        <w:spacing w:after="0" w:line="200" w:lineRule="exact"/>
        <w:rPr>
          <w:sz w:val="20"/>
          <w:szCs w:val="20"/>
          <w:color w:val="auto"/>
        </w:rPr>
      </w:pPr>
    </w:p>
    <w:p>
      <w:pPr>
        <w:spacing w:after="0" w:line="255"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10.11</w:t>
        </w:r>
      </w:hyperlink>
    </w:p>
    <w:p>
      <w:pPr>
        <w:spacing w:after="0" w:line="279" w:lineRule="exact"/>
        <w:rPr>
          <w:sz w:val="20"/>
          <w:szCs w:val="20"/>
          <w:color w:val="auto"/>
        </w:rPr>
      </w:pPr>
    </w:p>
    <w:p>
      <w:pPr>
        <w:ind w:left="120"/>
        <w:spacing w:after="0"/>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10.12</w:t>
        </w:r>
      </w:hyperlink>
    </w:p>
    <w:p>
      <w:pPr>
        <w:spacing w:after="0" w:line="212" w:lineRule="exact"/>
        <w:rPr>
          <w:sz w:val="20"/>
          <w:szCs w:val="20"/>
          <w:color w:val="auto"/>
        </w:rPr>
      </w:pPr>
    </w:p>
    <w:p>
      <w:pPr>
        <w:ind w:left="60"/>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10.13#</w:t>
        </w:r>
      </w:hyperlink>
    </w:p>
    <w:p>
      <w:pPr>
        <w:spacing w:after="0" w:line="252" w:lineRule="exact"/>
        <w:rPr>
          <w:sz w:val="20"/>
          <w:szCs w:val="20"/>
          <w:color w:val="auto"/>
        </w:rPr>
      </w:pPr>
    </w:p>
    <w:p>
      <w:pPr>
        <w:ind w:left="60"/>
        <w:spacing w:after="0"/>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10.14+</w:t>
        </w:r>
      </w:hyperlink>
    </w:p>
    <w:p>
      <w:pPr>
        <w:spacing w:after="0" w:line="252" w:lineRule="exact"/>
        <w:rPr>
          <w:sz w:val="20"/>
          <w:szCs w:val="20"/>
          <w:color w:val="auto"/>
        </w:rPr>
      </w:pPr>
    </w:p>
    <w:p>
      <w:pPr>
        <w:ind w:left="60"/>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10.15+</w:t>
        </w:r>
      </w:hyperlink>
    </w:p>
    <w:p>
      <w:pPr>
        <w:spacing w:after="0" w:line="252" w:lineRule="exact"/>
        <w:rPr>
          <w:sz w:val="20"/>
          <w:szCs w:val="20"/>
          <w:color w:val="auto"/>
        </w:rPr>
      </w:pPr>
    </w:p>
    <w:p>
      <w:pPr>
        <w:ind w:left="60"/>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10.16+</w:t>
        </w:r>
      </w:hyperlink>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FF"/>
        </w:rPr>
        <w:t>19.1*</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FF"/>
        </w:rPr>
        <w:t>21.1*</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FF"/>
        </w:rPr>
        <w:t>23.1*</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FF"/>
        </w:rPr>
        <w:t>24.1*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280"/>
        <w:spacing w:after="0" w:line="298" w:lineRule="auto"/>
        <w:rPr>
          <w:rFonts w:ascii="Times New Roman" w:cs="Times New Roman" w:eastAsia="Times New Roman" w:hAnsi="Times New Roman"/>
          <w:sz w:val="17"/>
          <w:szCs w:val="17"/>
          <w:u w:val="single" w:color="auto"/>
          <w:color w:val="0000FF"/>
        </w:rPr>
      </w:pPr>
      <w:hyperlink r:id="rId196">
        <w:r>
          <w:rPr>
            <w:rFonts w:ascii="Times New Roman" w:cs="Times New Roman" w:eastAsia="Times New Roman" w:hAnsi="Times New Roman"/>
            <w:sz w:val="17"/>
            <w:szCs w:val="17"/>
            <w:u w:val="single" w:color="auto"/>
            <w:color w:val="0000FF"/>
          </w:rPr>
          <w:t>Amended and Restated Advisor Agreement by and between the</w:t>
        </w:r>
      </w:hyperlink>
      <w:r>
        <w:rPr>
          <w:rFonts w:ascii="Times New Roman" w:cs="Times New Roman" w:eastAsia="Times New Roman" w:hAnsi="Times New Roman"/>
          <w:sz w:val="17"/>
          <w:szCs w:val="17"/>
          <w:u w:val="single" w:color="auto"/>
          <w:color w:val="0000FF"/>
        </w:rPr>
        <w:t xml:space="preserve"> </w:t>
      </w:r>
      <w:hyperlink r:id="rId196">
        <w:r>
          <w:rPr>
            <w:rFonts w:ascii="Times New Roman" w:cs="Times New Roman" w:eastAsia="Times New Roman" w:hAnsi="Times New Roman"/>
            <w:sz w:val="17"/>
            <w:szCs w:val="17"/>
            <w:u w:val="single" w:color="auto"/>
            <w:color w:val="0000FF"/>
          </w:rPr>
          <w:t>Registrant and Jim Hagemann Snabe, dated September 13, 2020.</w:t>
        </w:r>
      </w:hyperlink>
    </w:p>
    <w:p>
      <w:pPr>
        <w:spacing w:after="0" w:line="1" w:lineRule="exact"/>
        <w:rPr>
          <w:sz w:val="20"/>
          <w:szCs w:val="20"/>
          <w:color w:val="auto"/>
        </w:rPr>
      </w:pPr>
    </w:p>
    <w:p>
      <w:pPr>
        <w:ind w:right="320"/>
        <w:spacing w:after="0" w:line="281"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Form of Indemnification Agreement between the Registrant and</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each of its directors and executive officers.</w:t>
        </w:r>
      </w:hyperlink>
    </w:p>
    <w:p>
      <w:pPr>
        <w:spacing w:after="0" w:line="1"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Lease by and between the Registrant and Google LLC (as successor-</w:t>
        </w:r>
      </w:hyperlink>
      <w:hyperlink r:id="rId198">
        <w:r>
          <w:rPr>
            <w:rFonts w:ascii="Times New Roman" w:cs="Times New Roman" w:eastAsia="Times New Roman" w:hAnsi="Times New Roman"/>
            <w:sz w:val="18"/>
            <w:szCs w:val="18"/>
            <w:u w:val="single" w:color="auto"/>
            <w:color w:val="0000FF"/>
          </w:rPr>
          <w:t>in-interest to VII Pac Shores Investors, LLC), dated October 28,</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2011.</w:t>
        </w:r>
      </w:hyperlink>
    </w:p>
    <w:p>
      <w:pPr>
        <w:spacing w:after="0" w:line="14" w:lineRule="exact"/>
        <w:rPr>
          <w:rFonts w:ascii="Times New Roman" w:cs="Times New Roman" w:eastAsia="Times New Roman" w:hAnsi="Times New Roman"/>
          <w:sz w:val="18"/>
          <w:szCs w:val="18"/>
          <w:u w:val="single" w:color="auto"/>
          <w:color w:val="0000FF"/>
        </w:rPr>
      </w:pPr>
    </w:p>
    <w:p>
      <w:pPr>
        <w:ind w:right="500"/>
        <w:spacing w:after="0" w:line="281"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First Amendment to Lease by and between the Registrant and</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Google LLC, dated April 4, 2017.</w:t>
        </w:r>
      </w:hyperlink>
    </w:p>
    <w:p>
      <w:pPr>
        <w:spacing w:after="0" w:line="1" w:lineRule="exact"/>
        <w:rPr>
          <w:sz w:val="20"/>
          <w:szCs w:val="20"/>
          <w:color w:val="auto"/>
        </w:rPr>
      </w:pPr>
    </w:p>
    <w:p>
      <w:pPr>
        <w:ind w:right="300"/>
        <w:spacing w:after="0" w:line="273"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Second Amendment to Lease by and between the Registrant and</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Google LLC, dated November 7, 2017.</w:t>
        </w:r>
      </w:hyperlink>
    </w:p>
    <w:p>
      <w:pPr>
        <w:spacing w:after="0" w:line="2" w:lineRule="exact"/>
        <w:rPr>
          <w:sz w:val="20"/>
          <w:szCs w:val="20"/>
          <w:color w:val="auto"/>
        </w:rPr>
      </w:pPr>
    </w:p>
    <w:p>
      <w:pPr>
        <w:ind w:right="440"/>
        <w:spacing w:after="0" w:line="26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Third Amendment to Lease by and between the Registrant and</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Google LLC, dated August 25, 2021.</w:t>
        </w:r>
      </w:hyperlink>
    </w:p>
    <w:p>
      <w:pPr>
        <w:spacing w:after="0" w:line="14" w:lineRule="exact"/>
        <w:rPr>
          <w:sz w:val="20"/>
          <w:szCs w:val="20"/>
          <w:color w:val="auto"/>
        </w:rPr>
      </w:pPr>
    </w:p>
    <w:p>
      <w:pPr>
        <w:ind w:right="360"/>
        <w:spacing w:after="0" w:line="281" w:lineRule="auto"/>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Fourth Amendment to Lease by and between the Registrant and</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Google LLC, dated April 6, 2022.</w:t>
        </w:r>
      </w:hyperlink>
    </w:p>
    <w:p>
      <w:pPr>
        <w:spacing w:after="0" w:line="1" w:lineRule="exact"/>
        <w:rPr>
          <w:sz w:val="20"/>
          <w:szCs w:val="20"/>
          <w:color w:val="auto"/>
        </w:rPr>
      </w:pPr>
    </w:p>
    <w:p>
      <w:pPr>
        <w:ind w:right="320"/>
        <w:spacing w:after="0" w:line="281"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Sublease by and between the Registrant and First Virtual Group,</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Inc., dated February 21, 2023.</w:t>
        </w:r>
      </w:hyperlink>
    </w:p>
    <w:p>
      <w:pPr>
        <w:spacing w:after="0" w:line="1" w:lineRule="exact"/>
        <w:rPr>
          <w:sz w:val="20"/>
          <w:szCs w:val="20"/>
          <w:color w:val="auto"/>
        </w:rPr>
      </w:pPr>
    </w:p>
    <w:p>
      <w:pPr>
        <w:ind w:right="140"/>
        <w:spacing w:after="0" w:line="281"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Joint Venture Agreement by and between the Registrant and Baker</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Hughes Holdings LLC, dated June 6, 2019.</w:t>
        </w:r>
      </w:hyperlink>
    </w:p>
    <w:p>
      <w:pPr>
        <w:spacing w:after="0" w:line="1" w:lineRule="exact"/>
        <w:rPr>
          <w:sz w:val="20"/>
          <w:szCs w:val="20"/>
          <w:color w:val="auto"/>
        </w:rPr>
      </w:pPr>
    </w:p>
    <w:p>
      <w:pPr>
        <w:jc w:val="both"/>
        <w:ind w:right="180"/>
        <w:spacing w:after="0" w:line="266"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First Amendment to Joint Venture Agreement by and between the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Registrant and Baker Hughes Holdings LLC, dated September 26,</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2019.</w:t>
        </w:r>
      </w:hyperlink>
    </w:p>
    <w:p>
      <w:pPr>
        <w:spacing w:after="0" w:line="14" w:lineRule="exact"/>
        <w:rPr>
          <w:rFonts w:ascii="Times New Roman" w:cs="Times New Roman" w:eastAsia="Times New Roman" w:hAnsi="Times New Roman"/>
          <w:sz w:val="18"/>
          <w:szCs w:val="18"/>
          <w:u w:val="single" w:color="auto"/>
          <w:color w:val="0000FF"/>
        </w:rPr>
      </w:pPr>
    </w:p>
    <w:p>
      <w:pPr>
        <w:ind w:right="20"/>
        <w:spacing w:after="0" w:line="290" w:lineRule="auto"/>
        <w:rPr>
          <w:rFonts w:ascii="Times New Roman" w:cs="Times New Roman" w:eastAsia="Times New Roman" w:hAnsi="Times New Roman"/>
          <w:sz w:val="17"/>
          <w:szCs w:val="17"/>
          <w:u w:val="single" w:color="auto"/>
          <w:color w:val="0000FF"/>
        </w:rPr>
      </w:pPr>
      <w:hyperlink r:id="rId206">
        <w:r>
          <w:rPr>
            <w:rFonts w:ascii="Times New Roman" w:cs="Times New Roman" w:eastAsia="Times New Roman" w:hAnsi="Times New Roman"/>
            <w:sz w:val="17"/>
            <w:szCs w:val="17"/>
            <w:u w:val="single" w:color="auto"/>
            <w:color w:val="0000FF"/>
          </w:rPr>
          <w:t>Second Amendment to Joint Venture Agreement by and between the</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Registrant and Baker Hughes Holdings LLC, dated June 1, 2020.</w:t>
        </w:r>
      </w:hyperlink>
    </w:p>
    <w:p>
      <w:pPr>
        <w:ind w:right="140"/>
        <w:spacing w:after="0" w:line="250"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Third Amendment to Joint Venture Agreement by and between the</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Registrant and Baker Hughes Holdings LLC, dated October 31,</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2021.</w:t>
        </w:r>
      </w:hyperlink>
    </w:p>
    <w:p>
      <w:pPr>
        <w:spacing w:after="0" w:line="28" w:lineRule="exact"/>
        <w:rPr>
          <w:rFonts w:ascii="Times New Roman" w:cs="Times New Roman" w:eastAsia="Times New Roman" w:hAnsi="Times New Roman"/>
          <w:sz w:val="18"/>
          <w:szCs w:val="18"/>
          <w:u w:val="single" w:color="auto"/>
          <w:color w:val="0000FF"/>
        </w:rPr>
      </w:pPr>
    </w:p>
    <w:p>
      <w:pPr>
        <w:ind w:right="60"/>
        <w:spacing w:after="0" w:line="290" w:lineRule="auto"/>
        <w:rPr>
          <w:rFonts w:ascii="Times New Roman" w:cs="Times New Roman" w:eastAsia="Times New Roman" w:hAnsi="Times New Roman"/>
          <w:sz w:val="17"/>
          <w:szCs w:val="17"/>
          <w:u w:val="single" w:color="auto"/>
          <w:color w:val="0000FF"/>
        </w:rPr>
      </w:pPr>
      <w:hyperlink r:id="rId208">
        <w:r>
          <w:rPr>
            <w:rFonts w:ascii="Times New Roman" w:cs="Times New Roman" w:eastAsia="Times New Roman" w:hAnsi="Times New Roman"/>
            <w:sz w:val="17"/>
            <w:szCs w:val="17"/>
            <w:u w:val="single" w:color="auto"/>
            <w:color w:val="0000FF"/>
          </w:rPr>
          <w:t>Common Stock Purchase Agreement by and between the Registrant</w:t>
        </w:r>
      </w:hyperlink>
      <w:r>
        <w:rPr>
          <w:rFonts w:ascii="Times New Roman" w:cs="Times New Roman" w:eastAsia="Times New Roman" w:hAnsi="Times New Roman"/>
          <w:sz w:val="17"/>
          <w:szCs w:val="17"/>
          <w:u w:val="single" w:color="auto"/>
          <w:color w:val="0000FF"/>
        </w:rPr>
        <w:t xml:space="preserve"> </w:t>
      </w:r>
      <w:hyperlink r:id="rId208">
        <w:r>
          <w:rPr>
            <w:rFonts w:ascii="Times New Roman" w:cs="Times New Roman" w:eastAsia="Times New Roman" w:hAnsi="Times New Roman"/>
            <w:sz w:val="17"/>
            <w:szCs w:val="17"/>
            <w:u w:val="single" w:color="auto"/>
            <w:color w:val="0000FF"/>
          </w:rPr>
          <w:t>and Spring Creek Capital, LLC, dated as of November 25, 2020.</w:t>
        </w:r>
      </w:hyperlink>
    </w:p>
    <w:p>
      <w:pPr>
        <w:ind w:right="60"/>
        <w:spacing w:after="0" w:line="256" w:lineRule="auto"/>
        <w:rPr>
          <w:rFonts w:ascii="Times New Roman" w:cs="Times New Roman" w:eastAsia="Times New Roman" w:hAnsi="Times New Roman"/>
          <w:sz w:val="17"/>
          <w:szCs w:val="17"/>
          <w:u w:val="single" w:color="auto"/>
          <w:color w:val="0000FF"/>
        </w:rPr>
      </w:pPr>
      <w:hyperlink r:id="rId209">
        <w:r>
          <w:rPr>
            <w:rFonts w:ascii="Times New Roman" w:cs="Times New Roman" w:eastAsia="Times New Roman" w:hAnsi="Times New Roman"/>
            <w:sz w:val="17"/>
            <w:szCs w:val="17"/>
            <w:u w:val="single" w:color="auto"/>
            <w:color w:val="0000FF"/>
          </w:rPr>
          <w:t>Common Stock Purchase Agreement by and between the Registrant</w:t>
        </w:r>
      </w:hyperlink>
      <w:r>
        <w:rPr>
          <w:rFonts w:ascii="Times New Roman" w:cs="Times New Roman" w:eastAsia="Times New Roman" w:hAnsi="Times New Roman"/>
          <w:sz w:val="17"/>
          <w:szCs w:val="17"/>
          <w:u w:val="single" w:color="auto"/>
          <w:color w:val="0000FF"/>
        </w:rPr>
        <w:t xml:space="preserve"> </w:t>
      </w:r>
      <w:hyperlink r:id="rId209">
        <w:r>
          <w:rPr>
            <w:rFonts w:ascii="Times New Roman" w:cs="Times New Roman" w:eastAsia="Times New Roman" w:hAnsi="Times New Roman"/>
            <w:sz w:val="17"/>
            <w:szCs w:val="17"/>
            <w:u w:val="single" w:color="auto"/>
            <w:color w:val="0000FF"/>
          </w:rPr>
          <w:t>and Microsoft Corporation, dated as of November 27, 2020.</w:t>
        </w:r>
      </w:hyperlink>
    </w:p>
    <w:p>
      <w:pPr>
        <w:spacing w:after="0" w:line="1"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Office Lease by and between the Registrant and DWF IV 1400-1500</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Seaport Blvd. LLC dated August 25, 2021.</w:t>
        </w:r>
      </w:hyperlink>
    </w:p>
    <w:p>
      <w:pPr>
        <w:ind w:right="360"/>
        <w:spacing w:after="0" w:line="266"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Offer Letter by and between the Registrant and Juho Parkkinen,</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dated March 1, 2022.</w:t>
        </w:r>
      </w:hyperlink>
    </w:p>
    <w:p>
      <w:pPr>
        <w:ind w:right="140"/>
        <w:spacing w:after="0" w:line="266"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Offer Letter by and between the Registrant and Guy Wanger, dated</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August 28, 2023, and amended September 7, 2023.</w:t>
        </w:r>
      </w:hyperlink>
    </w:p>
    <w:p>
      <w:pPr>
        <w:ind w:right="220"/>
        <w:spacing w:after="0" w:line="237"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Offer Letter by and between the Company and Hitesh Lath, dated</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February 28, 2024.</w:t>
        </w:r>
      </w:hyperlink>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C3.ai, Inc. Insider Trading Policy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the Registrant.</w:t>
      </w:r>
    </w:p>
    <w:p>
      <w:pPr>
        <w:spacing w:after="0" w:line="27"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u w:val="single" w:color="auto"/>
          <w:color w:val="0000FF"/>
        </w:rPr>
        <w:t>Consent of Deloitte &amp; Touche LLP, independent registered public accounting firm.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signature page)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175895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March 1, 2021</w:t>
            </w:r>
          </w:p>
        </w:tc>
      </w:tr>
      <w:tr>
        <w:trPr>
          <w:trHeight w:val="48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S-8</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333-253944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March 5, 2021</w:t>
            </w:r>
          </w:p>
        </w:tc>
      </w:tr>
      <w:tr>
        <w:trPr>
          <w:trHeight w:val="48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702"/>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48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48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December 2, 2021</w:t>
            </w:r>
          </w:p>
        </w:tc>
      </w:tr>
      <w:tr>
        <w:trPr>
          <w:trHeight w:val="459"/>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10.9.4</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June 23, 2022</w:t>
            </w:r>
          </w:p>
        </w:tc>
      </w:tr>
      <w:tr>
        <w:trPr>
          <w:trHeight w:val="48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March 3, 2023</w:t>
            </w:r>
          </w:p>
        </w:tc>
      </w:tr>
      <w:tr>
        <w:trPr>
          <w:trHeight w:val="48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48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702"/>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13, 2020</w:t>
            </w:r>
          </w:p>
        </w:tc>
      </w:tr>
      <w:tr>
        <w:trPr>
          <w:trHeight w:val="48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December 2, 2021</w:t>
            </w:r>
          </w:p>
        </w:tc>
      </w:tr>
      <w:tr>
        <w:trPr>
          <w:trHeight w:val="661"/>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30, 2020</w:t>
            </w:r>
          </w:p>
        </w:tc>
      </w:tr>
      <w:tr>
        <w:trPr>
          <w:trHeight w:val="48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333-250082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November 30, 2020</w:t>
            </w:r>
          </w:p>
        </w:tc>
      </w:tr>
      <w:tr>
        <w:trPr>
          <w:trHeight w:val="418"/>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December 2, 2021</w:t>
            </w:r>
          </w:p>
        </w:tc>
      </w:tr>
      <w:tr>
        <w:trPr>
          <w:trHeight w:val="45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March 2, 2022</w:t>
            </w:r>
          </w:p>
        </w:tc>
      </w:tr>
      <w:tr>
        <w:trPr>
          <w:trHeight w:val="459"/>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December 7, 2023</w:t>
            </w:r>
          </w:p>
        </w:tc>
      </w:tr>
      <w:tr>
        <w:trPr>
          <w:trHeight w:val="459"/>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February 29, 2024</w:t>
            </w:r>
          </w:p>
        </w:tc>
      </w:tr>
    </w:tbl>
    <w:p>
      <w:pPr>
        <w:sectPr>
          <w:pgSz w:w="11900" w:h="16838" w:orient="portrait"/>
          <w:cols w:equalWidth="0" w:num="3">
            <w:col w:w="620" w:space="340"/>
            <w:col w:w="4940" w:space="380"/>
            <w:col w:w="4700"/>
          </w:cols>
          <w:pgMar w:left="540" w:top="1440" w:right="379" w:bottom="1440" w:gutter="0" w:footer="0" w:header="0"/>
        </w:sectPr>
      </w:pPr>
    </w:p>
    <w:bookmarkStart w:id="132" w:name="page133"/>
    <w:bookmarkEnd w:id="132"/>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0000FF"/>
        </w:rPr>
        <w:t>32.2**</w:t>
      </w:r>
    </w:p>
    <w:p>
      <w:pPr>
        <w:spacing w:after="0" w:line="387"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u w:val="single" w:color="auto"/>
          <w:color w:val="0000FF"/>
        </w:rPr>
        <w:t>97.1*</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101.INS*</w:t>
      </w:r>
    </w:p>
    <w:p>
      <w:pPr>
        <w:spacing w:after="0" w:line="387" w:lineRule="exact"/>
        <w:rPr>
          <w:sz w:val="20"/>
          <w:szCs w:val="20"/>
          <w:color w:val="auto"/>
        </w:rPr>
      </w:pPr>
    </w:p>
    <w:p>
      <w:pPr>
        <w:jc w:val="center"/>
        <w:ind w:left="160"/>
        <w:spacing w:after="0" w:line="341" w:lineRule="auto"/>
        <w:rPr>
          <w:sz w:val="20"/>
          <w:szCs w:val="20"/>
          <w:color w:val="auto"/>
        </w:rPr>
      </w:pPr>
      <w:r>
        <w:rPr>
          <w:rFonts w:ascii="Times New Roman" w:cs="Times New Roman" w:eastAsia="Times New Roman" w:hAnsi="Times New Roman"/>
          <w:sz w:val="17"/>
          <w:szCs w:val="17"/>
          <w:color w:val="auto"/>
        </w:rPr>
        <w:t>101.SCH* 101.CAL* 101.DEF* 101.LAB* 101.PRE* 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Exchange Act</w:t>
      </w:r>
    </w:p>
    <w:p>
      <w:pPr>
        <w:spacing w:after="0" w:line="219" w:lineRule="auto"/>
        <w:rPr>
          <w:sz w:val="20"/>
          <w:szCs w:val="20"/>
          <w:color w:val="auto"/>
        </w:rPr>
      </w:pPr>
      <w:r>
        <w:rPr>
          <w:rFonts w:ascii="Times New Roman" w:cs="Times New Roman" w:eastAsia="Times New Roman" w:hAnsi="Times New Roman"/>
          <w:sz w:val="18"/>
          <w:szCs w:val="18"/>
          <w:u w:val="single" w:color="auto"/>
          <w:color w:val="0000FF"/>
        </w:rPr>
        <w:t>Rules 13a-14(a) and 15d-14(a), as adopted pursuant to Section 302</w:t>
      </w:r>
    </w:p>
    <w:p>
      <w:pPr>
        <w:spacing w:after="0"/>
        <w:rPr>
          <w:sz w:val="20"/>
          <w:szCs w:val="20"/>
          <w:color w:val="auto"/>
        </w:rPr>
      </w:pPr>
      <w:r>
        <w:rPr>
          <w:rFonts w:ascii="Times New Roman" w:cs="Times New Roman" w:eastAsia="Times New Roman" w:hAnsi="Times New Roman"/>
          <w:sz w:val="18"/>
          <w:szCs w:val="18"/>
          <w:u w:val="single" w:color="auto"/>
          <w:color w:val="0000FF"/>
        </w:rPr>
        <w:t>of the Sarbanes-Oxley Act of 2002.</w:t>
      </w:r>
    </w:p>
    <w:p>
      <w:pPr>
        <w:spacing w:after="0" w:line="229"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Exchange Act</w:t>
      </w:r>
    </w:p>
    <w:p>
      <w:pPr>
        <w:spacing w:after="0" w:line="219" w:lineRule="auto"/>
        <w:rPr>
          <w:sz w:val="20"/>
          <w:szCs w:val="20"/>
          <w:color w:val="auto"/>
        </w:rPr>
      </w:pPr>
      <w:r>
        <w:rPr>
          <w:rFonts w:ascii="Times New Roman" w:cs="Times New Roman" w:eastAsia="Times New Roman" w:hAnsi="Times New Roman"/>
          <w:sz w:val="18"/>
          <w:szCs w:val="18"/>
          <w:u w:val="single" w:color="auto"/>
          <w:color w:val="0000FF"/>
        </w:rPr>
        <w:t>Rules 13a-14(a) and 15d-14(a), as adopted pursuant to Section 302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of the Sarbanes-Oxley Act of 2002.</w:t>
      </w:r>
    </w:p>
    <w:p>
      <w:pPr>
        <w:spacing w:after="0" w:line="229"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w:t>
      </w:r>
    </w:p>
    <w:p>
      <w:pPr>
        <w:spacing w:after="0" w:line="219" w:lineRule="auto"/>
        <w:rPr>
          <w:sz w:val="20"/>
          <w:szCs w:val="20"/>
          <w:color w:val="auto"/>
        </w:rPr>
      </w:pPr>
      <w:r>
        <w:rPr>
          <w:rFonts w:ascii="Times New Roman" w:cs="Times New Roman" w:eastAsia="Times New Roman" w:hAnsi="Times New Roman"/>
          <w:sz w:val="18"/>
          <w:szCs w:val="18"/>
          <w:u w:val="single" w:color="auto"/>
          <w:color w:val="0000FF"/>
        </w:rPr>
        <w:t>Section 1350, as adopted pursuant to Section 906 of the Sarbanes-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Oxley Act of 2002.</w:t>
      </w:r>
    </w:p>
    <w:p>
      <w:pPr>
        <w:spacing w:after="0" w:line="229"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w:t>
      </w:r>
    </w:p>
    <w:p>
      <w:pPr>
        <w:spacing w:after="0" w:line="219" w:lineRule="auto"/>
        <w:rPr>
          <w:sz w:val="20"/>
          <w:szCs w:val="20"/>
          <w:color w:val="auto"/>
        </w:rPr>
      </w:pPr>
      <w:r>
        <w:rPr>
          <w:rFonts w:ascii="Times New Roman" w:cs="Times New Roman" w:eastAsia="Times New Roman" w:hAnsi="Times New Roman"/>
          <w:sz w:val="18"/>
          <w:szCs w:val="18"/>
          <w:u w:val="single" w:color="auto"/>
          <w:color w:val="0000FF"/>
        </w:rPr>
        <w:t>Section 1350, as adopted pursuant to Section 906 of the Sarbanes-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Oxley Act of 2002.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C3.ai, Inc. Incentive Compensation Recoupment Policy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w:t>
      </w:r>
    </w:p>
    <w:p>
      <w:pPr>
        <w:spacing w:after="0" w:line="219" w:lineRule="auto"/>
        <w:rPr>
          <w:sz w:val="20"/>
          <w:szCs w:val="20"/>
          <w:color w:val="auto"/>
        </w:rPr>
      </w:pPr>
      <w:r>
        <w:rPr>
          <w:rFonts w:ascii="Times New Roman" w:cs="Times New Roman" w:eastAsia="Times New Roman" w:hAnsi="Times New Roman"/>
          <w:sz w:val="18"/>
          <w:szCs w:val="18"/>
          <w:color w:val="auto"/>
        </w:rPr>
        <w:t>in the Interactive Data File because its XBRL tags are embedded</w:t>
      </w:r>
    </w:p>
    <w:p>
      <w:pPr>
        <w:spacing w:after="0"/>
        <w:rPr>
          <w:sz w:val="20"/>
          <w:szCs w:val="20"/>
          <w:color w:val="auto"/>
        </w:rPr>
      </w:pPr>
      <w:r>
        <w:rPr>
          <w:rFonts w:ascii="Times New Roman" w:cs="Times New Roman" w:eastAsia="Times New Roman" w:hAnsi="Times New Roman"/>
          <w:sz w:val="18"/>
          <w:szCs w:val="18"/>
          <w:color w:val="auto"/>
        </w:rPr>
        <w:t>within the Inline XBRL document.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p>
      <w:pPr>
        <w:spacing w:after="0"/>
        <w:rPr>
          <w:sz w:val="20"/>
          <w:szCs w:val="20"/>
          <w:color w:val="auto"/>
        </w:rPr>
      </w:pPr>
      <w:r>
        <w:rPr>
          <w:rFonts w:ascii="Times New Roman" w:cs="Times New Roman" w:eastAsia="Times New Roman" w:hAnsi="Times New Roman"/>
          <w:sz w:val="18"/>
          <w:szCs w:val="18"/>
          <w:color w:val="auto"/>
        </w:rPr>
        <w:t>contained in Exhibits 101).</w:t>
      </w:r>
    </w:p>
    <w:p>
      <w:pPr>
        <w:spacing w:after="0" w:line="200" w:lineRule="exact"/>
        <w:rPr>
          <w:sz w:val="20"/>
          <w:szCs w:val="20"/>
          <w:color w:val="auto"/>
        </w:rPr>
      </w:pPr>
    </w:p>
    <w:p>
      <w:pPr>
        <w:sectPr>
          <w:pgSz w:w="11900" w:h="16838" w:orient="portrait"/>
          <w:cols w:equalWidth="0" w:num="2">
            <w:col w:w="920" w:space="260"/>
            <w:col w:w="10060"/>
          </w:cols>
          <w:pgMar w:left="320" w:top="1440" w:right="339" w:bottom="1440" w:gutter="0" w:footer="0" w:header="0"/>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00" w:hanging="292"/>
        <w:spacing w:after="0"/>
        <w:tabs>
          <w:tab w:leader="none" w:pos="3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1"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Exhibits 32.1 and 32.2 that accompany this Annual Report on Form 10-K are not deemed filed with the SEC and are not to be incorporated by reference into</w:t>
      </w:r>
    </w:p>
    <w:p>
      <w:pPr>
        <w:spacing w:after="0" w:line="15"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4"/>
          <w:szCs w:val="14"/>
          <w:color w:val="auto"/>
        </w:rPr>
        <w:t>any filing of the Registrant under the Securities Act of 1933, as amended, or the Exchange Act, whether made before or after the date of this Annual Report on Form 10-K, irrespective of any general incorporation language contained in such filing.</w:t>
      </w:r>
    </w:p>
    <w:p>
      <w:pPr>
        <w:spacing w:after="0" w:line="1" w:lineRule="exact"/>
        <w:rPr>
          <w:sz w:val="20"/>
          <w:szCs w:val="20"/>
          <w:color w:val="auto"/>
        </w:rPr>
      </w:pPr>
    </w:p>
    <w:p>
      <w:pPr>
        <w:ind w:left="300" w:hanging="292"/>
        <w:spacing w:after="0"/>
        <w:tabs>
          <w:tab w:leader="none" w:pos="3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4" w:lineRule="exact"/>
        <w:rPr>
          <w:sz w:val="20"/>
          <w:szCs w:val="20"/>
          <w:color w:val="auto"/>
        </w:rPr>
      </w:pPr>
    </w:p>
    <w:p>
      <w:pPr>
        <w:ind w:left="340" w:right="20" w:hanging="332"/>
        <w:spacing w:after="0" w:line="278" w:lineRule="auto"/>
        <w:tabs>
          <w:tab w:leader="none" w:pos="363"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3" w:name="page134"/>
    <w:bookmarkEnd w:id="133"/>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C3.ai, Inc.</w:t>
            </w:r>
          </w:p>
        </w:tc>
      </w:tr>
      <w:tr>
        <w:trPr>
          <w:trHeight w:val="53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2024</w:t>
            </w:r>
          </w:p>
        </w:tc>
        <w:tc>
          <w:tcPr>
            <w:tcW w:w="76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Thomas M. Siebel</w:t>
            </w:r>
          </w:p>
        </w:tc>
      </w:tr>
      <w:tr>
        <w:trPr>
          <w:trHeight w:val="243"/>
        </w:trPr>
        <w:tc>
          <w:tcPr>
            <w:tcW w:w="35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M. Siebel</w:t>
            </w:r>
          </w:p>
        </w:tc>
      </w:tr>
      <w:tr>
        <w:trPr>
          <w:trHeight w:val="257"/>
        </w:trPr>
        <w:tc>
          <w:tcPr>
            <w:tcW w:w="35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6"/>
        </w:trPr>
        <w:tc>
          <w:tcPr>
            <w:tcW w:w="35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Thomas M. Siebel and Hitesh Lath, and each one of them, as his or her true and lawful attorney-in-fact and agent, with the power of substitution and re-substitution, for him or her and in their name, place and stead,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each of said attorneys-in-fact, or his or her substitute or substitutes, may do or cause to be done by virtue 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by the following persons on behalf of the registrant and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490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79"/>
        </w:trPr>
        <w:tc>
          <w:tcPr>
            <w:tcW w:w="3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M. Siebel</w:t>
            </w:r>
          </w:p>
        </w:tc>
        <w:tc>
          <w:tcPr>
            <w:tcW w:w="14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M. Siebel</w:t>
            </w:r>
          </w:p>
        </w:tc>
        <w:tc>
          <w:tcPr>
            <w:tcW w:w="140" w:type="dxa"/>
            <w:vAlign w:val="bottom"/>
          </w:tcPr>
          <w:p>
            <w:pPr>
              <w:spacing w:after="0"/>
              <w:rPr>
                <w:sz w:val="18"/>
                <w:szCs w:val="18"/>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236"/>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300" w:type="dxa"/>
            <w:vAlign w:val="bottom"/>
          </w:tcPr>
          <w:p>
            <w:pPr>
              <w:spacing w:after="0"/>
              <w:rPr>
                <w:sz w:val="20"/>
                <w:szCs w:val="20"/>
                <w:color w:val="auto"/>
              </w:rPr>
            </w:pPr>
          </w:p>
        </w:tc>
      </w:tr>
      <w:tr>
        <w:trPr>
          <w:trHeight w:val="49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Hitesh Lath</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Hitesh Lath</w:t>
            </w:r>
          </w:p>
        </w:tc>
        <w:tc>
          <w:tcPr>
            <w:tcW w:w="140" w:type="dxa"/>
            <w:vAlign w:val="bottom"/>
          </w:tcPr>
          <w:p>
            <w:pPr>
              <w:spacing w:after="0"/>
              <w:rPr>
                <w:sz w:val="18"/>
                <w:szCs w:val="18"/>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236"/>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300" w:type="dxa"/>
            <w:vAlign w:val="bottom"/>
          </w:tcPr>
          <w:p>
            <w:pPr>
              <w:spacing w:after="0"/>
              <w:rPr>
                <w:sz w:val="20"/>
                <w:szCs w:val="20"/>
                <w:color w:val="auto"/>
              </w:rPr>
            </w:pPr>
          </w:p>
        </w:tc>
      </w:tr>
      <w:tr>
        <w:trPr>
          <w:trHeight w:val="50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Lisa A. Davis</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A. Davis</w:t>
            </w:r>
          </w:p>
        </w:tc>
        <w:tc>
          <w:tcPr>
            <w:tcW w:w="1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C. Levin</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C. Levin</w:t>
            </w:r>
          </w:p>
        </w:tc>
        <w:tc>
          <w:tcPr>
            <w:tcW w:w="1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 McCaffery</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 McCaffery</w:t>
            </w:r>
          </w:p>
        </w:tc>
        <w:tc>
          <w:tcPr>
            <w:tcW w:w="1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Alan Murray</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Murray</w:t>
            </w:r>
          </w:p>
        </w:tc>
        <w:tc>
          <w:tcPr>
            <w:tcW w:w="1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Condoleezza Rice</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Condoleezza Rice</w:t>
            </w:r>
          </w:p>
        </w:tc>
        <w:tc>
          <w:tcPr>
            <w:tcW w:w="1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Sewell</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Sewell</w:t>
            </w:r>
          </w:p>
        </w:tc>
        <w:tc>
          <w:tcPr>
            <w:tcW w:w="1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Jim H. Snabe</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H. Snabe</w:t>
            </w:r>
          </w:p>
        </w:tc>
        <w:tc>
          <w:tcPr>
            <w:tcW w:w="1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 Sridhar</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 Sridhar</w:t>
            </w:r>
          </w:p>
        </w:tc>
        <w:tc>
          <w:tcPr>
            <w:tcW w:w="1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r>
        <w:trPr>
          <w:trHeight w:val="495"/>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M. Ward, Jr.</w:t>
            </w: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M. Ward, Jr.</w:t>
            </w:r>
          </w:p>
        </w:tc>
        <w:tc>
          <w:tcPr>
            <w:tcW w:w="1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2024</w:t>
            </w:r>
          </w:p>
        </w:tc>
      </w:tr>
    </w:tbl>
    <w:p>
      <w:pPr>
        <w:sectPr>
          <w:pgSz w:w="11900" w:h="16838" w:orient="portrait"/>
          <w:cols w:equalWidth="0" w:num="1">
            <w:col w:w="11240"/>
          </w:cols>
          <w:pgMar w:left="320" w:top="1440" w:right="339" w:bottom="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9019"/>
          </w:cols>
          <w:pgMar w:left="1440" w:top="351"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C3.ai, Inc. Insider Trading Policy</w:t>
      </w:r>
    </w:p>
    <w:p>
      <w:pPr>
        <w:spacing w:after="0" w:line="135"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Approved by the Board of Directors</w:t>
      </w:r>
    </w:p>
    <w:p>
      <w:pPr>
        <w:spacing w:after="0" w:line="243"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20"/>
          <w:szCs w:val="20"/>
          <w:b w:val="1"/>
          <w:bCs w:val="1"/>
          <w:color w:val="auto"/>
        </w:rPr>
        <w:t>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0</wp:posOffset>
            </wp:positionV>
            <wp:extent cx="53746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Policy Principles</w:t>
      </w:r>
    </w:p>
    <w:p>
      <w:pPr>
        <w:spacing w:after="0" w:line="283" w:lineRule="exact"/>
        <w:rPr>
          <w:sz w:val="20"/>
          <w:szCs w:val="20"/>
          <w:color w:val="auto"/>
        </w:rPr>
      </w:pPr>
    </w:p>
    <w:p>
      <w:pPr>
        <w:ind w:left="642" w:right="120" w:hanging="642"/>
        <w:spacing w:after="0" w:line="273" w:lineRule="auto"/>
        <w:tabs>
          <w:tab w:leader="none" w:pos="642"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Personnel of C3.ai, Inc. and its subsidiaries (together, “</w:t>
      </w:r>
      <w:r>
        <w:rPr>
          <w:rFonts w:ascii="Times New Roman" w:cs="Times New Roman" w:eastAsia="Times New Roman" w:hAnsi="Times New Roman"/>
          <w:sz w:val="20"/>
          <w:szCs w:val="20"/>
          <w:b w:val="1"/>
          <w:bCs w:val="1"/>
          <w:i w:val="1"/>
          <w:iCs w:val="1"/>
          <w:color w:val="auto"/>
        </w:rPr>
        <w:t>C3</w:t>
      </w:r>
      <w:r>
        <w:rPr>
          <w:rFonts w:ascii="Times New Roman" w:cs="Times New Roman" w:eastAsia="Times New Roman" w:hAnsi="Times New Roman"/>
          <w:sz w:val="20"/>
          <w:szCs w:val="20"/>
          <w:color w:val="auto"/>
        </w:rPr>
        <w:t>”) are responsible for understanding the obligations that come with having access to material nonpublic information and wanting to transact in C3 securities.</w:t>
      </w:r>
    </w:p>
    <w:p>
      <w:pPr>
        <w:spacing w:after="0" w:line="169" w:lineRule="exact"/>
        <w:rPr>
          <w:rFonts w:ascii="Times New Roman" w:cs="Times New Roman" w:eastAsia="Times New Roman" w:hAnsi="Times New Roman"/>
          <w:sz w:val="20"/>
          <w:szCs w:val="20"/>
          <w:b w:val="1"/>
          <w:bCs w:val="1"/>
          <w:color w:val="auto"/>
        </w:rPr>
      </w:pPr>
    </w:p>
    <w:p>
      <w:pPr>
        <w:ind w:left="642" w:right="120" w:hanging="642"/>
        <w:spacing w:after="0" w:line="283" w:lineRule="auto"/>
        <w:tabs>
          <w:tab w:leader="none" w:pos="642"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C3 personnel who are aware of material nonpublic information relating to C3 may not engage in transactions in C3’s securities except as permitted by this policy and applicable law.</w:t>
      </w:r>
    </w:p>
    <w:p>
      <w:pPr>
        <w:spacing w:after="0" w:line="146" w:lineRule="exact"/>
        <w:rPr>
          <w:rFonts w:ascii="Times New Roman" w:cs="Times New Roman" w:eastAsia="Times New Roman" w:hAnsi="Times New Roman"/>
          <w:sz w:val="20"/>
          <w:szCs w:val="20"/>
          <w:b w:val="1"/>
          <w:bCs w:val="1"/>
          <w:color w:val="auto"/>
        </w:rPr>
      </w:pPr>
    </w:p>
    <w:p>
      <w:pPr>
        <w:ind w:left="642" w:right="140" w:hanging="642"/>
        <w:spacing w:after="0" w:line="283" w:lineRule="auto"/>
        <w:tabs>
          <w:tab w:leader="none" w:pos="642"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C3 personnel may not disclose material nonpublic information outside of C3 unless the disclosure is made in accordance with a specific C3 policy that authorizes such disclosure.</w:t>
      </w:r>
    </w:p>
    <w:p>
      <w:pPr>
        <w:spacing w:after="0" w:line="146" w:lineRule="exact"/>
        <w:rPr>
          <w:rFonts w:ascii="Times New Roman" w:cs="Times New Roman" w:eastAsia="Times New Roman" w:hAnsi="Times New Roman"/>
          <w:sz w:val="20"/>
          <w:szCs w:val="20"/>
          <w:b w:val="1"/>
          <w:bCs w:val="1"/>
          <w:color w:val="auto"/>
        </w:rPr>
      </w:pPr>
    </w:p>
    <w:p>
      <w:pPr>
        <w:ind w:left="642" w:right="120" w:hanging="642"/>
        <w:spacing w:after="0" w:line="283" w:lineRule="auto"/>
        <w:tabs>
          <w:tab w:leader="none" w:pos="642"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C3 personnel may not disclose material nonpublic information to persons within C3 whose jobs do not require them to have that information.</w:t>
      </w:r>
    </w:p>
    <w:p>
      <w:pPr>
        <w:spacing w:after="0" w:line="159" w:lineRule="exact"/>
        <w:rPr>
          <w:rFonts w:ascii="Times New Roman" w:cs="Times New Roman" w:eastAsia="Times New Roman" w:hAnsi="Times New Roman"/>
          <w:sz w:val="20"/>
          <w:szCs w:val="20"/>
          <w:b w:val="1"/>
          <w:bCs w:val="1"/>
          <w:color w:val="auto"/>
        </w:rPr>
      </w:pPr>
    </w:p>
    <w:p>
      <w:pPr>
        <w:ind w:left="642" w:hanging="642"/>
        <w:spacing w:after="0"/>
        <w:tabs>
          <w:tab w:leader="none" w:pos="642"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C3 personnel may not recommend the purchase or sale of any C3’s securities.</w:t>
      </w:r>
    </w:p>
    <w:p>
      <w:pPr>
        <w:spacing w:after="0" w:line="215" w:lineRule="exact"/>
        <w:rPr>
          <w:rFonts w:ascii="Times New Roman" w:cs="Times New Roman" w:eastAsia="Times New Roman" w:hAnsi="Times New Roman"/>
          <w:sz w:val="20"/>
          <w:szCs w:val="20"/>
          <w:b w:val="1"/>
          <w:bCs w:val="1"/>
          <w:color w:val="auto"/>
        </w:rPr>
      </w:pPr>
    </w:p>
    <w:p>
      <w:pPr>
        <w:ind w:left="642" w:hanging="642"/>
        <w:spacing w:after="0"/>
        <w:tabs>
          <w:tab w:leader="none" w:pos="642"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Changes to this policy require approval by C3’s Board of Directors or a duly appointed committee of the Board of Directors.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Policy Q&amp;A</w:t>
      </w:r>
    </w:p>
    <w:p>
      <w:pPr>
        <w:spacing w:after="0" w:line="2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Policy Scope and Purpose</w:t>
      </w:r>
    </w:p>
    <w:p>
      <w:pPr>
        <w:spacing w:after="0" w:line="216"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have an insider trading policy?</w:t>
      </w:r>
    </w:p>
    <w:p>
      <w:pPr>
        <w:spacing w:after="0" w:line="229" w:lineRule="exact"/>
        <w:rPr>
          <w:sz w:val="20"/>
          <w:szCs w:val="20"/>
          <w:color w:val="auto"/>
        </w:rPr>
      </w:pPr>
    </w:p>
    <w:p>
      <w:pPr>
        <w:ind w:left="642" w:right="120" w:hanging="642"/>
        <w:spacing w:after="0" w:line="254" w:lineRule="auto"/>
        <w:tabs>
          <w:tab w:leader="none" w:pos="44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course of your relationship with C3, you may receive material information that is not yet publicly available (“</w:t>
      </w:r>
      <w:r>
        <w:rPr>
          <w:rFonts w:ascii="Times New Roman" w:cs="Times New Roman" w:eastAsia="Times New Roman" w:hAnsi="Times New Roman"/>
          <w:sz w:val="20"/>
          <w:szCs w:val="20"/>
          <w:b w:val="1"/>
          <w:bCs w:val="1"/>
          <w:i w:val="1"/>
          <w:iCs w:val="1"/>
          <w:color w:val="auto"/>
        </w:rPr>
        <w:t>material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nonpublic information</w:t>
      </w:r>
      <w:r>
        <w:rPr>
          <w:rFonts w:ascii="Times New Roman" w:cs="Times New Roman" w:eastAsia="Times New Roman" w:hAnsi="Times New Roman"/>
          <w:sz w:val="20"/>
          <w:szCs w:val="20"/>
          <w:color w:val="auto"/>
        </w:rPr>
        <w:t>”) about C3 or other publicly traded companies with which C3 has business relationships. Material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nonpublic information may give you, or someone to whom you pass that information, a leg up over others when deciding whether to buy, sell, or otherwise transact in C3’s securities or the securities of another publicly traded company. This policy sets forth guidelines with respect to transactions in C3 securities by persons subject to this policy.</w:t>
      </w:r>
    </w:p>
    <w:p>
      <w:pPr>
        <w:spacing w:after="0" w:line="187"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subject to this policy?</w:t>
      </w:r>
    </w:p>
    <w:p>
      <w:pPr>
        <w:spacing w:after="0" w:line="220" w:lineRule="exact"/>
        <w:rPr>
          <w:sz w:val="20"/>
          <w:szCs w:val="20"/>
          <w:color w:val="auto"/>
        </w:rPr>
      </w:pPr>
    </w:p>
    <w:p>
      <w:pPr>
        <w:ind w:left="642" w:right="120" w:hanging="642"/>
        <w:spacing w:after="0" w:line="257" w:lineRule="auto"/>
        <w:tabs>
          <w:tab w:leader="none" w:pos="41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you and all other employees, directors, and designated consultants of C3 and its subsidiaries. This policy also applies to members of your immediate family, persons with whom you share a household, persons who are your economic dependents, and, unless otherwise determined by C3, any other individuals or entities whose transactions in securities you influence, direct, or control (including, e.g., a venture or other investment fund, if you influence, direct, or control transactions by the fund). The foregoing persons who are deemed subject to this policy are</w:t>
      </w:r>
    </w:p>
    <w:p>
      <w:pPr>
        <w:sectPr>
          <w:pgSz w:w="11900" w:h="16838" w:orient="portrait"/>
          <w:cols w:equalWidth="0" w:num="1">
            <w:col w:w="11102"/>
          </w:cols>
          <w:pgMar w:left="458" w:top="342"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2" w:right="120"/>
        <w:spacing w:after="0" w:line="273" w:lineRule="auto"/>
        <w:rPr>
          <w:sz w:val="20"/>
          <w:szCs w:val="20"/>
          <w:color w:val="auto"/>
        </w:rPr>
      </w:pPr>
      <w:r>
        <w:rPr>
          <w:rFonts w:ascii="Times New Roman" w:cs="Times New Roman" w:eastAsia="Times New Roman" w:hAnsi="Times New Roman"/>
          <w:sz w:val="20"/>
          <w:szCs w:val="20"/>
          <w:color w:val="auto"/>
        </w:rPr>
        <w:t>referred to in this policy as “</w:t>
      </w:r>
      <w:r>
        <w:rPr>
          <w:rFonts w:ascii="Times New Roman" w:cs="Times New Roman" w:eastAsia="Times New Roman" w:hAnsi="Times New Roman"/>
          <w:sz w:val="20"/>
          <w:szCs w:val="20"/>
          <w:b w:val="1"/>
          <w:bCs w:val="1"/>
          <w:i w:val="1"/>
          <w:iCs w:val="1"/>
          <w:color w:val="auto"/>
        </w:rPr>
        <w:t>Related Persons</w:t>
      </w:r>
      <w:r>
        <w:rPr>
          <w:rFonts w:ascii="Times New Roman" w:cs="Times New Roman" w:eastAsia="Times New Roman" w:hAnsi="Times New Roman"/>
          <w:sz w:val="20"/>
          <w:szCs w:val="20"/>
          <w:color w:val="auto"/>
        </w:rPr>
        <w:t>.” You are responsible for making sure that your Related Persons comply with this policy.</w:t>
      </w:r>
    </w:p>
    <w:p>
      <w:pPr>
        <w:spacing w:after="0" w:line="169" w:lineRule="exact"/>
        <w:rPr>
          <w:sz w:val="20"/>
          <w:szCs w:val="20"/>
          <w:color w:val="auto"/>
        </w:rPr>
      </w:pPr>
    </w:p>
    <w:p>
      <w:pPr>
        <w:jc w:val="both"/>
        <w:ind w:left="642" w:right="120"/>
        <w:spacing w:after="0" w:line="261" w:lineRule="auto"/>
        <w:rPr>
          <w:sz w:val="20"/>
          <w:szCs w:val="20"/>
          <w:color w:val="auto"/>
        </w:rPr>
      </w:pPr>
      <w:r>
        <w:rPr>
          <w:rFonts w:ascii="Times New Roman" w:cs="Times New Roman" w:eastAsia="Times New Roman" w:hAnsi="Times New Roman"/>
          <w:sz w:val="20"/>
          <w:szCs w:val="20"/>
          <w:color w:val="auto"/>
        </w:rPr>
        <w:t xml:space="preserve">In addition, if you are an officer or director of the Company, or an employee or designated consultant of the Company described on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Specified Personnel</w:t>
      </w:r>
      <w:r>
        <w:rPr>
          <w:rFonts w:ascii="Times New Roman" w:cs="Times New Roman" w:eastAsia="Times New Roman" w:hAnsi="Times New Roman"/>
          <w:sz w:val="20"/>
          <w:szCs w:val="20"/>
          <w:color w:val="auto"/>
        </w:rPr>
        <w:t>”), you and your Related Persons are subject to the quarterly trading blackout periods described below.</w:t>
      </w:r>
    </w:p>
    <w:p>
      <w:pPr>
        <w:spacing w:after="0" w:line="177"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Whose responsibility is it to comply with this policy?</w:t>
      </w:r>
    </w:p>
    <w:p>
      <w:pPr>
        <w:spacing w:after="0" w:line="220" w:lineRule="exact"/>
        <w:rPr>
          <w:sz w:val="20"/>
          <w:szCs w:val="20"/>
          <w:color w:val="auto"/>
        </w:rPr>
      </w:pPr>
    </w:p>
    <w:p>
      <w:pPr>
        <w:ind w:left="642" w:right="120" w:hanging="642"/>
        <w:spacing w:after="0" w:line="253" w:lineRule="auto"/>
        <w:tabs>
          <w:tab w:leader="none" w:pos="4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subject to this policy have ethical and legal obligations to maintain the confidentiality of information about C3 and to not engage in transactions in C3’s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C3 or any employee or director of C3 pursuant to this policy (or otherwise) does not in any way constitute legal advice or insulate an individual from liability under applicable securities laws. You could be subject to severe legal penalties and disciplinary action by C3 for any conduct prohibited by this policy or applicable securities laws.</w:t>
      </w:r>
    </w:p>
    <w:p>
      <w:pPr>
        <w:spacing w:after="0" w:line="175"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transactions are subject to this policy?</w:t>
      </w:r>
    </w:p>
    <w:p>
      <w:pPr>
        <w:spacing w:after="0" w:line="233" w:lineRule="exact"/>
        <w:rPr>
          <w:sz w:val="20"/>
          <w:szCs w:val="20"/>
          <w:color w:val="auto"/>
        </w:rPr>
      </w:pPr>
    </w:p>
    <w:p>
      <w:pPr>
        <w:ind w:left="642" w:right="120" w:hanging="642"/>
        <w:spacing w:after="0" w:line="253" w:lineRule="auto"/>
        <w:tabs>
          <w:tab w:leader="none" w:pos="44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all transactions in securities issued by C3, as well as derivative securities that are not issued by C3, such as exchange-traded put or call options or swaps relating to C3’s securities. Accordingly, for purposes of this policy, the terms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include not only purchases and sales of C3’s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283" w:lineRule="exact"/>
        <w:rPr>
          <w:sz w:val="20"/>
          <w:szCs w:val="20"/>
          <w:color w:val="auto"/>
        </w:rPr>
      </w:pPr>
    </w:p>
    <w:p>
      <w:pPr>
        <w:ind w:left="2"/>
        <w:spacing w:after="0"/>
        <w:tabs>
          <w:tab w:leader="none" w:pos="4942" w:val="left"/>
        </w:tabs>
        <w:rPr>
          <w:sz w:val="20"/>
          <w:szCs w:val="20"/>
          <w:color w:val="auto"/>
        </w:rPr>
      </w:pPr>
      <w:r>
        <w:rPr>
          <w:rFonts w:ascii="Times New Roman" w:cs="Times New Roman" w:eastAsia="Times New Roman" w:hAnsi="Times New Roman"/>
          <w:sz w:val="20"/>
          <w:szCs w:val="20"/>
          <w:b w:val="1"/>
          <w:bCs w:val="1"/>
          <w:color w:val="auto"/>
        </w:rPr>
        <w:t>Insider Trading and Material Nonpublic Information Q:</w:t>
      </w:r>
      <w:r>
        <w:rPr>
          <w:sz w:val="20"/>
          <w:szCs w:val="20"/>
          <w:color w:val="auto"/>
        </w:rPr>
        <w:tab/>
      </w:r>
      <w:r>
        <w:rPr>
          <w:rFonts w:ascii="Times New Roman" w:cs="Times New Roman" w:eastAsia="Times New Roman" w:hAnsi="Times New Roman"/>
          <w:sz w:val="19"/>
          <w:szCs w:val="19"/>
          <w:b w:val="1"/>
          <w:bCs w:val="1"/>
          <w:color w:val="auto"/>
        </w:rPr>
        <w:t>What is insider trading?</w:t>
      </w:r>
    </w:p>
    <w:p>
      <w:pPr>
        <w:spacing w:after="0" w:line="125" w:lineRule="exact"/>
        <w:rPr>
          <w:sz w:val="20"/>
          <w:szCs w:val="20"/>
          <w:color w:val="auto"/>
        </w:rPr>
      </w:pPr>
    </w:p>
    <w:p>
      <w:pPr>
        <w:ind w:left="642" w:right="120" w:hanging="642"/>
        <w:spacing w:after="0" w:line="251" w:lineRule="auto"/>
        <w:tabs>
          <w:tab w:leader="none" w:pos="39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C3 or another publicly traded company that C3 has business relationships with and you trade in C3’s or such other company’s securities, you have broken the law.</w:t>
      </w:r>
    </w:p>
    <w:p>
      <w:pPr>
        <w:spacing w:after="0" w:line="18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is insider trading illegal?</w:t>
      </w:r>
    </w:p>
    <w:p>
      <w:pPr>
        <w:spacing w:after="0" w:line="220" w:lineRule="exact"/>
        <w:rPr>
          <w:sz w:val="20"/>
          <w:szCs w:val="20"/>
          <w:color w:val="auto"/>
        </w:rPr>
      </w:pPr>
    </w:p>
    <w:p>
      <w:pPr>
        <w:ind w:left="642" w:right="120" w:hanging="642"/>
        <w:spacing w:after="0" w:line="261" w:lineRule="auto"/>
        <w:tabs>
          <w:tab w:leader="none" w:pos="52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ectPr>
          <w:pgSz w:w="11900" w:h="16838" w:orient="portrait"/>
          <w:cols w:equalWidth="0" w:num="1">
            <w:col w:w="11102"/>
          </w:cols>
          <w:pgMar w:left="458" w:top="342"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0" w:hanging="472"/>
        <w:spacing w:after="0"/>
        <w:tabs>
          <w:tab w:leader="none" w:pos="48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material information?</w:t>
      </w:r>
    </w:p>
    <w:p>
      <w:pPr>
        <w:spacing w:after="0" w:line="219" w:lineRule="exact"/>
        <w:rPr>
          <w:rFonts w:ascii="Times New Roman" w:cs="Times New Roman" w:eastAsia="Times New Roman" w:hAnsi="Times New Roman"/>
          <w:sz w:val="20"/>
          <w:szCs w:val="20"/>
          <w:b w:val="1"/>
          <w:bCs w:val="1"/>
          <w:color w:val="auto"/>
        </w:rPr>
      </w:pPr>
    </w:p>
    <w:p>
      <w:pPr>
        <w:ind w:left="780" w:right="120" w:hanging="642"/>
        <w:spacing w:after="0" w:line="257" w:lineRule="auto"/>
        <w:tabs>
          <w:tab w:leader="none" w:pos="66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82" w:lineRule="exact"/>
        <w:rPr>
          <w:sz w:val="20"/>
          <w:szCs w:val="20"/>
          <w:color w:val="auto"/>
        </w:rPr>
      </w:pPr>
    </w:p>
    <w:p>
      <w:pPr>
        <w:ind w:left="140"/>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examples of material information?</w:t>
      </w:r>
    </w:p>
    <w:p>
      <w:pPr>
        <w:spacing w:after="0" w:line="220" w:lineRule="exact"/>
        <w:rPr>
          <w:sz w:val="20"/>
          <w:szCs w:val="20"/>
          <w:color w:val="auto"/>
        </w:rPr>
      </w:pPr>
    </w:p>
    <w:p>
      <w:pPr>
        <w:ind w:left="780" w:right="120" w:hanging="642"/>
        <w:spacing w:after="0" w:line="253" w:lineRule="auto"/>
        <w:tabs>
          <w:tab w:leader="none" w:pos="65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218" w:lineRule="exact"/>
        <w:rPr>
          <w:rFonts w:ascii="Times New Roman" w:cs="Times New Roman" w:eastAsia="Times New Roman" w:hAnsi="Times New Roman"/>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results or forecasts;</w:t>
      </w:r>
    </w:p>
    <w:p>
      <w:pPr>
        <w:spacing w:after="0" w:line="255"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acquisitions, dispositions or other strategic transactions;</w:t>
      </w:r>
    </w:p>
    <w:p>
      <w:pPr>
        <w:spacing w:after="0" w:line="255" w:lineRule="exact"/>
        <w:rPr>
          <w:rFonts w:ascii="Arial" w:cs="Arial" w:eastAsia="Arial" w:hAnsi="Arial"/>
          <w:sz w:val="20"/>
          <w:szCs w:val="20"/>
          <w:color w:val="auto"/>
        </w:rPr>
      </w:pPr>
    </w:p>
    <w:p>
      <w:pPr>
        <w:ind w:left="1100" w:right="120" w:hanging="314"/>
        <w:spacing w:after="0" w:line="268" w:lineRule="auto"/>
        <w:tabs>
          <w:tab w:leader="none" w:pos="1088"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events regarding our securities (e.g., repurchase plans, stock splits, public or private equity or debt offerings, or changes in our dividend policies or amounts);</w:t>
      </w:r>
    </w:p>
    <w:p>
      <w:pPr>
        <w:spacing w:after="0" w:line="200"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major contracts or contract cancellations;</w:t>
      </w:r>
    </w:p>
    <w:p>
      <w:pPr>
        <w:spacing w:after="0" w:line="255"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gain or loss of a significant customer;</w:t>
      </w:r>
    </w:p>
    <w:p>
      <w:pPr>
        <w:spacing w:after="0" w:line="255"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pricing changes;</w:t>
      </w:r>
    </w:p>
    <w:p>
      <w:pPr>
        <w:spacing w:after="0" w:line="241"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new product releases;</w:t>
      </w:r>
    </w:p>
    <w:p>
      <w:pPr>
        <w:spacing w:after="0" w:line="255"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product problems or security incidents; and</w:t>
      </w:r>
    </w:p>
    <w:p>
      <w:pPr>
        <w:spacing w:after="0" w:line="255"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top management or control changes;</w:t>
      </w:r>
    </w:p>
    <w:p>
      <w:pPr>
        <w:spacing w:after="0" w:line="241"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financial restatements or significant writeoffs;</w:t>
      </w:r>
    </w:p>
    <w:p>
      <w:pPr>
        <w:spacing w:after="0" w:line="241"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employee layoffs;</w:t>
      </w:r>
    </w:p>
    <w:p>
      <w:pPr>
        <w:spacing w:after="0" w:line="241" w:lineRule="exact"/>
        <w:rPr>
          <w:rFonts w:ascii="Arial" w:cs="Arial" w:eastAsia="Arial" w:hAnsi="Arial"/>
          <w:sz w:val="20"/>
          <w:szCs w:val="20"/>
          <w:color w:val="auto"/>
        </w:rPr>
      </w:pPr>
    </w:p>
    <w:p>
      <w:pPr>
        <w:ind w:left="1100" w:right="160" w:hanging="314"/>
        <w:spacing w:after="0" w:line="282" w:lineRule="auto"/>
        <w:tabs>
          <w:tab w:leader="none" w:pos="1088"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a disruption in C3’s operations or breach or unauthorized access of its property or assets, including its facilities or information technology infrastructure;</w:t>
      </w:r>
    </w:p>
    <w:p>
      <w:pPr>
        <w:spacing w:after="0" w:line="187" w:lineRule="exact"/>
        <w:rPr>
          <w:rFonts w:ascii="Arial" w:cs="Arial" w:eastAsia="Arial" w:hAnsi="Arial"/>
          <w:sz w:val="20"/>
          <w:szCs w:val="20"/>
          <w:color w:val="auto"/>
        </w:rPr>
      </w:pPr>
    </w:p>
    <w:p>
      <w:pPr>
        <w:ind w:left="1100" w:hanging="314"/>
        <w:spacing w:after="0"/>
        <w:tabs>
          <w:tab w:leader="none" w:pos="1100"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proxy fights;</w:t>
      </w:r>
    </w:p>
    <w:p>
      <w:pPr>
        <w:spacing w:after="0" w:line="241" w:lineRule="exact"/>
        <w:rPr>
          <w:rFonts w:ascii="Arial" w:cs="Arial" w:eastAsia="Arial" w:hAnsi="Arial"/>
          <w:sz w:val="20"/>
          <w:szCs w:val="20"/>
          <w:color w:val="auto"/>
        </w:rPr>
      </w:pPr>
    </w:p>
    <w:p>
      <w:pPr>
        <w:ind w:left="1100" w:right="540" w:hanging="314"/>
        <w:spacing w:after="0" w:line="282" w:lineRule="auto"/>
        <w:tabs>
          <w:tab w:leader="none" w:pos="1088" w:val="left"/>
        </w:tabs>
        <w:numPr>
          <w:ilvl w:val="1"/>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threatened major litigation, SEC or other investigations, or a major development in or the resolution of any such litigation or investigation;</w:t>
      </w:r>
    </w:p>
    <w:p>
      <w:pPr>
        <w:sectPr>
          <w:pgSz w:w="11900" w:h="16838" w:orient="portrait"/>
          <w:cols w:equalWidth="0" w:num="1">
            <w:col w:w="11240"/>
          </w:cols>
          <w:pgMar w:left="320" w:top="342"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20" w:hanging="314"/>
        <w:spacing w:after="0"/>
        <w:tabs>
          <w:tab w:leader="none" w:pos="1020" w:val="left"/>
        </w:tabs>
        <w:numPr>
          <w:ilvl w:val="1"/>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impending bankruptcy;</w:t>
      </w:r>
    </w:p>
    <w:p>
      <w:pPr>
        <w:spacing w:after="0" w:line="241" w:lineRule="exact"/>
        <w:rPr>
          <w:rFonts w:ascii="Arial" w:cs="Arial" w:eastAsia="Arial" w:hAnsi="Arial"/>
          <w:sz w:val="20"/>
          <w:szCs w:val="20"/>
          <w:color w:val="auto"/>
        </w:rPr>
      </w:pPr>
    </w:p>
    <w:p>
      <w:pPr>
        <w:ind w:left="1020" w:hanging="314"/>
        <w:spacing w:after="0"/>
        <w:tabs>
          <w:tab w:leader="none" w:pos="1020" w:val="left"/>
        </w:tabs>
        <w:numPr>
          <w:ilvl w:val="1"/>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communications with government agencies; and</w:t>
      </w:r>
    </w:p>
    <w:p>
      <w:pPr>
        <w:spacing w:after="0" w:line="228" w:lineRule="exact"/>
        <w:rPr>
          <w:rFonts w:ascii="Arial" w:cs="Arial" w:eastAsia="Arial" w:hAnsi="Arial"/>
          <w:sz w:val="20"/>
          <w:szCs w:val="20"/>
          <w:color w:val="auto"/>
        </w:rPr>
      </w:pPr>
    </w:p>
    <w:p>
      <w:pPr>
        <w:ind w:left="1020" w:hanging="314"/>
        <w:spacing w:after="0"/>
        <w:tabs>
          <w:tab w:leader="none" w:pos="1020" w:val="left"/>
        </w:tabs>
        <w:numPr>
          <w:ilvl w:val="1"/>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notice of issuance of patents.</w:t>
      </w:r>
    </w:p>
    <w:p>
      <w:pPr>
        <w:spacing w:after="0" w:line="332" w:lineRule="exact"/>
        <w:rPr>
          <w:rFonts w:ascii="Arial" w:cs="Arial" w:eastAsia="Arial" w:hAnsi="Arial"/>
          <w:sz w:val="20"/>
          <w:szCs w:val="20"/>
          <w:color w:val="auto"/>
        </w:rPr>
      </w:pPr>
    </w:p>
    <w:p>
      <w:pPr>
        <w:ind w:left="480" w:hanging="422"/>
        <w:spacing w:after="0"/>
        <w:tabs>
          <w:tab w:leader="none" w:pos="48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is information considered public?</w:t>
      </w:r>
    </w:p>
    <w:p>
      <w:pPr>
        <w:spacing w:after="0" w:line="220" w:lineRule="exact"/>
        <w:rPr>
          <w:sz w:val="20"/>
          <w:szCs w:val="20"/>
          <w:color w:val="auto"/>
        </w:rPr>
      </w:pPr>
    </w:p>
    <w:p>
      <w:pPr>
        <w:ind w:left="700" w:right="120" w:hanging="642"/>
        <w:spacing w:after="0" w:line="250" w:lineRule="auto"/>
        <w:tabs>
          <w:tab w:leader="none" w:pos="45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C3 may determine that a longer or shorter waiting period should apply to the release of specific material nonpublic information. Any disclosure of nonpublic information, material or otherwise, must be done in accordance with C3’s Corporate Disclosure Policy.</w:t>
      </w:r>
    </w:p>
    <w:p>
      <w:pPr>
        <w:spacing w:after="0" w:line="196"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can be guilty of insider trading?</w:t>
      </w:r>
    </w:p>
    <w:p>
      <w:pPr>
        <w:spacing w:after="0" w:line="220" w:lineRule="exact"/>
        <w:rPr>
          <w:sz w:val="20"/>
          <w:szCs w:val="20"/>
          <w:color w:val="auto"/>
        </w:rPr>
      </w:pPr>
    </w:p>
    <w:p>
      <w:pPr>
        <w:ind w:left="700" w:right="120" w:hanging="642"/>
        <w:spacing w:after="0" w:line="257" w:lineRule="auto"/>
        <w:tabs>
          <w:tab w:leader="none" w:pos="45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C3. Regardless of who you are, if you know something material about the value of a security that not everyone knows and you trade (or convince someone else to trade) in that security, you may be found guilty of insider trading.</w:t>
      </w:r>
    </w:p>
    <w:p>
      <w:pPr>
        <w:spacing w:after="0" w:line="169" w:lineRule="exact"/>
        <w:rPr>
          <w:sz w:val="20"/>
          <w:szCs w:val="20"/>
          <w:color w:val="auto"/>
        </w:rPr>
      </w:pPr>
    </w:p>
    <w:p>
      <w:pPr>
        <w:ind w:left="700" w:right="120" w:hanging="642"/>
        <w:spacing w:after="0" w:line="287" w:lineRule="auto"/>
        <w:tabs>
          <w:tab w:leader="none" w:pos="487"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if I am aware of material nonpublic information when I trade, but the reason I trade is because of something else, like to pay medical bills?</w:t>
      </w:r>
    </w:p>
    <w:p>
      <w:pPr>
        <w:spacing w:after="0" w:line="156" w:lineRule="exact"/>
        <w:rPr>
          <w:sz w:val="20"/>
          <w:szCs w:val="20"/>
          <w:color w:val="auto"/>
        </w:rPr>
      </w:pPr>
    </w:p>
    <w:p>
      <w:pPr>
        <w:ind w:left="700" w:right="120" w:hanging="642"/>
        <w:spacing w:after="0" w:line="254" w:lineRule="auto"/>
        <w:tabs>
          <w:tab w:leader="none" w:pos="50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C3 at the time of the transaction.</w:t>
      </w:r>
    </w:p>
    <w:p>
      <w:pPr>
        <w:spacing w:after="0" w:line="305" w:lineRule="exact"/>
        <w:rPr>
          <w:sz w:val="20"/>
          <w:szCs w:val="20"/>
          <w:color w:val="auto"/>
        </w:rPr>
      </w:pPr>
    </w:p>
    <w:p>
      <w:pPr>
        <w:ind w:left="420" w:right="140" w:hanging="647"/>
        <w:spacing w:after="0" w:line="273" w:lineRule="auto"/>
        <w:tabs>
          <w:tab w:leader="none" w:pos="400" w:val="left"/>
        </w:tabs>
        <w:rPr>
          <w:sz w:val="20"/>
          <w:szCs w:val="20"/>
          <w:color w:val="auto"/>
        </w:rPr>
      </w:pPr>
      <w:r>
        <w:rPr>
          <w:rFonts w:ascii="Times New Roman" w:cs="Times New Roman" w:eastAsia="Times New Roman" w:hAnsi="Times New Roman"/>
          <w:sz w:val="20"/>
          <w:szCs w:val="20"/>
          <w:b w:val="1"/>
          <w:bCs w:val="1"/>
          <w:color w:val="auto"/>
        </w:rPr>
        <w:t>Q:</w:t>
        <w:tab/>
        <w:t>Do the U.S. securities laws take into account mitigating circumstance, like avoiding a loss or planning a transaction before I had material nonpublic information?</w:t>
      </w:r>
    </w:p>
    <w:p>
      <w:pPr>
        <w:spacing w:after="0" w:line="169" w:lineRule="exact"/>
        <w:rPr>
          <w:sz w:val="20"/>
          <w:szCs w:val="20"/>
          <w:color w:val="auto"/>
        </w:rPr>
      </w:pPr>
    </w:p>
    <w:p>
      <w:pPr>
        <w:ind w:left="700" w:right="120" w:hanging="642"/>
        <w:spacing w:after="0" w:line="253" w:lineRule="auto"/>
        <w:tabs>
          <w:tab w:leader="none" w:pos="60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The U.S. federal securities laws do not recognize any mitigating circumstances to insider trading. In addition, even the appearance of an improper transaction must be avoided to preserve C3’s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ectPr>
          <w:pgSz w:w="11900" w:h="16838" w:orient="portrait"/>
          <w:cols w:equalWidth="0" w:num="1">
            <w:col w:w="11160"/>
          </w:cols>
          <w:pgMar w:left="400" w:top="342"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hanging="411"/>
        <w:spacing w:after="0"/>
        <w:tabs>
          <w:tab w:leader="none" w:pos="42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if I don’t buy or sell anything, but I tell someone else material nonpublic information and he or she buys or sells?</w:t>
      </w:r>
    </w:p>
    <w:p>
      <w:pPr>
        <w:spacing w:after="0" w:line="206" w:lineRule="exact"/>
        <w:rPr>
          <w:rFonts w:ascii="Times New Roman" w:cs="Times New Roman" w:eastAsia="Times New Roman" w:hAnsi="Times New Roman"/>
          <w:sz w:val="20"/>
          <w:szCs w:val="20"/>
          <w:b w:val="1"/>
          <w:bCs w:val="1"/>
          <w:color w:val="auto"/>
        </w:rPr>
      </w:pPr>
    </w:p>
    <w:p>
      <w:pPr>
        <w:ind w:left="700" w:right="120" w:hanging="642"/>
        <w:spacing w:after="0" w:line="251" w:lineRule="auto"/>
        <w:tabs>
          <w:tab w:leader="none" w:pos="515"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C3, including spouses, family members, friends, or business associates (unless the disclosure is made in accordance with C3’s policies regarding the protection or authorized external disclosure of information regarding C3). This includes anonymous discussions on the internet about C3 or companies with which C3 does business.</w:t>
      </w:r>
    </w:p>
    <w:p>
      <w:pPr>
        <w:spacing w:after="0" w:line="193" w:lineRule="exact"/>
        <w:rPr>
          <w:sz w:val="20"/>
          <w:szCs w:val="20"/>
          <w:color w:val="auto"/>
        </w:rPr>
      </w:pPr>
    </w:p>
    <w:p>
      <w:pPr>
        <w:jc w:val="both"/>
        <w:ind w:left="700" w:right="120"/>
        <w:spacing w:after="0" w:line="253" w:lineRule="auto"/>
        <w:rPr>
          <w:sz w:val="20"/>
          <w:szCs w:val="20"/>
          <w:color w:val="auto"/>
        </w:rPr>
      </w:pPr>
      <w:r>
        <w:rPr>
          <w:rFonts w:ascii="Times New Roman" w:cs="Times New Roman" w:eastAsia="Times New Roman" w:hAnsi="Times New Roman"/>
          <w:sz w:val="20"/>
          <w:szCs w:val="20"/>
          <w:color w:val="auto"/>
        </w:rPr>
        <w:t xml:space="preserve">You can be held liable for your own transactions, as well as the transactions by a tippee and even the transactions of a tippee’s tippee. </w:t>
      </w:r>
      <w:r>
        <w:rPr>
          <w:rFonts w:ascii="Times New Roman" w:cs="Times New Roman" w:eastAsia="Times New Roman" w:hAnsi="Times New Roman"/>
          <w:sz w:val="20"/>
          <w:szCs w:val="20"/>
          <w:b w:val="1"/>
          <w:bCs w:val="1"/>
          <w:i w:val="1"/>
          <w:iCs w:val="1"/>
          <w:color w:val="auto"/>
        </w:rPr>
        <w:t>For these and other reasons, no employee, director, or designated consultant of C3 (or any other person subject to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policy) may either (a) recommend to another person that they buy, hold, or sell C3’s securities at any time or (b) disclose material nonpublic information to persons within C3 whose jobs do not require them to have that material nonpublic information, or outside of C3 to other persons (unless the disclosure is made in accordance with C3’s policies regarding the protection or authorized external disclosure of information regarding C3).</w:t>
      </w:r>
    </w:p>
    <w:p>
      <w:pPr>
        <w:spacing w:after="0" w:line="175"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don’t tell someone inside information itself; I just tell him or her whether to buy or sell?</w:t>
      </w:r>
    </w:p>
    <w:p>
      <w:pPr>
        <w:spacing w:after="0" w:line="233" w:lineRule="exact"/>
        <w:rPr>
          <w:sz w:val="20"/>
          <w:szCs w:val="20"/>
          <w:color w:val="auto"/>
        </w:rPr>
      </w:pPr>
    </w:p>
    <w:p>
      <w:pPr>
        <w:ind w:left="700" w:right="140" w:hanging="642"/>
        <w:spacing w:after="0" w:line="269" w:lineRule="auto"/>
        <w:tabs>
          <w:tab w:leader="none" w:pos="47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still tipping, and you can still be responsible for insider trading. You may never recommend to another person that they buy, hold or sell C3’s common stock or any derivative security related to C3’s common stock, since that could be a form of tipping.</w:t>
      </w:r>
    </w:p>
    <w:p>
      <w:pPr>
        <w:spacing w:after="0" w:line="169"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Does this policy or the insider trading laws apply to me if I work outside the U.S.?</w:t>
      </w:r>
    </w:p>
    <w:p>
      <w:pPr>
        <w:spacing w:after="0" w:line="233" w:lineRule="exact"/>
        <w:rPr>
          <w:sz w:val="20"/>
          <w:szCs w:val="20"/>
          <w:color w:val="auto"/>
        </w:rPr>
      </w:pPr>
    </w:p>
    <w:p>
      <w:pPr>
        <w:ind w:left="700" w:right="120" w:hanging="642"/>
        <w:spacing w:after="0" w:line="253" w:lineRule="auto"/>
        <w:tabs>
          <w:tab w:leader="none" w:pos="54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The same rules apply to U.S. and foreign employees and consultants. The Securities and Exchange Commission (the U.S. government agency in charge of investor protection,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and the Financial Industry Regulatory Authority (a private regulator that oversees U.S. securities exchanges) routinely investigate trading in a company’s securities conducted by individuals and firms based abroad. In addition, as a C3 director, employee, or consultant, our policies apply to you no matter where you work.</w:t>
      </w:r>
    </w:p>
    <w:p>
      <w:pPr>
        <w:spacing w:after="0" w:line="18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restricted from trading securities of any companies other than C3, for example a customer or competitor of C3?</w:t>
      </w:r>
    </w:p>
    <w:p>
      <w:pPr>
        <w:spacing w:after="0" w:line="220" w:lineRule="exact"/>
        <w:rPr>
          <w:sz w:val="20"/>
          <w:szCs w:val="20"/>
          <w:color w:val="auto"/>
        </w:rPr>
      </w:pPr>
    </w:p>
    <w:p>
      <w:pPr>
        <w:ind w:left="700" w:right="120" w:hanging="642"/>
        <w:spacing w:after="0" w:line="257" w:lineRule="auto"/>
        <w:tabs>
          <w:tab w:leader="none" w:pos="44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C3, you sometimes obtain sensitive, material information about other companies and their business dealings with C3.</w:t>
      </w:r>
    </w:p>
    <w:p>
      <w:pPr>
        <w:spacing w:after="0" w:line="263"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So when can I buy or sell my C3 securities?</w:t>
      </w:r>
    </w:p>
    <w:p>
      <w:pPr>
        <w:sectPr>
          <w:pgSz w:w="11900" w:h="16838" w:orient="portrait"/>
          <w:cols w:equalWidth="0" w:num="1">
            <w:col w:w="11160"/>
          </w:cols>
          <w:pgMar w:left="400" w:top="342"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2" w:right="120" w:hanging="642"/>
        <w:spacing w:after="0" w:line="251" w:lineRule="auto"/>
        <w:tabs>
          <w:tab w:leader="none" w:pos="47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you are aware of material nonpublic information, you may not buy or sell our common stock until two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Times New Roman" w:cs="Times New Roman" w:eastAsia="Times New Roman" w:hAnsi="Times New Roman"/>
          <w:sz w:val="20"/>
          <w:szCs w:val="20"/>
          <w:b w:val="1"/>
          <w:bCs w:val="1"/>
          <w:color w:val="auto"/>
        </w:rPr>
        <w:t>Even if you are not aware of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material nonpublic information, you may not trade our common stock during any trading “blackout” period that applies to you</w:t>
      </w:r>
      <w:r>
        <w:rPr>
          <w:rFonts w:ascii="Times New Roman" w:cs="Times New Roman" w:eastAsia="Times New Roman" w:hAnsi="Times New Roman"/>
          <w:sz w:val="20"/>
          <w:szCs w:val="20"/>
          <w:color w:val="auto"/>
        </w:rPr>
        <w:t>. Our insider trading policy describes the quarterly trading blackout period, and additional event-driven trading blackout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periods (which may apply to you even if the quarterly trading blackout periods do not) may be announced by email.</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Blackout Periods</w:t>
      </w:r>
    </w:p>
    <w:p>
      <w:pPr>
        <w:spacing w:after="0" w:line="216"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a quarterly trading blackout period?</w:t>
      </w:r>
    </w:p>
    <w:p>
      <w:pPr>
        <w:spacing w:after="0" w:line="233" w:lineRule="exact"/>
        <w:rPr>
          <w:sz w:val="20"/>
          <w:szCs w:val="20"/>
          <w:color w:val="auto"/>
        </w:rPr>
      </w:pPr>
    </w:p>
    <w:p>
      <w:pPr>
        <w:ind w:left="642" w:right="120" w:hanging="642"/>
        <w:spacing w:after="0" w:line="251" w:lineRule="auto"/>
        <w:tabs>
          <w:tab w:leader="none" w:pos="39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minimize the appearance of insider trading among our officers, directors, Specified Personnel, and their Related Persons, we have established “quarterly trading blackout periods” during which they—regardless of whether they are aware of material nonpublic information or not—may not conduct any trades in C3 securities. That means that, except as described in this policy, all officers, directors, Specified Personnel, and their Related Persons will be able to trade in C3 securities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during limited open trading window periods that generally will begin after two full trading days have has elapsed since the public dissemination of C3’s annual or quarterly financial results and end at the beginning of the next quarterly trading blackout period. Of course, even during an open trading window period, you may not (unless an exception applies) conduct any trades in C3 securities if you are otherwise in possession of material nonpublic information.</w:t>
      </w:r>
    </w:p>
    <w:p>
      <w:pPr>
        <w:spacing w:after="0" w:line="191"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C3’s quarterly trading blackout periods?</w:t>
      </w:r>
    </w:p>
    <w:p>
      <w:pPr>
        <w:spacing w:after="0" w:line="216" w:lineRule="exact"/>
        <w:rPr>
          <w:sz w:val="20"/>
          <w:szCs w:val="20"/>
          <w:color w:val="auto"/>
        </w:rPr>
      </w:pPr>
    </w:p>
    <w:p>
      <w:pPr>
        <w:ind w:left="642" w:right="120" w:hanging="642"/>
        <w:spacing w:after="0" w:line="263" w:lineRule="auto"/>
        <w:tabs>
          <w:tab w:leader="none" w:pos="42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w:t>
      </w:r>
      <w:r>
        <w:rPr>
          <w:rFonts w:ascii="Times New Roman" w:cs="Times New Roman" w:eastAsia="Times New Roman" w:hAnsi="Times New Roman"/>
          <w:sz w:val="20"/>
          <w:szCs w:val="20"/>
          <w:b w:val="1"/>
          <w:bCs w:val="1"/>
          <w:i w:val="1"/>
          <w:iCs w:val="1"/>
          <w:color w:val="auto"/>
        </w:rPr>
        <w:t>quarterly trading blackout period</w:t>
      </w:r>
      <w:r>
        <w:rPr>
          <w:rFonts w:ascii="Times New Roman" w:cs="Times New Roman" w:eastAsia="Times New Roman" w:hAnsi="Times New Roman"/>
          <w:sz w:val="20"/>
          <w:szCs w:val="20"/>
          <w:color w:val="auto"/>
        </w:rPr>
        <w:t>” will generally begin at the end of the day that is the 15th day of the third month of each fiscal quarter (i.e., January 15, April 15, July 15 and October 15) and end after two full trading days have elapsed since the public dissemination of C3’s financial results for that quarter (e.g., time of the earnings call).</w:t>
      </w:r>
    </w:p>
    <w:p>
      <w:pPr>
        <w:spacing w:after="0" w:line="175"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C3’s quarterly trading blackout periods change?</w:t>
      </w:r>
    </w:p>
    <w:p>
      <w:pPr>
        <w:spacing w:after="0" w:line="233" w:lineRule="exact"/>
        <w:rPr>
          <w:sz w:val="20"/>
          <w:szCs w:val="20"/>
          <w:color w:val="auto"/>
        </w:rPr>
      </w:pPr>
    </w:p>
    <w:p>
      <w:pPr>
        <w:ind w:left="642" w:right="120" w:hanging="642"/>
        <w:spacing w:after="0" w:line="254" w:lineRule="auto"/>
        <w:tabs>
          <w:tab w:leader="none" w:pos="44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trading blackout period may commence early or may be extended if, in the judgment of the General Counsel, there exists undisclosed information that would make trades by C3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83"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Does C3 have blackout periods other than quarterly trading blackout periods?</w:t>
      </w:r>
    </w:p>
    <w:p>
      <w:pPr>
        <w:spacing w:after="0" w:line="233" w:lineRule="exact"/>
        <w:rPr>
          <w:sz w:val="20"/>
          <w:szCs w:val="20"/>
          <w:color w:val="auto"/>
        </w:rPr>
      </w:pPr>
    </w:p>
    <w:p>
      <w:pPr>
        <w:ind w:left="642" w:right="120" w:hanging="642"/>
        <w:spacing w:after="0" w:line="253" w:lineRule="auto"/>
        <w:tabs>
          <w:tab w:leader="none" w:pos="41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From time to time, an event may occur that is material to C3 and is known by only a few directors, officers, and/or employees. So long as the event remains material and nonpublic, the persons designated by the General Counsel may not trade in C3’s securities. In that situation, C3 will notify the designated individuals that neither they nor their Related Persons may trade in the C3’s securities. The existence of an event-specific trading blackout should also be considered material nonpublic information and should not be communicated to any other person.</w:t>
      </w:r>
    </w:p>
    <w:p>
      <w:pPr>
        <w:sectPr>
          <w:pgSz w:w="11900" w:h="16838" w:orient="portrait"/>
          <w:cols w:equalWidth="0" w:num="1">
            <w:col w:w="11102"/>
          </w:cols>
          <w:pgMar w:left="458" w:top="342"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42" w:right="120" w:hanging="642"/>
        <w:spacing w:after="0" w:line="287" w:lineRule="auto"/>
        <w:tabs>
          <w:tab w:leader="none" w:pos="496"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If I am subject to a blackout period and I have an open order to buy or sell C3 securities on the date a blackout period commences, can I leave it to my broker to cancel the open order and avoid executing the trade?</w:t>
      </w:r>
    </w:p>
    <w:p>
      <w:pPr>
        <w:spacing w:after="0" w:line="142" w:lineRule="exact"/>
        <w:rPr>
          <w:sz w:val="20"/>
          <w:szCs w:val="20"/>
          <w:color w:val="auto"/>
        </w:rPr>
      </w:pPr>
    </w:p>
    <w:p>
      <w:pPr>
        <w:ind w:left="642" w:right="120" w:hanging="642"/>
        <w:spacing w:after="0" w:line="258" w:lineRule="auto"/>
        <w:tabs>
          <w:tab w:leader="none" w:pos="43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82"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subject to trading blackout periods if I am no longer an employee, director or consultant of C3?</w:t>
      </w:r>
    </w:p>
    <w:p>
      <w:pPr>
        <w:spacing w:after="0" w:line="220" w:lineRule="exact"/>
        <w:rPr>
          <w:sz w:val="20"/>
          <w:szCs w:val="20"/>
          <w:color w:val="auto"/>
        </w:rPr>
      </w:pPr>
    </w:p>
    <w:p>
      <w:pPr>
        <w:ind w:left="642" w:right="120" w:hanging="642"/>
        <w:spacing w:after="0" w:line="253" w:lineRule="auto"/>
        <w:tabs>
          <w:tab w:leader="none" w:pos="43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depends. If your employment with C3 ends during a trading blackout period, you will be subject to the remainder of that trading blackout period. If your employment with C3 ends on a day that the trading window is open, you will not be subject to the next trading blackout period. However, even if you are not subject to our trading blackout period after you leave C3, you should not trade in C3 securities if you are aware of material nonpublic information. That restriction stays with you as long as the information you possess is material and not publicly disseminated within the meaning of our insider trading policy.</w:t>
      </w:r>
    </w:p>
    <w:p>
      <w:pPr>
        <w:spacing w:after="0" w:line="188"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there any exceptions to this policy?</w:t>
      </w:r>
    </w:p>
    <w:p>
      <w:pPr>
        <w:spacing w:after="0" w:line="233" w:lineRule="exact"/>
        <w:rPr>
          <w:sz w:val="20"/>
          <w:szCs w:val="20"/>
          <w:color w:val="auto"/>
        </w:rPr>
      </w:pPr>
    </w:p>
    <w:p>
      <w:pPr>
        <w:ind w:left="2"/>
        <w:spacing w:after="0"/>
        <w:tabs>
          <w:tab w:leader="none" w:pos="362"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There are no exceptions to this policy, except as specifically noted below.</w:t>
      </w:r>
    </w:p>
    <w:p>
      <w:pPr>
        <w:spacing w:after="0" w:line="212" w:lineRule="exact"/>
        <w:rPr>
          <w:sz w:val="20"/>
          <w:szCs w:val="20"/>
          <w:color w:val="auto"/>
        </w:rPr>
      </w:pPr>
    </w:p>
    <w:p>
      <w:pPr>
        <w:ind w:left="642" w:right="120" w:hanging="642"/>
        <w:spacing w:after="0" w:line="287" w:lineRule="auto"/>
        <w:tabs>
          <w:tab w:leader="none" w:pos="438"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exercise options granted to me by C3, or participate in a C3 employee stock purchase plan, during a trading blackout period or when I possess material nonpublic information?</w:t>
      </w:r>
    </w:p>
    <w:p>
      <w:pPr>
        <w:spacing w:after="0" w:line="156" w:lineRule="exact"/>
        <w:rPr>
          <w:sz w:val="20"/>
          <w:szCs w:val="20"/>
          <w:color w:val="auto"/>
        </w:rPr>
      </w:pPr>
    </w:p>
    <w:p>
      <w:pPr>
        <w:ind w:left="642" w:right="120" w:hanging="642"/>
        <w:spacing w:after="0" w:line="253" w:lineRule="auto"/>
        <w:tabs>
          <w:tab w:leader="none" w:pos="38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Yes. You may purchase shares by exercising your options or participating in a C3 employee stock purchase plan, but you may not sell the shares (even to pay the exercise price or any taxes due) during a trading blackout period or any time that you are aware of material nonpublic information. To be clear, you may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effect a broker-assisted cashless exercise (because these cashless exercise transactions include a market sale) during a trading blackout period or any time that you are aware of material nonpublic information</w:t>
      </w:r>
    </w:p>
    <w:p>
      <w:pPr>
        <w:spacing w:after="0" w:line="174"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tax withholding transactions are not restricted by this policy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42" w:right="120" w:hanging="642"/>
        <w:spacing w:after="0" w:line="258" w:lineRule="auto"/>
        <w:tabs>
          <w:tab w:leader="none" w:pos="39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does not apply to the surrender of shares directly to C3 to satisfy tax withholding obligations as a result of the issuance of shares upon exercise of options or settlement of restricted stock units issued by C3. Of course, any market sale of the stock received upon exercise or settlement of any such equity awards remains subject to all provisions of this policy whether or not for the purpose of generating the cash needed to pay the exercise price or pay taxes.</w:t>
      </w:r>
    </w:p>
    <w:p>
      <w:pPr>
        <w:spacing w:after="0" w:line="182"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mutual fund shares holding C3 common stock subject to the trading blackout periods?</w:t>
      </w:r>
    </w:p>
    <w:p>
      <w:pPr>
        <w:spacing w:after="0" w:line="220"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No. You may trade in mutual funds holding C3 stock at any time.</w:t>
      </w:r>
    </w:p>
    <w:p>
      <w:pPr>
        <w:spacing w:after="0" w:line="225" w:lineRule="exact"/>
        <w:rPr>
          <w:sz w:val="20"/>
          <w:szCs w:val="20"/>
          <w:color w:val="auto"/>
        </w:rPr>
      </w:pPr>
    </w:p>
    <w:p>
      <w:pPr>
        <w:ind w:left="422" w:hanging="422"/>
        <w:spacing w:after="0"/>
        <w:tabs>
          <w:tab w:leader="none" w:pos="422"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are the rules that apply to 10b5-1 Automatic Trading Programs?</w:t>
      </w:r>
    </w:p>
    <w:p>
      <w:pPr>
        <w:spacing w:after="0" w:line="219" w:lineRule="exact"/>
        <w:rPr>
          <w:rFonts w:ascii="Times New Roman" w:cs="Times New Roman" w:eastAsia="Times New Roman" w:hAnsi="Times New Roman"/>
          <w:sz w:val="20"/>
          <w:szCs w:val="20"/>
          <w:b w:val="1"/>
          <w:bCs w:val="1"/>
          <w:color w:val="auto"/>
        </w:rPr>
      </w:pPr>
    </w:p>
    <w:p>
      <w:pPr>
        <w:ind w:left="682" w:hanging="650"/>
        <w:spacing w:after="0" w:line="283" w:lineRule="auto"/>
        <w:tabs>
          <w:tab w:leader="none" w:pos="513"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Rule 10b5-1 of the Securities Exchange Act of 1934, as amended (“Exchange Act”), any person may establish a trading plan under which a broker is instructed to buy and sell C3 securities</w:t>
      </w:r>
    </w:p>
    <w:p>
      <w:pPr>
        <w:sectPr>
          <w:pgSz w:w="11900" w:h="16838" w:orient="portrait"/>
          <w:cols w:equalWidth="0" w:num="1">
            <w:col w:w="11102"/>
          </w:cols>
          <w:pgMar w:left="458" w:top="342" w:right="339" w:bottom="1440" w:gutter="0" w:footer="0" w:header="0"/>
        </w:sectPr>
      </w:pPr>
    </w:p>
    <w:bookmarkStart w:id="142" w:name="page143"/>
    <w:bookmarkEnd w:id="142"/>
    <w:p>
      <w:pPr>
        <w:jc w:val="both"/>
        <w:spacing w:after="0" w:line="237" w:lineRule="auto"/>
        <w:tabs>
          <w:tab w:leader="none" w:pos="513" w:val="left"/>
        </w:tabs>
        <w:framePr w:w="10640" w:h="1594" w:wrap="auto" w:vAnchor="page" w:hAnchor="page" w:x="840" w:y="6741"/>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does not apply to purchases of C3’s securities in C3’s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C3 stock fund; (b) an election to make an intra-plan transfer of an existing account balance into or out of the C3 stock fund; (c) an election to borrow money against your 401(k) plan account if the loan will result in a liquidation of some or all of your C3 stock fund balance; and (d) an election to pre-pay a plan loan if the pre-payment will result in allocation of loan proceeds to the C3 stock fund.</w:t>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jc w:val="both"/>
        <w:ind w:left="682"/>
        <w:spacing w:after="0" w:line="251" w:lineRule="auto"/>
        <w:rPr>
          <w:sz w:val="20"/>
          <w:szCs w:val="20"/>
          <w:color w:val="auto"/>
        </w:rPr>
      </w:pPr>
      <w:r>
        <w:rPr>
          <w:rFonts w:ascii="Times New Roman" w:cs="Times New Roman" w:eastAsia="Times New Roman" w:hAnsi="Times New Roman"/>
          <w:sz w:val="20"/>
          <w:szCs w:val="20"/>
          <w:color w:val="auto"/>
        </w:rPr>
        <w:t>based on pre-determined criteria (a “Trading Plan”). So long as a Trading Plan is properly established, purchases and sales of C3 securities pursuant to that Trading Plan are not subject to this policy. To be properly established, a person’s Trading Plan must be established in compliance with the requirements of Rule 10b5-1 of the Exchange Act and any applicable 10b5-1 trading plan guidelines of C3 at a time when they were unaware of any material nonpublic information relating C3 and when you were not otherwise subject to a trading blackout period. Moreover, all Trading Plans to be adopted by directors, officers, Specified Personnel and their Related Persons must be reviewed and approved by C3 in accordance with C3’s Section 16 Compliance Program before being established to confirm that the Trading Plan complies with all pertinent company policies and applicable securities laws. See “Pre-Clearance of Transactions in C3 Stock” below.</w:t>
      </w:r>
    </w:p>
    <w:p>
      <w:pPr>
        <w:spacing w:after="0" w:line="191" w:lineRule="exact"/>
        <w:rPr>
          <w:rFonts w:ascii="Times New Roman" w:cs="Times New Roman" w:eastAsia="Times New Roman" w:hAnsi="Times New Roman"/>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gift stock while I possess material nonpublic information or during a trading blackout period?</w:t>
      </w:r>
    </w:p>
    <w:p>
      <w:pPr>
        <w:spacing w:after="0" w:line="233" w:lineRule="exact"/>
        <w:rPr>
          <w:rFonts w:ascii="Times New Roman" w:cs="Times New Roman" w:eastAsia="Times New Roman" w:hAnsi="Times New Roman"/>
          <w:sz w:val="20"/>
          <w:szCs w:val="20"/>
          <w:color w:val="auto"/>
        </w:rPr>
      </w:pPr>
    </w:p>
    <w:p>
      <w:pPr>
        <w:ind w:left="642" w:right="120" w:hanging="642"/>
        <w:spacing w:after="0" w:line="251" w:lineRule="auto"/>
        <w:tabs>
          <w:tab w:leader="none" w:pos="49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of the potential for the appearance of impropriety, as a general matter gifts should only be made when you are not in possession of material nonpublic information and not subject to a trading blackout period. For example, charities that receive gifted stock typically immediately sell the stock into the public market, potentially subjecting you to “tipper” liability if you were in possession of material nonpublic information at the time of the gift. You may only make bona fide gifts of our stock when you are aware of material nonpublic information or during a trading blackout period applicable to you only the gift has been pre-cleared by C3’s General Counsel or their designee. Pre-clearance must be obtained at least two business days in advance of the proposed gift, and pre-cleared gifts not completed within five business days will require new pre- clearance. C3 may choose to shorten this period.</w:t>
      </w:r>
    </w:p>
    <w:p>
      <w:pPr>
        <w:spacing w:after="0" w:line="178" w:lineRule="exact"/>
        <w:rPr>
          <w:rFonts w:ascii="Times New Roman" w:cs="Times New Roman" w:eastAsia="Times New Roman" w:hAnsi="Times New Roman"/>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purchases of C3 stock in a 401(k) plan allowed by this policy?</w:t>
      </w:r>
    </w:p>
    <w:p>
      <w:pPr>
        <w:spacing w:after="0" w:line="229" w:lineRule="exact"/>
        <w:rPr>
          <w:rFonts w:ascii="Times New Roman" w:cs="Times New Roman" w:eastAsia="Times New Roman" w:hAnsi="Times New Roman"/>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p>
    <w:p>
      <w:pPr>
        <w:spacing w:after="0" w:line="365" w:lineRule="exact"/>
        <w:rPr>
          <w:rFonts w:ascii="Times New Roman" w:cs="Times New Roman" w:eastAsia="Times New Roman" w:hAnsi="Times New Roman"/>
          <w:sz w:val="20"/>
          <w:szCs w:val="20"/>
          <w:color w:val="auto"/>
        </w:rPr>
      </w:pPr>
    </w:p>
    <w:p>
      <w:pPr>
        <w:ind w:left="2" w:right="1580"/>
        <w:spacing w:after="0" w:line="410" w:lineRule="auto"/>
        <w:rPr>
          <w:sz w:val="20"/>
          <w:szCs w:val="20"/>
          <w:color w:val="auto"/>
        </w:rPr>
      </w:pPr>
      <w:r>
        <w:rPr>
          <w:rFonts w:ascii="Times New Roman" w:cs="Times New Roman" w:eastAsia="Times New Roman" w:hAnsi="Times New Roman"/>
          <w:sz w:val="20"/>
          <w:szCs w:val="20"/>
          <w:b w:val="1"/>
          <w:bCs w:val="1"/>
          <w:color w:val="auto"/>
        </w:rPr>
        <w:t>Margin Accounts, Pledging Shares, Hedging and Other Speculation in C3 Stock Q: Can I purchase C3 securities on margin or hold them in a margin account?</w:t>
      </w:r>
    </w:p>
    <w:p>
      <w:pPr>
        <w:spacing w:after="0" w:line="1" w:lineRule="exact"/>
        <w:rPr>
          <w:rFonts w:ascii="Times New Roman" w:cs="Times New Roman" w:eastAsia="Times New Roman" w:hAnsi="Times New Roman"/>
          <w:sz w:val="20"/>
          <w:szCs w:val="20"/>
          <w:color w:val="auto"/>
        </w:rPr>
      </w:pPr>
    </w:p>
    <w:p>
      <w:pPr>
        <w:ind w:left="642" w:right="120" w:hanging="642"/>
        <w:spacing w:after="0" w:line="268" w:lineRule="auto"/>
        <w:tabs>
          <w:tab w:leader="none" w:pos="39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“Purchasing on margin” is the use of borrowed money from a brokerage firm to purchase our securities. Holding our securities in a margin account includes holding the securities in an account in which the shares can be sold to pay a loan to the brokerage firm. You may not purchase our common stock on margin or hold it in a margin account at any time.</w:t>
      </w:r>
    </w:p>
    <w:p>
      <w:pPr>
        <w:sectPr>
          <w:pgSz w:w="11900" w:h="16838" w:orient="portrait"/>
          <w:cols w:equalWidth="0" w:num="1">
            <w:col w:w="11102"/>
          </w:cols>
          <w:pgMar w:left="458" w:top="342"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pledge my C3 shares as collateral for a loan?</w:t>
      </w:r>
    </w:p>
    <w:p>
      <w:pPr>
        <w:spacing w:after="0" w:line="220" w:lineRule="exact"/>
        <w:rPr>
          <w:sz w:val="20"/>
          <w:szCs w:val="20"/>
          <w:color w:val="auto"/>
        </w:rPr>
      </w:pPr>
    </w:p>
    <w:p>
      <w:pPr>
        <w:ind w:left="642" w:right="120" w:hanging="642"/>
        <w:spacing w:after="0" w:line="261" w:lineRule="auto"/>
        <w:tabs>
          <w:tab w:leader="none" w:pos="42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spacing w:after="0" w:line="177"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problematic about margin accounts and pledged securities?</w:t>
      </w:r>
    </w:p>
    <w:p>
      <w:pPr>
        <w:spacing w:after="0" w:line="220" w:lineRule="exact"/>
        <w:rPr>
          <w:sz w:val="20"/>
          <w:szCs w:val="20"/>
          <w:color w:val="auto"/>
        </w:rPr>
      </w:pPr>
    </w:p>
    <w:p>
      <w:pPr>
        <w:ind w:left="642" w:right="120" w:hanging="642"/>
        <w:spacing w:after="0" w:line="253" w:lineRule="auto"/>
        <w:tabs>
          <w:tab w:leader="none" w:pos="43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C3’s securities, C3 employee, director, and designated consultants are prohibited from holding Company Securities in a margin account or otherwise pledging C3’s securities as collateral for a loan.</w:t>
      </w:r>
    </w:p>
    <w:p>
      <w:pPr>
        <w:spacing w:after="0" w:line="188"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hedge my ownership position in C3?</w:t>
      </w:r>
    </w:p>
    <w:p>
      <w:pPr>
        <w:spacing w:after="0" w:line="233" w:lineRule="exact"/>
        <w:rPr>
          <w:sz w:val="20"/>
          <w:szCs w:val="20"/>
          <w:color w:val="auto"/>
        </w:rPr>
      </w:pPr>
    </w:p>
    <w:p>
      <w:pPr>
        <w:ind w:left="642" w:right="120" w:hanging="642"/>
        <w:spacing w:after="0" w:line="253" w:lineRule="auto"/>
        <w:tabs>
          <w:tab w:leader="none" w:pos="53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Hedging or monetization transactions, including through the use of financial instruments such as prepaid variable forwards, equity swaps, collars, and exchange funds are prohibited by our insider trading policy. Since such hedging transactions allow you to continue to own C3’s securities obtained through employee benefit plans or otherwise, but without the full risks and rewards of ownership, you may no longer have the same objectives as C3’s other shareholders. Therefore, our insider trading policy prohibits you from engaging in any such transactions.</w:t>
      </w:r>
    </w:p>
    <w:p>
      <w:pPr>
        <w:spacing w:after="0" w:line="174"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are hedging transactions prohibited?</w:t>
      </w:r>
    </w:p>
    <w:p>
      <w:pPr>
        <w:spacing w:after="0" w:line="233" w:lineRule="exact"/>
        <w:rPr>
          <w:sz w:val="20"/>
          <w:szCs w:val="20"/>
          <w:color w:val="auto"/>
        </w:rPr>
      </w:pPr>
    </w:p>
    <w:p>
      <w:pPr>
        <w:ind w:left="642" w:right="120" w:hanging="642"/>
        <w:spacing w:after="0" w:line="258" w:lineRule="auto"/>
        <w:tabs>
          <w:tab w:leader="none" w:pos="47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transactions may permit a person subject to this policy to continue to own C3’s securities obtained through employee benefit plans or otherwise, but without the full risks and rewards of ownership. When that occurs, the person may no longer have the same objectives as C3’s other stockholders. Therefore, all persons subject to this policy are prohibited from engaging in any such transactions.</w:t>
      </w:r>
    </w:p>
    <w:p>
      <w:pPr>
        <w:spacing w:after="0" w:line="182"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allowed to trade derivative securities of C3’s common stock?</w:t>
      </w:r>
    </w:p>
    <w:p>
      <w:pPr>
        <w:spacing w:after="0" w:line="220" w:lineRule="exact"/>
        <w:rPr>
          <w:sz w:val="20"/>
          <w:szCs w:val="20"/>
          <w:color w:val="auto"/>
        </w:rPr>
      </w:pPr>
    </w:p>
    <w:p>
      <w:pPr>
        <w:ind w:left="642" w:right="120" w:hanging="642"/>
        <w:spacing w:after="0" w:line="283" w:lineRule="auto"/>
        <w:tabs>
          <w:tab w:leader="none" w:pos="48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You may not trade in derivative securities related to our common stock, which include publicly traded call and put options. In addition, you may not engage in short selling of our common stock at any time.</w:t>
      </w:r>
    </w:p>
    <w:p>
      <w:pPr>
        <w:spacing w:after="0" w:line="142"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derivative securities?</w:t>
      </w:r>
    </w:p>
    <w:p>
      <w:pPr>
        <w:spacing w:after="0" w:line="233" w:lineRule="exact"/>
        <w:rPr>
          <w:sz w:val="20"/>
          <w:szCs w:val="20"/>
          <w:color w:val="auto"/>
        </w:rPr>
      </w:pPr>
    </w:p>
    <w:p>
      <w:pPr>
        <w:jc w:val="both"/>
        <w:ind w:left="642" w:right="120" w:hanging="642"/>
        <w:spacing w:after="0" w:line="258" w:lineRule="auto"/>
        <w:tabs>
          <w:tab w:leader="none" w:pos="59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ectPr>
          <w:pgSz w:w="11900" w:h="16838" w:orient="portrait"/>
          <w:cols w:equalWidth="0" w:num="1">
            <w:col w:w="11102"/>
          </w:cols>
          <w:pgMar w:left="458" w:top="342"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 w:hanging="422"/>
        <w:spacing w:after="0"/>
        <w:tabs>
          <w:tab w:leader="none" w:pos="480" w:val="left"/>
        </w:tabs>
        <w:numPr>
          <w:ilvl w:val="1"/>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short selling?</w:t>
      </w:r>
    </w:p>
    <w:p>
      <w:pPr>
        <w:spacing w:after="0" w:line="233" w:lineRule="exact"/>
        <w:rPr>
          <w:rFonts w:ascii="Times New Roman" w:cs="Times New Roman" w:eastAsia="Times New Roman" w:hAnsi="Times New Roman"/>
          <w:sz w:val="20"/>
          <w:szCs w:val="20"/>
          <w:b w:val="1"/>
          <w:bCs w:val="1"/>
          <w:color w:val="auto"/>
        </w:rPr>
      </w:pPr>
    </w:p>
    <w:p>
      <w:pPr>
        <w:ind w:left="740" w:right="120" w:hanging="731"/>
        <w:spacing w:after="0" w:line="261" w:lineRule="auto"/>
        <w:tabs>
          <w:tab w:leader="none" w:pos="51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63" w:lineRule="exact"/>
        <w:rPr>
          <w:rFonts w:ascii="Times New Roman" w:cs="Times New Roman" w:eastAsia="Times New Roman" w:hAnsi="Times New Roman"/>
          <w:sz w:val="20"/>
          <w:szCs w:val="20"/>
          <w:color w:val="auto"/>
        </w:rPr>
      </w:pPr>
    </w:p>
    <w:p>
      <w:pPr>
        <w:ind w:left="480" w:hanging="422"/>
        <w:spacing w:after="0"/>
        <w:tabs>
          <w:tab w:leader="none" w:pos="480" w:val="left"/>
        </w:tabs>
        <w:numPr>
          <w:ilvl w:val="1"/>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Why does C3 prohibit trading in derivative securities and short selling?</w:t>
      </w:r>
    </w:p>
    <w:p>
      <w:pPr>
        <w:spacing w:after="0" w:line="233" w:lineRule="exact"/>
        <w:rPr>
          <w:sz w:val="20"/>
          <w:szCs w:val="20"/>
          <w:color w:val="auto"/>
        </w:rPr>
      </w:pPr>
    </w:p>
    <w:p>
      <w:pPr>
        <w:ind w:left="700" w:right="120" w:hanging="642"/>
        <w:spacing w:after="0" w:line="258" w:lineRule="auto"/>
        <w:tabs>
          <w:tab w:leader="none" w:pos="45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68"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purchased publicly traded options or other derivative securities before I became subject to this policy?</w:t>
      </w:r>
    </w:p>
    <w:p>
      <w:pPr>
        <w:spacing w:after="0" w:line="233" w:lineRule="exact"/>
        <w:rPr>
          <w:sz w:val="20"/>
          <w:szCs w:val="20"/>
          <w:color w:val="auto"/>
        </w:rPr>
      </w:pPr>
    </w:p>
    <w:p>
      <w:pPr>
        <w:ind w:left="700" w:right="120" w:hanging="642"/>
        <w:spacing w:after="0" w:line="283" w:lineRule="auto"/>
        <w:tabs>
          <w:tab w:leader="none" w:pos="47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42"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concerns about standing and limit order</w:t>
      </w:r>
      <w:r>
        <w:rPr>
          <w:rFonts w:ascii="Times New Roman" w:cs="Times New Roman" w:eastAsia="Times New Roman" w:hAnsi="Times New Roman"/>
          <w:sz w:val="19"/>
          <w:szCs w:val="19"/>
          <w:color w:val="auto"/>
        </w:rPr>
        <w:t>s?</w:t>
      </w:r>
    </w:p>
    <w:p>
      <w:pPr>
        <w:spacing w:after="0" w:line="233" w:lineRule="exact"/>
        <w:rPr>
          <w:sz w:val="20"/>
          <w:szCs w:val="20"/>
          <w:color w:val="auto"/>
        </w:rPr>
      </w:pPr>
    </w:p>
    <w:p>
      <w:pPr>
        <w:ind w:left="700" w:right="120" w:hanging="642"/>
        <w:spacing w:after="0" w:line="266" w:lineRule="auto"/>
        <w:tabs>
          <w:tab w:leader="none" w:pos="522"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C3 employee, director, or designated consultant is in possession of material nonpublic information. C3 therefore discourages placing standing or limit orders on C3’s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Pre-Clearance of Transactions in C3 Stock</w:t>
      </w:r>
    </w:p>
    <w:p>
      <w:pPr>
        <w:spacing w:after="0" w:line="216"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required to pre-clear and provide advance notice of transactions?</w:t>
      </w:r>
    </w:p>
    <w:p>
      <w:pPr>
        <w:spacing w:after="0" w:line="233" w:lineRule="exact"/>
        <w:rPr>
          <w:sz w:val="20"/>
          <w:szCs w:val="20"/>
          <w:color w:val="auto"/>
        </w:rPr>
      </w:pPr>
    </w:p>
    <w:p>
      <w:pPr>
        <w:jc w:val="right"/>
        <w:ind w:left="700" w:right="120" w:hanging="642"/>
        <w:spacing w:after="0" w:line="266" w:lineRule="auto"/>
        <w:tabs>
          <w:tab w:leader="none" w:pos="47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 in C3’s securities without first obtaining pre-clearance of the transaction from C3’s General Counsel or their designee at least two business days in advance of the proposed transaction. He or she will then determine whether the transaction may proceed and, if so, will direct the Section 16 Compliance Coordinator (as identified in C3’s Section 16 Compliance Program) to help comply with any required reporting requirements under Section 16(a) of the Exchange Act. Pre-cleared transactions not completed within two business days will require new pre-clearance. C3 may choose to shorten this period.</w:t>
      </w:r>
    </w:p>
    <w:p>
      <w:pPr>
        <w:sectPr>
          <w:pgSz w:w="11900" w:h="16838" w:orient="portrait"/>
          <w:cols w:equalWidth="0" w:num="1">
            <w:col w:w="11160"/>
          </w:cols>
          <w:pgMar w:left="400" w:top="342"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individuals subject to pre-clearance required to provide advanced notice of stock option exercises?</w:t>
      </w:r>
    </w:p>
    <w:p>
      <w:pPr>
        <w:spacing w:after="0" w:line="220" w:lineRule="exact"/>
        <w:rPr>
          <w:sz w:val="20"/>
          <w:szCs w:val="20"/>
          <w:color w:val="auto"/>
        </w:rPr>
      </w:pPr>
    </w:p>
    <w:p>
      <w:pPr>
        <w:ind w:left="642" w:right="120" w:hanging="642"/>
        <w:spacing w:after="0" w:line="281" w:lineRule="auto"/>
        <w:tabs>
          <w:tab w:leader="none" w:pos="468"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Yes. Persons subject to pre-clearance must also give advance notice of their plans to exercise an outstanding stock option to the Section 16 Compliance Coordinator. Once any transaction takes place, the officer, director, or applicable member of management must immediately notify the Section 16 Compliance Coordinator so that C3 may assist in any Section 16 reporting obligations.</w:t>
      </w:r>
    </w:p>
    <w:p>
      <w:pPr>
        <w:spacing w:after="0" w:line="160"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additional requirements apply to individuals subject to Section 16?</w:t>
      </w:r>
    </w:p>
    <w:p>
      <w:pPr>
        <w:spacing w:after="0" w:line="233" w:lineRule="exact"/>
        <w:rPr>
          <w:sz w:val="20"/>
          <w:szCs w:val="20"/>
          <w:color w:val="auto"/>
        </w:rPr>
      </w:pPr>
    </w:p>
    <w:p>
      <w:pPr>
        <w:ind w:left="642" w:right="120" w:hanging="642"/>
        <w:spacing w:after="0" w:line="254" w:lineRule="auto"/>
        <w:tabs>
          <w:tab w:leader="none" w:pos="42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C3’s Section 16 Compliance Program, and any notices of sale required by Rule 144.</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Other Information</w:t>
      </w:r>
    </w:p>
    <w:p>
      <w:pPr>
        <w:spacing w:after="0" w:line="216"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happens if I violate our insider trading policy?</w:t>
      </w:r>
    </w:p>
    <w:p>
      <w:pPr>
        <w:spacing w:after="0" w:line="233" w:lineRule="exact"/>
        <w:rPr>
          <w:sz w:val="20"/>
          <w:szCs w:val="20"/>
          <w:color w:val="auto"/>
        </w:rPr>
      </w:pPr>
    </w:p>
    <w:p>
      <w:pPr>
        <w:ind w:left="642" w:right="120" w:hanging="642"/>
        <w:spacing w:after="0" w:line="269" w:lineRule="auto"/>
        <w:tabs>
          <w:tab w:leader="none" w:pos="461"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Violating our policies may result in disciplinary action, which may include termination of your employment or other relationship with C3.</w:t>
      </w:r>
    </w:p>
    <w:p>
      <w:pPr>
        <w:spacing w:after="0" w:line="16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sanctions if I trade on material nonpublic information or tip off someone else?</w:t>
      </w:r>
    </w:p>
    <w:p>
      <w:pPr>
        <w:spacing w:after="0" w:line="233" w:lineRule="exact"/>
        <w:rPr>
          <w:sz w:val="20"/>
          <w:szCs w:val="20"/>
          <w:color w:val="auto"/>
        </w:rPr>
      </w:pPr>
    </w:p>
    <w:p>
      <w:pPr>
        <w:ind w:left="642" w:right="120" w:hanging="642"/>
        <w:spacing w:after="0" w:line="253" w:lineRule="auto"/>
        <w:tabs>
          <w:tab w:leader="none" w:pos="42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disciplinary action by C3—which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75"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“loss avoided”?</w:t>
      </w:r>
    </w:p>
    <w:p>
      <w:pPr>
        <w:spacing w:after="0" w:line="233" w:lineRule="exact"/>
        <w:rPr>
          <w:sz w:val="20"/>
          <w:szCs w:val="20"/>
          <w:color w:val="auto"/>
        </w:rPr>
      </w:pPr>
    </w:p>
    <w:p>
      <w:pPr>
        <w:ind w:left="642" w:right="120" w:hanging="642"/>
        <w:spacing w:after="0" w:line="269" w:lineRule="auto"/>
        <w:tabs>
          <w:tab w:leader="none" w:pos="52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69"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should I contact if I have questions about our insider trading policy or specific trades?</w:t>
      </w:r>
    </w:p>
    <w:p>
      <w:pPr>
        <w:spacing w:after="0" w:line="233" w:lineRule="exact"/>
        <w:rPr>
          <w:sz w:val="20"/>
          <w:szCs w:val="20"/>
          <w:color w:val="auto"/>
        </w:rPr>
      </w:pPr>
    </w:p>
    <w:p>
      <w:pPr>
        <w:ind w:left="2"/>
        <w:spacing w:after="0"/>
        <w:tabs>
          <w:tab w:leader="none" w:pos="362"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You should contact our General Counsel.</w:t>
      </w:r>
    </w:p>
    <w:p>
      <w:pPr>
        <w:spacing w:after="0" w:line="212" w:lineRule="exact"/>
        <w:rPr>
          <w:sz w:val="20"/>
          <w:szCs w:val="20"/>
          <w:color w:val="auto"/>
        </w:rPr>
      </w:pPr>
    </w:p>
    <w:p>
      <w:pPr>
        <w:ind w:left="2"/>
        <w:spacing w:after="0"/>
        <w:tabs>
          <w:tab w:leader="none" w:pos="402"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 changes to this policy require approval by C3’s Board of Directors?</w:t>
      </w:r>
    </w:p>
    <w:p>
      <w:pPr>
        <w:spacing w:after="0" w:line="233" w:lineRule="exact"/>
        <w:rPr>
          <w:sz w:val="20"/>
          <w:szCs w:val="20"/>
          <w:color w:val="auto"/>
        </w:rPr>
      </w:pPr>
    </w:p>
    <w:p>
      <w:pPr>
        <w:ind w:left="2"/>
        <w:spacing w:after="0"/>
        <w:tabs>
          <w:tab w:leader="none" w:pos="362"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Yes. Changes to this policy require approval by C3’s Board of Directors or a duly appointed committee of the Board of Directors.</w:t>
      </w:r>
    </w:p>
    <w:p>
      <w:pPr>
        <w:sectPr>
          <w:pgSz w:w="11900" w:h="16838" w:orient="portrait"/>
          <w:cols w:equalWidth="0" w:num="1">
            <w:col w:w="11102"/>
          </w:cols>
          <w:pgMar w:left="458" w:top="342"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Specified Personnel</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(Non-Officer Employees and Designated Consultants Subject to Quarterly Trading Blackout Periods)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C3 employees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Designated consultants</w:t>
      </w:r>
    </w:p>
    <w:p>
      <w:pPr>
        <w:sectPr>
          <w:pgSz w:w="11900" w:h="16838" w:orient="portrait"/>
          <w:cols w:equalWidth="0" w:num="1">
            <w:col w:w="11240"/>
          </w:cols>
          <w:pgMar w:left="320" w:top="342"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Subsidiaries of C3.ai, Inc.</w:t>
      </w:r>
    </w:p>
    <w:p>
      <w:pPr>
        <w:sectPr>
          <w:pgSz w:w="11900" w:h="16838" w:orient="portrait"/>
          <w:cols w:equalWidth="0" w:num="1">
            <w:col w:w="11240"/>
          </w:cols>
          <w:pgMar w:left="320" w:top="121" w:right="339" w:bottom="1440" w:gutter="0" w:footer="0" w:header="0"/>
        </w:sectPr>
      </w:pPr>
    </w:p>
    <w:p>
      <w:pPr>
        <w:spacing w:after="0" w:line="2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of Subsidiary</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 Inc.</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Gov, Inc.</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International, Inc.</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AI Press, Inc.</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 IoT France S.A.S.</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UK Ltd.</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 Energy Italy S.R.L.</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Belgium S.R.L.</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Japan K.K.</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Netherlands B.V.</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Australia Pty Ltd.</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 IoT Hong Kong Limited</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C3.ai Singapore Pte Ltd.</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C3.ai México S. de R.L. de C.V.</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Jurisdiction of Organization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Kingdom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Italy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Netherlands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Mexico</w:t>
      </w:r>
    </w:p>
    <w:p>
      <w:pPr>
        <w:sectPr>
          <w:pgSz w:w="11900" w:h="16838" w:orient="portrait"/>
          <w:cols w:equalWidth="0" w:num="2">
            <w:col w:w="4700" w:space="720"/>
            <w:col w:w="5820"/>
          </w:cols>
          <w:pgMar w:left="320" w:top="121" w:right="339" w:bottom="1440" w:gutter="0" w:footer="0" w:header="0"/>
          <w:type w:val="continuous"/>
        </w:sectPr>
      </w:pPr>
    </w:p>
    <w:bookmarkStart w:id="148" w:name="page149"/>
    <w:bookmarkEnd w:id="148"/>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9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333-251236, 333-253944, 333-257452, 333-265781 and 333-272819 on Form S-8 of our report dated June 18, 2024, relating to the consolidated financial statements of C3.ai, Inc. and subsidiaries (the “Company”) and the effectiveness of the Company's internal control over financial reporting, appearing in this Annual Report on Form 10-K for the year ended April 30,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18, 2024</w:t>
      </w:r>
    </w:p>
    <w:p>
      <w:pPr>
        <w:sectPr>
          <w:pgSz w:w="11900" w:h="16838" w:orient="portrait"/>
          <w:cols w:equalWidth="0" w:num="1">
            <w:col w:w="11160"/>
          </w:cols>
          <w:pgMar w:left="320" w:top="1409" w:right="419" w:bottom="1440" w:gutter="0" w:footer="0" w:header="0"/>
        </w:sectPr>
      </w:pPr>
    </w:p>
    <w:bookmarkStart w:id="149" w:name="page150"/>
    <w:bookmarkEnd w:id="14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EXCHANGE ACT RULES 13a-14(a) AND 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 Siebel, certify that:</w:t>
      </w:r>
    </w:p>
    <w:p>
      <w:pPr>
        <w:spacing w:after="0" w:line="252"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C3.ai,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13" w:right="339" w:bottom="1440" w:gutter="0" w:footer="0" w:header="0"/>
        </w:sectPr>
      </w:pPr>
    </w:p>
    <w:bookmarkStart w:id="150" w:name="page151"/>
    <w:bookmarkEnd w:id="150"/>
    <w:p>
      <w:pPr>
        <w:spacing w:after="0" w:line="288" w:lineRule="exact"/>
        <w:rPr>
          <w:sz w:val="20"/>
          <w:szCs w:val="20"/>
          <w:color w:val="auto"/>
        </w:rPr>
      </w:pPr>
    </w:p>
    <w:p>
      <w:pPr>
        <w:spacing w:after="0"/>
        <w:tabs>
          <w:tab w:leader="none" w:pos="4000" w:val="left"/>
          <w:tab w:leader="none" w:pos="4720" w:val="left"/>
        </w:tabs>
        <w:rPr>
          <w:sz w:val="20"/>
          <w:szCs w:val="20"/>
          <w:color w:val="auto"/>
        </w:rPr>
      </w:pPr>
      <w:r>
        <w:rPr>
          <w:rFonts w:ascii="Times New Roman" w:cs="Times New Roman" w:eastAsia="Times New Roman" w:hAnsi="Times New Roman"/>
          <w:sz w:val="18"/>
          <w:szCs w:val="18"/>
          <w:color w:val="auto"/>
        </w:rPr>
        <w:t>Date: June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M. Siebel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26035</wp:posOffset>
            </wp:positionV>
            <wp:extent cx="41230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Thomas M. Siebel</w:t>
      </w:r>
    </w:p>
    <w:p>
      <w:pPr>
        <w:spacing w:after="0" w:line="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p>
      <w:pPr>
        <w:spacing w:after="0" w:line="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151" w:name="page152"/>
    <w:bookmarkEnd w:id="15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EXCHANGE ACT RULES 13a-14(a) AND 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Hitesh Lath, certify that:</w:t>
      </w:r>
    </w:p>
    <w:p>
      <w:pPr>
        <w:spacing w:after="0" w:line="252"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C3.ai,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13" w:right="339" w:bottom="1440" w:gutter="0" w:footer="0" w:header="0"/>
        </w:sectPr>
      </w:pPr>
    </w:p>
    <w:bookmarkStart w:id="152" w:name="page153"/>
    <w:bookmarkEnd w:id="152"/>
    <w:p>
      <w:pPr>
        <w:spacing w:after="0" w:line="288" w:lineRule="exact"/>
        <w:rPr>
          <w:sz w:val="20"/>
          <w:szCs w:val="20"/>
          <w:color w:val="auto"/>
        </w:rPr>
      </w:pPr>
    </w:p>
    <w:p>
      <w:pPr>
        <w:spacing w:after="0"/>
        <w:tabs>
          <w:tab w:leader="none" w:pos="4000" w:val="left"/>
          <w:tab w:leader="none" w:pos="4720" w:val="left"/>
        </w:tabs>
        <w:rPr>
          <w:sz w:val="20"/>
          <w:szCs w:val="20"/>
          <w:color w:val="auto"/>
        </w:rPr>
      </w:pPr>
      <w:r>
        <w:rPr>
          <w:rFonts w:ascii="Times New Roman" w:cs="Times New Roman" w:eastAsia="Times New Roman" w:hAnsi="Times New Roman"/>
          <w:sz w:val="18"/>
          <w:szCs w:val="18"/>
          <w:color w:val="auto"/>
        </w:rPr>
        <w:t>Date: June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Hitesh 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26035</wp:posOffset>
            </wp:positionV>
            <wp:extent cx="41230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Hitesh Lath</w:t>
      </w:r>
    </w:p>
    <w:p>
      <w:pPr>
        <w:spacing w:after="0" w:line="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119"/>
          </w:cols>
          <w:pgMar w:left="340" w:top="1440" w:right="1440"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Thomas M. Siebel, Chairman and Chief Executive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spacing w:after="0" w:line="196" w:lineRule="exact"/>
        <w:rPr>
          <w:sz w:val="20"/>
          <w:szCs w:val="20"/>
          <w:color w:val="auto"/>
        </w:rPr>
      </w:pPr>
    </w:p>
    <w:p>
      <w:pPr>
        <w:ind w:left="660" w:hanging="328"/>
        <w:spacing w:after="0" w:line="282" w:lineRule="auto"/>
        <w:tabs>
          <w:tab w:leader="none" w:pos="65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April 30, 2024, to which this Certification is attached as Exhibit 32.1 (the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4020" w:val="left"/>
          <w:tab w:leader="none" w:pos="4740" w:val="left"/>
        </w:tabs>
        <w:rPr>
          <w:sz w:val="20"/>
          <w:szCs w:val="20"/>
          <w:color w:val="auto"/>
        </w:rPr>
      </w:pPr>
      <w:r>
        <w:rPr>
          <w:rFonts w:ascii="Times New Roman" w:cs="Times New Roman" w:eastAsia="Times New Roman" w:hAnsi="Times New Roman"/>
          <w:sz w:val="18"/>
          <w:szCs w:val="18"/>
          <w:color w:val="auto"/>
        </w:rPr>
        <w:t>Date: June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M. Siebel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26035</wp:posOffset>
            </wp:positionV>
            <wp:extent cx="41230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Thomas M. Siebel</w:t>
      </w:r>
    </w:p>
    <w:p>
      <w:pPr>
        <w:spacing w:after="0" w:line="5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spacing w:after="0" w:line="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Hitesh Lath, Senior Vice President and Chief Financial Officer of C3.ai, Inc. (the “Company”), do hereby certify, to the best of my knowledge and pursuant to the requirement set forth in Rule 13a-14(b) of the Securities Exchange Act of 1934, as amended, (the “Exchange Act”) and 18 U.S.C. Section 1350, as adopted pursuant to Section 906 of the Sarbanes-Oxley Act of 2002, that:</w:t>
      </w:r>
    </w:p>
    <w:p>
      <w:pPr>
        <w:spacing w:after="0" w:line="196" w:lineRule="exact"/>
        <w:rPr>
          <w:sz w:val="20"/>
          <w:szCs w:val="20"/>
          <w:color w:val="auto"/>
        </w:rPr>
      </w:pPr>
    </w:p>
    <w:p>
      <w:pPr>
        <w:ind w:left="660" w:hanging="328"/>
        <w:spacing w:after="0" w:line="282" w:lineRule="auto"/>
        <w:tabs>
          <w:tab w:leader="none" w:pos="65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April 30, 2024, to which this Certification is attached as Exhibit 32.2 (the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4020" w:val="left"/>
          <w:tab w:leader="none" w:pos="4740" w:val="left"/>
        </w:tabs>
        <w:rPr>
          <w:sz w:val="20"/>
          <w:szCs w:val="20"/>
          <w:color w:val="auto"/>
        </w:rPr>
      </w:pPr>
      <w:r>
        <w:rPr>
          <w:rFonts w:ascii="Times New Roman" w:cs="Times New Roman" w:eastAsia="Times New Roman" w:hAnsi="Times New Roman"/>
          <w:sz w:val="18"/>
          <w:szCs w:val="18"/>
          <w:color w:val="auto"/>
        </w:rPr>
        <w:t>Date: June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Hitesh 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26035</wp:posOffset>
            </wp:positionV>
            <wp:extent cx="41230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Hitesh Lath</w:t>
      </w:r>
    </w:p>
    <w:p>
      <w:pPr>
        <w:spacing w:after="0" w:line="5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41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C3.ai,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Approved by Compensation Committee November 27, 2023</w:t>
      </w:r>
    </w:p>
    <w:p>
      <w:pPr>
        <w:spacing w:after="0" w:line="202"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C3.ai,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Section 303A.14 of the New York Stock Exchange Listed Company Manual (the “</w:t>
      </w:r>
      <w:r>
        <w:rPr>
          <w:rFonts w:ascii="Times New Roman" w:cs="Times New Roman" w:eastAsia="Times New Roman" w:hAnsi="Times New Roman"/>
          <w:sz w:val="20"/>
          <w:szCs w:val="20"/>
          <w:b w:val="1"/>
          <w:bCs w:val="1"/>
          <w:i w:val="1"/>
          <w:iCs w:val="1"/>
          <w:color w:val="auto"/>
        </w:rPr>
        <w:t>Listing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Standards</w:t>
      </w:r>
      <w:r>
        <w:rPr>
          <w:rFonts w:ascii="Times New Roman" w:cs="Times New Roman" w:eastAsia="Times New Roman" w:hAnsi="Times New Roman"/>
          <w:sz w:val="20"/>
          <w:szCs w:val="20"/>
          <w:color w:val="auto"/>
        </w:rPr>
        <w:t>”).</w:t>
      </w:r>
    </w:p>
    <w:p>
      <w:pPr>
        <w:spacing w:after="0" w:line="150"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Per Rule 10D-1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or achieved, even if the payment or grant of such Incentive Compensation occurs after the end of that period.</w:t>
      </w:r>
    </w:p>
    <w:p>
      <w:pPr>
        <w:spacing w:after="0" w:line="155"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16" w:lineRule="exact"/>
        <w:rPr>
          <w:sz w:val="20"/>
          <w:szCs w:val="20"/>
          <w:color w:val="auto"/>
        </w:rPr>
      </w:pPr>
    </w:p>
    <w:p>
      <w:pPr>
        <w:jc w:val="both"/>
        <w:ind w:firstLine="72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ectPr>
          <w:pgSz w:w="11900" w:h="16838" w:orient="portrait"/>
          <w:cols w:equalWidth="0" w:num="1">
            <w:col w:w="11240"/>
          </w:cols>
          <w:pgMar w:left="320" w:top="114"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New York Stock Exchange.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using as a hurdle or target either Company stock price or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Compensation based on time vesting is not Incentive Compensation and therefore not subject to this Policy. For the absence of doubt, a time vesting option which has an exercise price which is below, at or exceeding the fair market value of the underlying stock of the Company on the date of grant is a time vesting option and therefore not Incentive Compensation, and therefore not subject to this Policy. This includes all time vesting “incentive stock options” (within the meaning of Section 422 of the Code) , nonstatutory stock options and premium priced stock options.</w:t>
      </w:r>
    </w:p>
    <w:p>
      <w:pPr>
        <w:spacing w:after="0" w:line="16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 deductions) as required by Rule 10D-1.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294686622 v5</w:t>
      </w:r>
    </w:p>
    <w:p>
      <w:pPr>
        <w:sectPr>
          <w:pgSz w:w="11900" w:h="16838" w:orient="portrait"/>
          <w:cols w:equalWidth="0" w:num="1">
            <w:col w:w="11240"/>
          </w:cols>
          <w:pgMar w:left="320" w:top="1409" w:right="339" w:bottom="1440" w:gutter="0" w:footer="0" w:header="0"/>
        </w:sectPr>
      </w:pPr>
    </w:p>
    <w:bookmarkStart w:id="157" w:name="page158"/>
    <w:bookmarkEnd w:id="157"/>
    <w:p>
      <w:pPr>
        <w:jc w:val="both"/>
        <w:spacing w:after="0" w:line="261" w:lineRule="auto"/>
        <w:rPr>
          <w:sz w:val="20"/>
          <w:szCs w:val="20"/>
          <w:color w:val="auto"/>
        </w:rPr>
      </w:pPr>
      <w:r>
        <w:rPr>
          <w:rFonts w:ascii="Times New Roman" w:cs="Times New Roman" w:eastAsia="Times New Roman" w:hAnsi="Times New Roman"/>
          <w:sz w:val="20"/>
          <w:szCs w:val="20"/>
          <w:color w:val="auto"/>
        </w:rPr>
        <w:t>estimate, as determined by the Administrator,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16"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202"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284" w:val="left"/>
        </w:tabs>
        <w:numPr>
          <w:ilvl w:val="1"/>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50"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95" w:val="left"/>
        </w:tabs>
        <w:numPr>
          <w:ilvl w:val="1"/>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at such time, the Compensation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5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206" w:lineRule="exact"/>
        <w:rPr>
          <w:rFonts w:ascii="Times New Roman" w:cs="Times New Roman" w:eastAsia="Times New Roman" w:hAnsi="Times New Roman"/>
          <w:sz w:val="20"/>
          <w:szCs w:val="20"/>
          <w:b w:val="1"/>
          <w:bCs w:val="1"/>
          <w:color w:val="auto"/>
        </w:rPr>
      </w:pPr>
    </w:p>
    <w:p>
      <w:pPr>
        <w:jc w:val="both"/>
        <w:ind w:left="660" w:firstLine="644"/>
        <w:spacing w:after="0" w:line="253" w:lineRule="auto"/>
        <w:tabs>
          <w:tab w:leader="none" w:pos="1954"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50"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5" w:val="left"/>
        </w:tabs>
        <w:numPr>
          <w:ilvl w:val="1"/>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294686622 v5</w:t>
      </w:r>
    </w:p>
    <w:p>
      <w:pPr>
        <w:sectPr>
          <w:pgSz w:w="11900" w:h="16838" w:orient="portrait"/>
          <w:cols w:equalWidth="0" w:num="1">
            <w:col w:w="11240"/>
          </w:cols>
          <w:pgMar w:left="320" w:top="1413" w:right="339" w:bottom="1440" w:gutter="0" w:footer="0" w:header="0"/>
        </w:sectPr>
      </w:pPr>
    </w:p>
    <w:bookmarkStart w:id="158" w:name="page159"/>
    <w:bookmarkEnd w:id="158"/>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 In all cases the amount recovered, canceled, repaid, or off-set will be limited to the amount as defined above under “</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To the extent permitted by applicable law, the intent of the Administrator is that (i) for Incentive Compensation paid in cash, recoupment will be in the form of payment/cancellation or offset of cash, and (ii) for equity-based Incentive Compensation, recoupment will be in the form of payment/cancellation or offset of equity, to the extent available.</w:t>
      </w:r>
    </w:p>
    <w:p>
      <w:pPr>
        <w:spacing w:after="0" w:line="158" w:lineRule="exact"/>
        <w:rPr>
          <w:sz w:val="20"/>
          <w:szCs w:val="20"/>
          <w:color w:val="auto"/>
        </w:rPr>
      </w:pPr>
    </w:p>
    <w:p>
      <w:pPr>
        <w:jc w:val="both"/>
        <w:ind w:firstLine="656"/>
        <w:spacing w:after="0" w:line="260" w:lineRule="auto"/>
        <w:tabs>
          <w:tab w:leader="none" w:pos="1286" w:val="left"/>
        </w:tabs>
        <w:numPr>
          <w:ilvl w:val="1"/>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50"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91" w:val="left"/>
        </w:tabs>
        <w:numPr>
          <w:ilvl w:val="1"/>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3" w:lineRule="exact"/>
        <w:rPr>
          <w:rFonts w:ascii="Times New Roman" w:cs="Times New Roman" w:eastAsia="Times New Roman" w:hAnsi="Times New Roman"/>
          <w:sz w:val="20"/>
          <w:szCs w:val="20"/>
          <w:b w:val="1"/>
          <w:bCs w:val="1"/>
          <w:color w:val="auto"/>
        </w:rPr>
      </w:pPr>
    </w:p>
    <w:p>
      <w:pPr>
        <w:jc w:val="both"/>
        <w:ind w:firstLine="656"/>
        <w:spacing w:after="0" w:line="255" w:lineRule="auto"/>
        <w:tabs>
          <w:tab w:leader="none" w:pos="1284" w:val="left"/>
        </w:tabs>
        <w:numPr>
          <w:ilvl w:val="1"/>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70"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64"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294686622 v5</w:t>
      </w:r>
    </w:p>
    <w:p>
      <w:pPr>
        <w:sectPr>
          <w:pgSz w:w="11900" w:h="16838" w:orient="portrait"/>
          <w:cols w:equalWidth="0" w:num="1">
            <w:col w:w="11240"/>
          </w:cols>
          <w:pgMar w:left="320" w:top="1413" w:right="339" w:bottom="1440" w:gutter="0" w:footer="0" w:header="0"/>
        </w:sectPr>
      </w:pPr>
    </w:p>
    <w:bookmarkStart w:id="159" w:name="page160"/>
    <w:bookmarkEnd w:id="159"/>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55"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Impairment of Other Remedies; Third Party Rights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20"/>
          <w:szCs w:val="20"/>
          <w:b w:val="1"/>
          <w:bCs w:val="1"/>
          <w:i w:val="1"/>
          <w:iCs w:val="1"/>
          <w:color w:val="auto"/>
        </w:rPr>
        <w:t>SOX 304</w:t>
      </w:r>
      <w:r>
        <w:rPr>
          <w:rFonts w:ascii="Times New Roman" w:cs="Times New Roman" w:eastAsia="Times New Roman" w:hAnsi="Times New Roman"/>
          <w:sz w:val="20"/>
          <w:szCs w:val="20"/>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 Except as provided by applicable law, no third party shall have any rights or remedies with respect to this Policy or any enforcement thereof.</w:t>
      </w:r>
    </w:p>
    <w:p>
      <w:pPr>
        <w:spacing w:after="0" w:line="169"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w:t>
      </w:r>
    </w:p>
    <w:p>
      <w:pPr>
        <w:spacing w:after="0" w:line="22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55"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20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Required Filings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The Company shall make any disclosures and filings with respect to this Policy that are required by law, including as required by the SEC.</w:t>
      </w:r>
    </w:p>
    <w:p>
      <w:pPr>
        <w:spacing w:after="0" w:line="214" w:lineRule="exact"/>
        <w:rPr>
          <w:sz w:val="20"/>
          <w:szCs w:val="20"/>
          <w:color w:val="auto"/>
        </w:rPr>
      </w:pPr>
    </w:p>
    <w:p>
      <w:pPr>
        <w:ind w:left="4980"/>
        <w:spacing w:after="0"/>
        <w:tabs>
          <w:tab w:leader="none" w:pos="5260" w:val="left"/>
          <w:tab w:leader="none" w:pos="5560" w:val="left"/>
          <w:tab w:leader="none" w:pos="5860" w:val="left"/>
          <w:tab w:leader="none" w:pos="614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294686622 v5</w:t>
      </w:r>
    </w:p>
    <w:p>
      <w:pPr>
        <w:sectPr>
          <w:pgSz w:w="11900" w:h="16838" w:orient="portrait"/>
          <w:cols w:equalWidth="0" w:num="1">
            <w:col w:w="11240"/>
          </w:cols>
          <w:pgMar w:left="320" w:top="1413" w:right="33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C3.ai, Inc.</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Executive Acknowledgment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C3.ai, Inc.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 inconsistency between the Policy and the terms of any employment agreement, offer letter or other individual agreement with C3.ai,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1257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1257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257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lvl w:ilvl="1">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lvl w:ilvl="1">
      <w:lvlJc w:val="left"/>
      <w:lvlText w:val="•"/>
      <w:numFmt w:val="bullet"/>
      <w:start w:val="1"/>
    </w:lvl>
  </w:abstractNum>
  <w:abstractNum w:abstractNumId="21">
    <w:nsid w:val="11447B73"/>
    <w:multiLevelType w:val="hybridMultilevel"/>
    <w:lvl w:ilvl="0">
      <w:lvlJc w:val="left"/>
      <w:lvlText w:val="•"/>
      <w:numFmt w:val="bullet"/>
      <w:start w:val="1"/>
    </w:lvl>
    <w:lvl w:ilvl="1">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lvl w:ilvl="1">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lvl w:ilvl="1">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lvl w:ilvl="1">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1"/>
      <w:numFmt w:val="bullet"/>
      <w:start w:val="1"/>
    </w:lvl>
  </w:abstractNum>
  <w:abstractNum w:abstractNumId="43">
    <w:nsid w:val="1716703B"/>
    <w:multiLevelType w:val="hybridMultilevel"/>
    <w:lvl w:ilvl="0">
      <w:lvlJc w:val="left"/>
      <w:lvlText w:val="2"/>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1."/>
      <w:numFmt w:val="decimal"/>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lvl w:ilvl="1">
      <w:lvlJc w:val="left"/>
      <w:lvlText w:val="◦"/>
      <w:numFmt w:val="bullet"/>
      <w:start w:val="1"/>
    </w:lvl>
  </w:abstractNum>
  <w:abstractNum w:abstractNumId="49">
    <w:nsid w:val="46B7D447"/>
    <w:multiLevelType w:val="hybridMultilevel"/>
    <w:lvl w:ilvl="0">
      <w:lvlJc w:val="left"/>
      <w:lvlText w:val="(%1)"/>
      <w:numFmt w:val="decimal"/>
      <w:start w:val="1"/>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1)"/>
      <w:numFmt w:val="decimal"/>
      <w:start w:val="1"/>
    </w:lvl>
  </w:abstractNum>
  <w:abstractNum w:abstractNumId="52">
    <w:nsid w:val="57FC4FBB"/>
    <w:multiLevelType w:val="hybridMultilevel"/>
    <w:lvl w:ilvl="0">
      <w:lvlJc w:val="left"/>
      <w:lvlText w:val="%1."/>
      <w:numFmt w:val="decimal"/>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1)"/>
      <w:numFmt w:val="decimal"/>
      <w:start w:val="1"/>
    </w:lvl>
  </w:abstractNum>
  <w:abstractNum w:abstractNumId="56">
    <w:nsid w:val="26F324BA"/>
    <w:multiLevelType w:val="hybridMultilevel"/>
    <w:lvl w:ilvl="0">
      <w:lvlJc w:val="left"/>
      <w:lvlText w:val="%1."/>
      <w:numFmt w:val="decimal"/>
      <w:start w:val="3"/>
    </w:lvl>
  </w:abstractNum>
  <w:abstractNum w:abstractNumId="57">
    <w:nsid w:val="7F01579B"/>
    <w:multiLevelType w:val="hybridMultilevel"/>
    <w:lvl w:ilvl="0">
      <w:lvlJc w:val="left"/>
      <w:lvlText w:val="%1."/>
      <w:numFmt w:val="decimal"/>
      <w:start w:val="4"/>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1)"/>
      <w:numFmt w:val="decimal"/>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1."/>
      <w:numFmt w:val="decimal"/>
      <w:start w:val="1"/>
    </w:lvl>
  </w:abstractNum>
  <w:abstractNum w:abstractNumId="62">
    <w:nsid w:val="488AC1A"/>
    <w:multiLevelType w:val="hybridMultilevel"/>
    <w:lvl w:ilvl="0">
      <w:lvlJc w:val="left"/>
      <w:lvlText w:val="%1."/>
      <w:numFmt w:val="decimal"/>
      <w:start w:val="2"/>
    </w:lvl>
  </w:abstractNum>
  <w:abstractNum w:abstractNumId="63">
    <w:nsid w:val="5FB8011C"/>
    <w:multiLevelType w:val="hybridMultilevel"/>
    <w:lvl w:ilvl="0">
      <w:lvlJc w:val="left"/>
      <w:lvlText w:val="%1."/>
      <w:numFmt w:val="decimal"/>
      <w:start w:val="3"/>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1."/>
      <w:numFmt w:val="decimal"/>
      <w:start w:val="1"/>
    </w:lvl>
  </w:abstractNum>
  <w:abstractNum w:abstractNumId="69">
    <w:nsid w:val="5F3534A4"/>
    <w:multiLevelType w:val="hybridMultilevel"/>
    <w:lvl w:ilvl="0">
      <w:lvlJc w:val="left"/>
      <w:lvlText w:val="%1:"/>
      <w:numFmt w:val="upperLetter"/>
      <w:start w:val="1"/>
    </w:lvl>
  </w:abstractNum>
  <w:abstractNum w:abstractNumId="70">
    <w:nsid w:val="73A1821B"/>
    <w:multiLevelType w:val="hybridMultilevel"/>
    <w:lvl w:ilvl="0">
      <w:lvlJc w:val="left"/>
      <w:lvlText w:val="%1:"/>
      <w:numFmt w:val="upperLetter"/>
      <w:start w:val="1"/>
    </w:lvl>
  </w:abstractNum>
  <w:abstractNum w:abstractNumId="71">
    <w:nsid w:val="7DE67713"/>
    <w:multiLevelType w:val="hybridMultilevel"/>
    <w:lvl w:ilvl="0">
      <w:lvlJc w:val="left"/>
      <w:lvlText w:val="%1:"/>
      <w:numFmt w:val="upperLetter"/>
      <w:start w:val="1"/>
    </w:lvl>
  </w:abstractNum>
  <w:abstractNum w:abstractNumId="72">
    <w:nsid w:val="555C55B5"/>
    <w:multiLevelType w:val="hybridMultilevel"/>
    <w:lvl w:ilvl="0">
      <w:lvlJc w:val="left"/>
      <w:lvlText w:val="%1:"/>
      <w:numFmt w:val="upperLetter"/>
      <w:start w:val="1"/>
    </w:lvl>
  </w:abstractNum>
  <w:abstractNum w:abstractNumId="73">
    <w:nsid w:val="3FA62ACA"/>
    <w:multiLevelType w:val="hybridMultilevel"/>
    <w:lvl w:ilvl="0">
      <w:lvlJc w:val="left"/>
      <w:lvlText w:val="%1:"/>
      <w:numFmt w:val="upperLetter"/>
      <w:start w:val="1"/>
    </w:lvl>
  </w:abstractNum>
  <w:abstractNum w:abstractNumId="74">
    <w:nsid w:val="14FCE74E"/>
    <w:multiLevelType w:val="hybridMultilevel"/>
    <w:lvl w:ilvl="0">
      <w:lvlJc w:val="left"/>
      <w:lvlText w:val="%1:"/>
      <w:numFmt w:val="upperLetter"/>
      <w:start w:val="1"/>
    </w:lvl>
  </w:abstractNum>
  <w:abstractNum w:abstractNumId="75">
    <w:nsid w:val="6A3DD3E8"/>
    <w:multiLevelType w:val="hybridMultilevel"/>
    <w:lvl w:ilvl="0">
      <w:lvlJc w:val="left"/>
      <w:lvlText w:val="%1:"/>
      <w:numFmt w:val="upperLetter"/>
      <w:start w:val="17"/>
    </w:lvl>
    <w:lvl w:ilvl="1">
      <w:lvlJc w:val="left"/>
      <w:lvlText w:val="%2:"/>
      <w:numFmt w:val="upperLetter"/>
      <w:start w:val="1"/>
    </w:lvl>
  </w:abstractNum>
  <w:abstractNum w:abstractNumId="76">
    <w:nsid w:val="71C91298"/>
    <w:multiLevelType w:val="hybridMultilevel"/>
    <w:lvl w:ilvl="0">
      <w:lvlJc w:val="left"/>
      <w:lvlText w:val="%1:"/>
      <w:numFmt w:val="upperLetter"/>
      <w:start w:val="1"/>
    </w:lvl>
    <w:lvl w:ilvl="1">
      <w:lvlJc w:val="left"/>
      <w:lvlText w:val="•"/>
      <w:numFmt w:val="bullet"/>
      <w:start w:val="1"/>
    </w:lvl>
  </w:abstractNum>
  <w:abstractNum w:abstractNumId="77">
    <w:nsid w:val="9DAF632"/>
    <w:multiLevelType w:val="hybridMultilevel"/>
    <w:lvl w:ilvl="0">
      <w:lvlJc w:val="left"/>
      <w:lvlText w:val="%1:"/>
      <w:numFmt w:val="upperLetter"/>
      <w:start w:val="16"/>
    </w:lvl>
    <w:lvl w:ilvl="1">
      <w:lvlJc w:val="left"/>
      <w:lvlText w:val="•"/>
      <w:numFmt w:val="bullet"/>
      <w:start w:val="1"/>
    </w:lvl>
  </w:abstractNum>
  <w:abstractNum w:abstractNumId="78">
    <w:nsid w:val="53299938"/>
    <w:multiLevelType w:val="hybridMultilevel"/>
    <w:lvl w:ilvl="0">
      <w:lvlJc w:val="left"/>
      <w:lvlText w:val="%1:"/>
      <w:numFmt w:val="upperLetter"/>
      <w:start w:val="1"/>
    </w:lvl>
  </w:abstractNum>
  <w:abstractNum w:abstractNumId="79">
    <w:nsid w:val="1FBFE8E0"/>
    <w:multiLevelType w:val="hybridMultilevel"/>
    <w:lvl w:ilvl="0">
      <w:lvlJc w:val="left"/>
      <w:lvlText w:val="%1:"/>
      <w:numFmt w:val="upperLetter"/>
      <w:start w:val="1"/>
    </w:lvl>
  </w:abstractNum>
  <w:abstractNum w:abstractNumId="80">
    <w:nsid w:val="5092CA79"/>
    <w:multiLevelType w:val="hybridMultilevel"/>
    <w:lvl w:ilvl="0">
      <w:lvlJc w:val="left"/>
      <w:lvlText w:val="%1:"/>
      <w:numFmt w:val="upperLetter"/>
      <w:start w:val="17"/>
    </w:lvl>
  </w:abstractNum>
  <w:abstractNum w:abstractNumId="81">
    <w:nsid w:val="1D545C4D"/>
    <w:multiLevelType w:val="hybridMultilevel"/>
    <w:lvl w:ilvl="0">
      <w:lvlJc w:val="left"/>
      <w:lvlText w:val="%1:"/>
      <w:numFmt w:val="upperLetter"/>
      <w:start w:val="1"/>
    </w:lvl>
  </w:abstractNum>
  <w:abstractNum w:abstractNumId="82">
    <w:nsid w:val="59ADEA3D"/>
    <w:multiLevelType w:val="hybridMultilevel"/>
    <w:lvl w:ilvl="0">
      <w:lvlJc w:val="left"/>
      <w:lvlText w:val="%1:"/>
      <w:numFmt w:val="upperLetter"/>
      <w:start w:val="1"/>
    </w:lvl>
  </w:abstractNum>
  <w:abstractNum w:abstractNumId="83">
    <w:nsid w:val="288F1A34"/>
    <w:multiLevelType w:val="hybridMultilevel"/>
    <w:lvl w:ilvl="0">
      <w:lvlJc w:val="left"/>
      <w:lvlText w:val="%1:"/>
      <w:numFmt w:val="upperLetter"/>
      <w:start w:val="17"/>
    </w:lvl>
    <w:lvl w:ilvl="1">
      <w:lvlJc w:val="left"/>
      <w:lvlText w:val="%2:"/>
      <w:numFmt w:val="upperLetter"/>
      <w:start w:val="1"/>
    </w:lvl>
  </w:abstractNum>
  <w:abstractNum w:abstractNumId="84">
    <w:nsid w:val="2A155DBC"/>
    <w:multiLevelType w:val="hybridMultilevel"/>
    <w:lvl w:ilvl="0">
      <w:lvlJc w:val="left"/>
      <w:lvlText w:val="%1:"/>
      <w:numFmt w:val="upperLetter"/>
      <w:start w:val="1"/>
    </w:lvl>
  </w:abstractNum>
  <w:abstractNum w:abstractNumId="85">
    <w:nsid w:val="1D9F6E5F"/>
    <w:multiLevelType w:val="hybridMultilevel"/>
    <w:lvl w:ilvl="0">
      <w:lvlJc w:val="left"/>
      <w:lvlText w:val="%1:"/>
      <w:numFmt w:val="upperLetter"/>
      <w:start w:val="1"/>
    </w:lvl>
  </w:abstractNum>
  <w:abstractNum w:abstractNumId="86">
    <w:nsid w:val="97E1B4E"/>
    <w:multiLevelType w:val="hybridMultilevel"/>
    <w:lvl w:ilvl="0">
      <w:lvlJc w:val="left"/>
      <w:lvlText w:val="%1:"/>
      <w:numFmt w:val="upperLetter"/>
      <w:start w:val="1"/>
    </w:lvl>
  </w:abstractNum>
  <w:abstractNum w:abstractNumId="87">
    <w:nsid w:val="51088277"/>
    <w:multiLevelType w:val="hybridMultilevel"/>
    <w:lvl w:ilvl="0">
      <w:lvlJc w:val="left"/>
      <w:lvlText w:val="%1:"/>
      <w:numFmt w:val="upperLetter"/>
      <w:start w:val="1"/>
    </w:lvl>
  </w:abstractNum>
  <w:abstractNum w:abstractNumId="88">
    <w:nsid w:val="1CA0C5FA"/>
    <w:multiLevelType w:val="hybridMultilevel"/>
    <w:lvl w:ilvl="0">
      <w:lvlJc w:val="left"/>
      <w:lvlText w:val="%1:"/>
      <w:numFmt w:val="upperLetter"/>
      <w:start w:val="1"/>
    </w:lvl>
  </w:abstractNum>
  <w:abstractNum w:abstractNumId="89">
    <w:nsid w:val="53584BCB"/>
    <w:multiLevelType w:val="hybridMultilevel"/>
    <w:lvl w:ilvl="0">
      <w:lvlJc w:val="left"/>
      <w:lvlText w:val="%1:"/>
      <w:numFmt w:val="upperLetter"/>
      <w:start w:val="1"/>
    </w:lvl>
  </w:abstractNum>
  <w:abstractNum w:abstractNumId="90">
    <w:nsid w:val="415E286C"/>
    <w:multiLevelType w:val="hybridMultilevel"/>
    <w:lvl w:ilvl="0">
      <w:lvlJc w:val="left"/>
      <w:lvlText w:val="%1."/>
      <w:numFmt w:val="upperLetter"/>
      <w:start w:val="1"/>
    </w:lvl>
  </w:abstractNum>
  <w:abstractNum w:abstractNumId="91">
    <w:nsid w:val="7C58FD05"/>
    <w:multiLevelType w:val="hybridMultilevel"/>
    <w:lvl w:ilvl="0">
      <w:lvlJc w:val="left"/>
      <w:lvlText w:val="%1:"/>
      <w:numFmt w:val="upperLetter"/>
      <w:start w:val="1"/>
    </w:lvl>
  </w:abstractNum>
  <w:abstractNum w:abstractNumId="92">
    <w:nsid w:val="23D86AAC"/>
    <w:multiLevelType w:val="hybridMultilevel"/>
    <w:lvl w:ilvl="0">
      <w:lvlJc w:val="left"/>
      <w:lvlText w:val="%1:"/>
      <w:numFmt w:val="upperLetter"/>
      <w:start w:val="17"/>
    </w:lvl>
  </w:abstractNum>
  <w:abstractNum w:abstractNumId="93">
    <w:nsid w:val="45E6D486"/>
    <w:multiLevelType w:val="hybridMultilevel"/>
    <w:lvl w:ilvl="0">
      <w:lvlJc w:val="left"/>
      <w:lvlText w:val="%1:"/>
      <w:numFmt w:val="upperLetter"/>
      <w:start w:val="1"/>
    </w:lvl>
  </w:abstractNum>
  <w:abstractNum w:abstractNumId="94">
    <w:nsid w:val="5C10FE21"/>
    <w:multiLevelType w:val="hybridMultilevel"/>
    <w:lvl w:ilvl="0">
      <w:lvlJc w:val="left"/>
      <w:lvlText w:val="%1:"/>
      <w:numFmt w:val="upperLetter"/>
      <w:start w:val="1"/>
    </w:lvl>
  </w:abstractNum>
  <w:abstractNum w:abstractNumId="95">
    <w:nsid w:val="E7FFA2B"/>
    <w:multiLevelType w:val="hybridMultilevel"/>
    <w:lvl w:ilvl="0">
      <w:lvlJc w:val="left"/>
      <w:lvlText w:val="%1:"/>
      <w:numFmt w:val="upperLetter"/>
      <w:start w:val="17"/>
    </w:lvl>
  </w:abstractNum>
  <w:abstractNum w:abstractNumId="96">
    <w:nsid w:val="3C5991AA"/>
    <w:multiLevelType w:val="hybridMultilevel"/>
    <w:lvl w:ilvl="0">
      <w:lvlJc w:val="left"/>
      <w:lvlText w:val="%1:"/>
      <w:numFmt w:val="upperLetter"/>
      <w:start w:val="1"/>
    </w:lvl>
  </w:abstractNum>
  <w:abstractNum w:abstractNumId="97">
    <w:nsid w:val="4BD8591A"/>
    <w:multiLevelType w:val="hybridMultilevel"/>
    <w:lvl w:ilvl="0">
      <w:lvlJc w:val="left"/>
      <w:lvlText w:val="%1:"/>
      <w:numFmt w:val="upperLetter"/>
      <w:start w:val="1"/>
    </w:lvl>
  </w:abstractNum>
  <w:abstractNum w:abstractNumId="98">
    <w:nsid w:val="78DF6A55"/>
    <w:multiLevelType w:val="hybridMultilevel"/>
    <w:lvl w:ilvl="0">
      <w:lvlJc w:val="left"/>
      <w:lvlText w:val="%1:"/>
      <w:numFmt w:val="upperLetter"/>
      <w:start w:val="17"/>
    </w:lvl>
    <w:lvl w:ilvl="1">
      <w:lvlJc w:val="left"/>
      <w:lvlText w:val="%2:"/>
      <w:numFmt w:val="upperLetter"/>
      <w:start w:val="1"/>
    </w:lvl>
  </w:abstractNum>
  <w:abstractNum w:abstractNumId="99">
    <w:nsid w:val="39B7AAA2"/>
    <w:multiLevelType w:val="hybridMultilevel"/>
    <w:lvl w:ilvl="0">
      <w:lvlJc w:val="left"/>
      <w:lvlText w:val="%1:"/>
      <w:numFmt w:val="upperLetter"/>
      <w:start w:val="1"/>
    </w:lvl>
  </w:abstractNum>
  <w:abstractNum w:abstractNumId="100">
    <w:nsid w:val="2B0D8DBE"/>
    <w:multiLevelType w:val="hybridMultilevel"/>
    <w:lvl w:ilvl="0">
      <w:lvlJc w:val="left"/>
      <w:lvlText w:val="%1:"/>
      <w:numFmt w:val="upperLetter"/>
      <w:start w:val="1"/>
    </w:lvl>
  </w:abstractNum>
  <w:abstractNum w:abstractNumId="101">
    <w:nsid w:val="6C80EC70"/>
    <w:multiLevelType w:val="hybridMultilevel"/>
    <w:lvl w:ilvl="0">
      <w:lvlJc w:val="left"/>
      <w:lvlText w:val="%1:"/>
      <w:numFmt w:val="upperLetter"/>
      <w:start w:val="1"/>
    </w:lvl>
  </w:abstractNum>
  <w:abstractNum w:abstractNumId="102">
    <w:nsid w:val="379E21B5"/>
    <w:multiLevelType w:val="hybridMultilevel"/>
    <w:lvl w:ilvl="0">
      <w:lvlJc w:val="left"/>
      <w:lvlText w:val="%1:"/>
      <w:numFmt w:val="upperLetter"/>
      <w:start w:val="1"/>
    </w:lvl>
  </w:abstractNum>
  <w:abstractNum w:abstractNumId="103">
    <w:nsid w:val="69E373"/>
    <w:multiLevelType w:val="hybridMultilevel"/>
    <w:lvl w:ilvl="0">
      <w:lvlJc w:val="left"/>
      <w:lvlText w:val="%1:"/>
      <w:numFmt w:val="upperLetter"/>
      <w:start w:val="1"/>
    </w:lvl>
  </w:abstractNum>
  <w:abstractNum w:abstractNumId="104">
    <w:nsid w:val="2C27173B"/>
    <w:multiLevelType w:val="hybridMultilevel"/>
    <w:lvl w:ilvl="0">
      <w:lvlJc w:val="left"/>
      <w:lvlText w:val="%1:"/>
      <w:numFmt w:val="upperLetter"/>
      <w:start w:val="1"/>
    </w:lvl>
  </w:abstractNum>
  <w:abstractNum w:abstractNumId="105">
    <w:nsid w:val="4C9B0904"/>
    <w:multiLevelType w:val="hybridMultilevel"/>
    <w:lvl w:ilvl="0">
      <w:lvlJc w:val="left"/>
      <w:lvlText w:val="%1:"/>
      <w:numFmt w:val="upperLetter"/>
      <w:start w:val="1"/>
    </w:lvl>
  </w:abstractNum>
  <w:abstractNum w:abstractNumId="106">
    <w:nsid w:val="6AA7B75C"/>
    <w:multiLevelType w:val="hybridMultilevel"/>
    <w:lvl w:ilvl="0">
      <w:lvlJc w:val="left"/>
      <w:lvlText w:val="%1:"/>
      <w:numFmt w:val="upperLetter"/>
      <w:start w:val="1"/>
    </w:lvl>
  </w:abstractNum>
  <w:abstractNum w:abstractNumId="107">
    <w:nsid w:val="1DF029D3"/>
    <w:multiLevelType w:val="hybridMultilevel"/>
    <w:lvl w:ilvl="0">
      <w:lvlJc w:val="left"/>
      <w:lvlText w:val="%1"/>
      <w:numFmt w:val="upperLetter"/>
      <w:start w:val="1"/>
    </w:lvl>
    <w:lvl w:ilvl="1">
      <w:lvlJc w:val="left"/>
      <w:lvlText w:val="%2:"/>
      <w:numFmt w:val="upperLetter"/>
      <w:start w:val="17"/>
    </w:lvl>
  </w:abstractNum>
  <w:abstractNum w:abstractNumId="108">
    <w:nsid w:val="5675FF36"/>
    <w:multiLevelType w:val="hybridMultilevel"/>
    <w:lvl w:ilvl="0">
      <w:lvlJc w:val="left"/>
      <w:lvlText w:val="%1:"/>
      <w:numFmt w:val="upperLetter"/>
      <w:start w:val="1"/>
    </w:lvl>
    <w:lvl w:ilvl="1">
      <w:lvlJc w:val="left"/>
      <w:lvlText w:val="%2:"/>
      <w:numFmt w:val="upperLetter"/>
      <w:start w:val="17"/>
    </w:lvl>
  </w:abstractNum>
  <w:abstractNum w:abstractNumId="109">
    <w:nsid w:val="3DD15094"/>
    <w:multiLevelType w:val="hybridMultilevel"/>
    <w:lvl w:ilvl="0">
      <w:lvlJc w:val="left"/>
      <w:lvlText w:val="%1:"/>
      <w:numFmt w:val="upperLetter"/>
      <w:start w:val="1"/>
    </w:lvl>
  </w:abstractNum>
  <w:abstractNum w:abstractNumId="110">
    <w:nsid w:val="3DB012B3"/>
    <w:multiLevelType w:val="hybridMultilevel"/>
    <w:lvl w:ilvl="0">
      <w:lvlJc w:val="left"/>
      <w:lvlText w:val="%1:"/>
      <w:numFmt w:val="upperLetter"/>
      <w:start w:val="1"/>
    </w:lvl>
  </w:abstractNum>
  <w:abstractNum w:abstractNumId="111">
    <w:nsid w:val="2708C9AF"/>
    <w:multiLevelType w:val="hybridMultilevel"/>
    <w:lvl w:ilvl="0">
      <w:lvlJc w:val="left"/>
      <w:lvlText w:val="%1:"/>
      <w:numFmt w:val="upperLetter"/>
      <w:start w:val="1"/>
    </w:lvl>
  </w:abstractNum>
  <w:abstractNum w:abstractNumId="112">
    <w:nsid w:val="5B25ACE2"/>
    <w:multiLevelType w:val="hybridMultilevel"/>
    <w:lvl w:ilvl="0">
      <w:lvlJc w:val="left"/>
      <w:lvlText w:val="%1:"/>
      <w:numFmt w:val="upperLetter"/>
      <w:start w:val="1"/>
    </w:lvl>
  </w:abstractNum>
  <w:abstractNum w:abstractNumId="113">
    <w:nsid w:val="175DFCF0"/>
    <w:multiLevelType w:val="hybridMultilevel"/>
    <w:lvl w:ilvl="0">
      <w:lvlJc w:val="left"/>
      <w:lvlText w:val="%1:"/>
      <w:numFmt w:val="upperLetter"/>
      <w:start w:val="1"/>
    </w:lvl>
  </w:abstractNum>
  <w:abstractNum w:abstractNumId="114">
    <w:nsid w:val="4F97E3E4"/>
    <w:multiLevelType w:val="hybridMultilevel"/>
    <w:lvl w:ilvl="0">
      <w:lvlJc w:val="left"/>
      <w:lvlText w:val="%1:"/>
      <w:numFmt w:val="upperLetter"/>
      <w:start w:val="1"/>
    </w:lvl>
  </w:abstractNum>
  <w:abstractNum w:abstractNumId="115">
    <w:nsid w:val="53B0A9E"/>
    <w:multiLevelType w:val="hybridMultilevel"/>
    <w:lvl w:ilvl="0">
      <w:lvlJc w:val="left"/>
      <w:lvlText w:val="%1:"/>
      <w:numFmt w:val="upperLetter"/>
      <w:start w:val="1"/>
    </w:lvl>
  </w:abstractNum>
  <w:abstractNum w:abstractNumId="116">
    <w:nsid w:val="34FD6B4F"/>
    <w:multiLevelType w:val="hybridMultilevel"/>
    <w:lvl w:ilvl="0">
      <w:lvlJc w:val="left"/>
      <w:lvlText w:val="%1:"/>
      <w:numFmt w:val="upperLetter"/>
      <w:start w:val="1"/>
    </w:lvl>
  </w:abstractNum>
  <w:abstractNum w:abstractNumId="117">
    <w:nsid w:val="5915FF32"/>
    <w:multiLevelType w:val="hybridMultilevel"/>
    <w:lvl w:ilvl="0">
      <w:lvlJc w:val="left"/>
      <w:lvlText w:val="%1:"/>
      <w:numFmt w:val="upperLetter"/>
      <w:start w:val="1"/>
    </w:lvl>
  </w:abstractNum>
  <w:abstractNum w:abstractNumId="118">
    <w:nsid w:val="56438D15"/>
    <w:multiLevelType w:val="hybridMultilevel"/>
    <w:lvl w:ilvl="0">
      <w:lvlJc w:val="left"/>
      <w:lvlText w:val="%1."/>
      <w:numFmt w:val="decimal"/>
      <w:start w:val="1"/>
    </w:lvl>
    <w:lvl w:ilvl="1">
      <w:lvlJc w:val="left"/>
      <w:lvlText w:val="%2."/>
      <w:numFmt w:val="lowerLetter"/>
      <w:start w:val="1"/>
    </w:lvl>
  </w:abstractNum>
  <w:abstractNum w:abstractNumId="119">
    <w:nsid w:val="519E3149"/>
    <w:multiLevelType w:val="hybridMultilevel"/>
    <w:lvl w:ilvl="0">
      <w:lvlJc w:val="left"/>
      <w:lvlText w:val="%1."/>
      <w:numFmt w:val="decimal"/>
      <w:start w:val="1"/>
    </w:lvl>
    <w:lvl w:ilvl="1">
      <w:lvlJc w:val="left"/>
      <w:lvlText w:val="%2."/>
      <w:numFmt w:val="lowerLetter"/>
      <w:start w:val="1"/>
    </w:lvl>
  </w:abstractNum>
  <w:abstractNum w:abstractNumId="120">
    <w:nsid w:val="2C6E4AFD"/>
    <w:multiLevelType w:val="hybridMultilevel"/>
    <w:lvl w:ilvl="0">
      <w:lvlJc w:val="left"/>
      <w:lvlText w:val="%1."/>
      <w:numFmt w:val="lowerLetter"/>
      <w:start w:val="1"/>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decimal"/>
      <w:start w:val="2"/>
    </w:lvl>
  </w:abstractNum>
  <w:abstractNum w:abstractNumId="124">
    <w:nsid w:val="5D888A08"/>
    <w:multiLevelType w:val="hybridMultilevel"/>
    <w:lvl w:ilvl="0">
      <w:lvlJc w:val="left"/>
      <w:lvlText w:val="%1."/>
      <w:numFmt w:val="decimal"/>
      <w:start w:val="3"/>
    </w:lvl>
  </w:abstractNum>
  <w:abstractNum w:abstractNumId="125">
    <w:nsid w:val="2A082C7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6">
    <w:nsid w:val="5EC6AFD4"/>
    <w:multiLevelType w:val="hybridMultilevel"/>
    <w:lvl w:ilvl="0">
      <w:lvlJc w:val="left"/>
      <w:lvlText w:val="%1"/>
      <w:numFmt w:val="decimal"/>
      <w:start w:val="1"/>
    </w:lvl>
    <w:lvl w:ilvl="1">
      <w:lvlJc w:val="left"/>
      <w:lvlText w:val="(%2)"/>
      <w:numFmt w:val="lowerLetter"/>
      <w:start w:val="5"/>
    </w:lvl>
  </w:abstractNum>
  <w:abstractNum w:abstractNumId="127">
    <w:nsid w:val="19E21BB2"/>
    <w:multiLevelType w:val="hybridMultilevel"/>
    <w:lvl w:ilvl="0">
      <w:lvlJc w:val="left"/>
      <w:lvlText w:val="%1."/>
      <w:numFmt w:val="decimal"/>
      <w:start w:val="5"/>
    </w:lvl>
    <w:lvl w:ilvl="1">
      <w:lvlJc w:val="left"/>
      <w:lvlText w:val="%2"/>
      <w:numFmt w:val="lowerLetter"/>
      <w:start w:val="1"/>
    </w:lvl>
  </w:abstractNum>
  <w:abstractNum w:abstractNumId="128">
    <w:nsid w:val="75E0858A"/>
    <w:multiLevelType w:val="hybridMultilevel"/>
    <w:lvl w:ilvl="0">
      <w:lvlJc w:val="left"/>
      <w:lvlText w:val="%1."/>
      <w:numFmt w:val="decimal"/>
      <w:start w:val="6"/>
    </w:lvl>
  </w:abstractNum>
  <w:abstractNum w:abstractNumId="129">
    <w:nsid w:val="57A61A29"/>
    <w:multiLevelType w:val="hybridMultilevel"/>
    <w:lvl w:ilvl="0">
      <w:lvlJc w:val="left"/>
      <w:lvlText w:val="%1."/>
      <w:numFmt w:val="decimal"/>
      <w:start w:val="7"/>
    </w:lvl>
  </w:abstractNum>
  <w:abstractNum w:abstractNumId="130">
    <w:nsid w:val="5399C654"/>
    <w:multiLevelType w:val="hybridMultilevel"/>
    <w:lvl w:ilvl="0">
      <w:lvlJc w:val="left"/>
      <w:lvlText w:val="%1."/>
      <w:numFmt w:val="decimal"/>
      <w:start w:val="8"/>
    </w:lvl>
  </w:abstractNum>
  <w:abstractNum w:abstractNumId="131">
    <w:nsid w:val="20EE134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jpe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78" Type="http://schemas.openxmlformats.org/officeDocument/2006/relationships/hyperlink" Target="https://www.sec.gov/ix?doc=/Archives/edgar/data/1577526/000162828022017829/ai-20220430.htm" TargetMode="External"/><Relationship Id="rId181" Type="http://schemas.openxmlformats.org/officeDocument/2006/relationships/hyperlink" Target="https://www.sec.gov/Archives/edgar/data/0001577526/000162828020017407/exhibit31-8xk.htm" TargetMode="External"/><Relationship Id="rId182" Type="http://schemas.openxmlformats.org/officeDocument/2006/relationships/hyperlink" Target="https://www.sec.gov/Archives/edgar/data/1577526/000162828020016868/exhibit34-sx1a2.htm" TargetMode="External"/><Relationship Id="rId183" Type="http://schemas.openxmlformats.org/officeDocument/2006/relationships/hyperlink" Target="https://www.sec.gov/Archives/edgar/data/1577526/000162828020016868/exhibit41-sx1a2.htm" TargetMode="External"/><Relationship Id="rId184" Type="http://schemas.openxmlformats.org/officeDocument/2006/relationships/hyperlink" Target="https://www.sec.gov/Archives/edgar/data/1577526/000162828020016726/exhibit42-sx1a1.htm" TargetMode="External"/><Relationship Id="rId185" Type="http://schemas.openxmlformats.org/officeDocument/2006/relationships/hyperlink" Target="https://www.sec.gov/Archives/edgar/data/1577526/000162828021012990/exhibit421.htm" TargetMode="External"/><Relationship Id="rId186" Type="http://schemas.openxmlformats.org/officeDocument/2006/relationships/hyperlink" Target="https://www.sec.gov/Archives/edgar/data/1577526/000162828020016443/exhibit43s-1.htm" TargetMode="External"/><Relationship Id="rId187" Type="http://schemas.openxmlformats.org/officeDocument/2006/relationships/hyperlink" Target="https://www.sec.gov/Archives/edgar/data/1577526/000162828021012990/exhibit44.htm" TargetMode="External"/><Relationship Id="rId188" Type="http://schemas.openxmlformats.org/officeDocument/2006/relationships/hyperlink" Target="https://www.sec.gov/Archives/edgar/data/1577526/000162828020016443/exhibit101-sx1.htm" TargetMode="External"/><Relationship Id="rId189" Type="http://schemas.openxmlformats.org/officeDocument/2006/relationships/hyperlink" Target="https://www.sec.gov/Archives/edgar/data/1577526/000162828023040969/ex101-c3aixamended2020equi.htm" TargetMode="External"/><Relationship Id="rId190" Type="http://schemas.openxmlformats.org/officeDocument/2006/relationships/hyperlink" Target="https://www.sec.gov/Archives/edgar/data/1577526/000162828020016868/exhibit103-sx1a2.htm" TargetMode="External"/><Relationship Id="rId191" Type="http://schemas.openxmlformats.org/officeDocument/2006/relationships/hyperlink" Target="https://www.sec.gov/Archives/edgar/data/1577526/000162828020016443/exhibit104-sx1.htm" TargetMode="External"/><Relationship Id="rId192" Type="http://schemas.openxmlformats.org/officeDocument/2006/relationships/hyperlink" Target="https://www.sec.gov/Archives/edgar/data/1577526/000162828020016443/exhibit105-sx1.htm" TargetMode="External"/><Relationship Id="rId193" Type="http://schemas.openxmlformats.org/officeDocument/2006/relationships/hyperlink" Target="https://www.sec.gov/Archives/edgar/data/1577526/000162828020016443/exhibit106-sx1.htm" TargetMode="External"/><Relationship Id="rId196" Type="http://schemas.openxmlformats.org/officeDocument/2006/relationships/hyperlink" Target="https://www.sec.gov/Archives/edgar/data/0001577526/000162828021003652/ex101-advisoryagreements.htm" TargetMode="External"/><Relationship Id="rId197" Type="http://schemas.openxmlformats.org/officeDocument/2006/relationships/hyperlink" Target="https://www.sec.gov/Archives/edgar/data/0001577526/000119312521071595/d116036dex101.htm" TargetMode="External"/><Relationship Id="rId198" Type="http://schemas.openxmlformats.org/officeDocument/2006/relationships/hyperlink" Target="https://www.sec.gov/Archives/edgar/data/1577526/000162828020016443/exhibit107-sx1.htm" TargetMode="External"/><Relationship Id="rId199" Type="http://schemas.openxmlformats.org/officeDocument/2006/relationships/hyperlink" Target="https://www.sec.gov/Archives/edgar/data/1577526/000162828020016443/exhibit108-sx1.htm" TargetMode="External"/><Relationship Id="rId200" Type="http://schemas.openxmlformats.org/officeDocument/2006/relationships/hyperlink" Target="https://www.sec.gov/Archives/edgar/data/1577526/000162828020016443/exhibit109-sx1.htm" TargetMode="External"/><Relationship Id="rId201" Type="http://schemas.openxmlformats.org/officeDocument/2006/relationships/hyperlink" Target="https://www.sec.gov/Archives/edgar/data/1577526/000162828021024342/exhibit101.htm" TargetMode="External"/><Relationship Id="rId202" Type="http://schemas.openxmlformats.org/officeDocument/2006/relationships/hyperlink" Target="https://www.sec.gov/Archives/edgar/data/1577526/000162828022017829/fy22exhibit1094.htm" TargetMode="External"/><Relationship Id="rId203" Type="http://schemas.openxmlformats.org/officeDocument/2006/relationships/hyperlink" Target="https://www.sec.gov/Archives/edgar/data/1577526/000162828023006164/exhibit-101.htm" TargetMode="External"/><Relationship Id="rId204" Type="http://schemas.openxmlformats.org/officeDocument/2006/relationships/hyperlink" Target="https://www.sec.gov/Archives/edgar/data/1577526/000162828020016443/exhibit1010-sx1.htm" TargetMode="External"/><Relationship Id="rId205" Type="http://schemas.openxmlformats.org/officeDocument/2006/relationships/hyperlink" Target="https://www.sec.gov/Archives/edgar/data/1577526/000162828020016443/exhibit1011-sx1.htm" TargetMode="External"/><Relationship Id="rId206" Type="http://schemas.openxmlformats.org/officeDocument/2006/relationships/hyperlink" Target="https://www.sec.gov/Archives/edgar/data/1577526/000162828020016443/exhibit1012-sx1.htm" TargetMode="External"/><Relationship Id="rId207" Type="http://schemas.openxmlformats.org/officeDocument/2006/relationships/hyperlink" Target="https://www.sec.gov/Archives/edgar/data/1577526/000162828021024342/exhibit104.htm" TargetMode="External"/><Relationship Id="rId208" Type="http://schemas.openxmlformats.org/officeDocument/2006/relationships/hyperlink" Target="https://www.sec.gov/Archives/edgar/data/1577526/000162828020016868/exhibit1013-sx1a2.htm" TargetMode="External"/><Relationship Id="rId209" Type="http://schemas.openxmlformats.org/officeDocument/2006/relationships/hyperlink" Target="https://www.sec.gov/Archives/edgar/data/1577526/000162828020016868/exhibit1014-sx1a2.htm" TargetMode="External"/><Relationship Id="rId210" Type="http://schemas.openxmlformats.org/officeDocument/2006/relationships/hyperlink" Target="https://www.sec.gov/Archives/edgar/data/1577526/000162828021024342/exhibit102.htm" TargetMode="External"/><Relationship Id="rId211" Type="http://schemas.openxmlformats.org/officeDocument/2006/relationships/hyperlink" Target="https://www.sec.gov/Archives/edgar/data/1577526/000162828022004683/exhibit101-juhoparkkinenxc.htm" TargetMode="External"/><Relationship Id="rId212" Type="http://schemas.openxmlformats.org/officeDocument/2006/relationships/hyperlink" Target="https://www.sec.gov/ix?doc=/Archives/edgar/data/1577526/000162828023040969/ai-20231031.htm" TargetMode="External"/><Relationship Id="rId213" Type="http://schemas.openxmlformats.org/officeDocument/2006/relationships/hyperlink" Target="https://www.sec.gov/ix?doc=/Archives/edgar/data/1577526/000162828024007744/ai-20240131.htm" TargetMode="External"/><Relationship Id="rId214" Type="http://schemas.openxmlformats.org/officeDocument/2006/relationships/hyperlink" Target="https://www.sec.gov/Archives/edgar/data/1577526/000162828023040969/ex102-offerletterbyandbetw.htm" TargetMode="External"/><Relationship Id="rId215" Type="http://schemas.openxmlformats.org/officeDocument/2006/relationships/hyperlink" Target="https://www.sec.gov/Archives/edgar/data/1577526/000162828024007744/exhibit101-offerletterby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2024-06-18T15:29:06Z</dcterms:created>
  <dcterms:modified xsi:type="dcterms:W3CDTF">2024-06-18T15:29:06Z</dcterms:modified>
</cp:coreProperties>
</file>