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U.S. Securities and Exchange Commission on June 23, 2026</w:t>
      </w:r>
    </w:p>
    <w:tbl>
      <w:tblPr>
        <w:tblW w:w="1964" w:type="dxa"/>
        <w:jc w:val="left"/>
        <w:tblInd w:w="0" w:type="dxa"/>
        <w:tblLayout w:type="fixed"/>
        <w:tblCellMar>
          <w:top w:w="28" w:type="dxa"/>
          <w:left w:w="28" w:type="dxa"/>
          <w:bottom w:w="28" w:type="dxa"/>
          <w:right w:w="28" w:type="dxa"/>
        </w:tblCellMar>
      </w:tblPr>
      <w:tblGrid>
        <w:gridCol w:w="628"/>
        <w:gridCol w:w="552"/>
        <w:gridCol w:w="784"/>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bottom w:val="doub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Registration No. 333-</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C3.ai,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26-3999357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60" w:after="283"/>
        <w:jc w:val="center"/>
        <w:rPr/>
      </w:pPr>
      <w:r>
        <w:rPr/>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1400 Seaport Blvd,</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 xml:space="preserve">Redwood City, California 94063 </w:t>
      </w:r>
    </w:p>
    <w:p>
      <w:pPr>
        <w:pStyle w:val="TextBody"/>
        <w:bidi w:val="0"/>
        <w:spacing w:lineRule="auto" w:line="288" w:before="30" w:after="2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 xml:space="preserve">C3.ai, Inc. 2020 Equity Incentive Plan </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 xml:space="preserve">C3.ai, Inc. 2020 Employee Stock Purchase Plan </w:t>
      </w:r>
    </w:p>
    <w:p>
      <w:pPr>
        <w:pStyle w:val="TextBody"/>
        <w:bidi w:val="0"/>
        <w:spacing w:lineRule="auto" w:line="288" w:before="3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(Full titles of the plans) </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Thomas M. Siebel</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 xml:space="preserve">C3.ai, Inc. </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1400 Seaport Blvd</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Redwood City, California 94063</w:t>
      </w:r>
    </w:p>
    <w:p>
      <w:pPr>
        <w:pStyle w:val="TextBody"/>
        <w:bidi w:val="0"/>
        <w:spacing w:lineRule="auto" w:line="288" w:before="30" w:after="240"/>
        <w:jc w:val="center"/>
        <w:rPr>
          <w:rFonts w:ascii="Times New Roman;serif" w:hAnsi="Times New Roman;serif"/>
          <w:b w:val="false"/>
          <w:color w:val="000000"/>
          <w:sz w:val="20"/>
        </w:rPr>
      </w:pPr>
      <w:r>
        <w:rPr>
          <w:rFonts w:ascii="Times New Roman;serif" w:hAnsi="Times New Roman;serif"/>
          <w:b w:val="false"/>
          <w:color w:val="000000"/>
          <w:sz w:val="20"/>
        </w:rPr>
        <w:t>(Name and address of agent for service)</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 xml:space="preserve">(650) 503-2200 </w:t>
      </w:r>
    </w:p>
    <w:p>
      <w:pPr>
        <w:pStyle w:val="TextBody"/>
        <w:bidi w:val="0"/>
        <w:spacing w:lineRule="auto" w:line="288" w:before="20" w:after="12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071" w:type="dxa"/>
        <w:jc w:val="left"/>
        <w:tblInd w:w="0" w:type="dxa"/>
        <w:tblLayout w:type="fixed"/>
        <w:tblCellMar>
          <w:top w:w="28" w:type="dxa"/>
          <w:left w:w="28" w:type="dxa"/>
          <w:bottom w:w="28" w:type="dxa"/>
          <w:right w:w="28" w:type="dxa"/>
        </w:tblCellMar>
      </w:tblPr>
      <w:tblGrid>
        <w:gridCol w:w="530"/>
        <w:gridCol w:w="466"/>
        <w:gridCol w:w="466"/>
        <w:gridCol w:w="466"/>
        <w:gridCol w:w="466"/>
        <w:gridCol w:w="677"/>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07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Copies to:</w:t>
            </w:r>
          </w:p>
        </w:tc>
      </w:tr>
      <w:tr>
        <w:trPr/>
        <w:tc>
          <w:tcPr>
            <w:tcW w:w="307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Katherine A. Martin</w:t>
            </w:r>
          </w:p>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Lauren B. Lichtblau</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Wilson Sonsini Goodrich &amp; Rosati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Page Mill Road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Palo Alto, California 94304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493-9300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C3.ai, Inc. (the “Registrant”) is filing this Registration Statement with the Securities and Exchange Commission (the “Commission”) to register (i) 10,360,509 shares of its Class A common stock under the Registrant's 2020 Equity Incentive Plan (the “2020 Plan”), pursuant to the provisions of the 2020 Plan providing for an automatic increase in the number of shares of Class A Common Stock reserved and available for issuance under the 2020 Plan on May 1, 2026, and (ii) 1,480,072 shares of its Class A common stock under the Registrant's 2020 Employee Stock Purchase Plan (the “2020 ESPP”), pursuant to the provisions of the 2020 ESPP providing for an automatic increase in the number of shares of Class A common stock reserved and available for issuance under the 2020 ESPP on May 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the instructional note to Part I of Form S-8 as promulgated by the Commission, the information specified by Part I of the Form S-8 has been omitted from this Registration Statement.</w:t>
      </w:r>
    </w:p>
    <w:p>
      <w:pPr>
        <w:pStyle w:val="TextBody"/>
        <w:bidi w:val="0"/>
        <w:spacing w:lineRule="auto" w:line="288" w:before="0" w:after="180"/>
        <w:jc w:val="both"/>
        <w:rPr/>
      </w:pPr>
      <w:r>
        <w:rPr>
          <w:rFonts w:ascii="Times New Roman;serif" w:hAnsi="Times New Roman;serif"/>
          <w:b w:val="false"/>
          <w:color w:val="000000"/>
          <w:sz w:val="20"/>
        </w:rPr>
        <w:t xml:space="preserve">These additional shares of Class A common stock are securities of the same class as other securities for which the Registration Statements on Form S-8 were filed with the Commission on </w:t>
      </w:r>
      <w:hyperlink r:id="rId2">
        <w:r>
          <w:rPr>
            <w:rStyle w:val="InternetLink"/>
            <w:rFonts w:ascii="Times New Roman;serif" w:hAnsi="Times New Roman;serif"/>
            <w:b w:val="false"/>
            <w:color w:val="0000FF"/>
            <w:sz w:val="20"/>
            <w:u w:val="single"/>
          </w:rPr>
          <w:t>December 9, 2020</w:t>
        </w:r>
      </w:hyperlink>
      <w:r>
        <w:rPr>
          <w:color w:val="000000"/>
        </w:rPr>
        <w:t xml:space="preserve"> </w:t>
      </w:r>
      <w:r>
        <w:rPr>
          <w:rFonts w:ascii="Times New Roman;serif" w:hAnsi="Times New Roman;serif"/>
          <w:b w:val="false"/>
          <w:color w:val="000000"/>
          <w:sz w:val="20"/>
        </w:rPr>
        <w:t xml:space="preserve">(File No. 333-251236), </w:t>
      </w:r>
      <w:hyperlink r:id="rId3">
        <w:r>
          <w:rPr>
            <w:rStyle w:val="InternetLink"/>
            <w:rFonts w:ascii="Times New Roman;serif" w:hAnsi="Times New Roman;serif"/>
            <w:b w:val="false"/>
            <w:color w:val="0000FF"/>
            <w:sz w:val="20"/>
            <w:u w:val="single"/>
          </w:rPr>
          <w:t>June 28, 2021</w:t>
        </w:r>
      </w:hyperlink>
      <w:r>
        <w:rPr>
          <w:color w:val="000000"/>
        </w:rPr>
        <w:t xml:space="preserve"> </w:t>
      </w:r>
      <w:r>
        <w:rPr>
          <w:rFonts w:ascii="Times New Roman;serif" w:hAnsi="Times New Roman;serif"/>
          <w:b w:val="false"/>
          <w:color w:val="000000"/>
          <w:sz w:val="20"/>
        </w:rPr>
        <w:t xml:space="preserve">(File No. 333-257452), </w:t>
      </w:r>
      <w:hyperlink r:id="rId4">
        <w:r>
          <w:rPr>
            <w:rStyle w:val="InternetLink"/>
            <w:rFonts w:ascii="Times New Roman;serif" w:hAnsi="Times New Roman;serif"/>
            <w:b w:val="false"/>
            <w:color w:val="0000FF"/>
            <w:sz w:val="20"/>
            <w:u w:val="single"/>
          </w:rPr>
          <w:t>June 23, 2022</w:t>
        </w:r>
      </w:hyperlink>
      <w:r>
        <w:rPr>
          <w:color w:val="000000"/>
        </w:rPr>
        <w:t xml:space="preserve"> </w:t>
      </w:r>
      <w:r>
        <w:rPr>
          <w:rFonts w:ascii="Times New Roman;serif" w:hAnsi="Times New Roman;serif"/>
          <w:b w:val="false"/>
          <w:color w:val="000000"/>
          <w:sz w:val="20"/>
        </w:rPr>
        <w:t xml:space="preserve">(File No. 333-265781), </w:t>
      </w:r>
      <w:hyperlink r:id="rId5">
        <w:r>
          <w:rPr>
            <w:rStyle w:val="InternetLink"/>
            <w:rFonts w:ascii="Times New Roman;serif" w:hAnsi="Times New Roman;serif"/>
            <w:b w:val="false"/>
            <w:color w:val="0000FF"/>
            <w:sz w:val="20"/>
            <w:u w:val="single"/>
          </w:rPr>
          <w:t>June 21, 2023</w:t>
        </w:r>
      </w:hyperlink>
      <w:r>
        <w:rPr>
          <w:color w:val="000000"/>
        </w:rPr>
        <w:t xml:space="preserve"> </w:t>
      </w:r>
      <w:r>
        <w:rPr>
          <w:rFonts w:ascii="Times New Roman;serif" w:hAnsi="Times New Roman;serif"/>
          <w:b w:val="false"/>
          <w:color w:val="000000"/>
          <w:sz w:val="20"/>
        </w:rPr>
        <w:t xml:space="preserve">(File No. 333-272819), </w:t>
      </w:r>
      <w:hyperlink r:id="rId6">
        <w:r>
          <w:rPr>
            <w:rStyle w:val="InternetLink"/>
            <w:rFonts w:ascii="Times New Roman;serif" w:hAnsi="Times New Roman;serif"/>
            <w:b w:val="false"/>
            <w:color w:val="0000FF"/>
            <w:sz w:val="20"/>
            <w:u w:val="single"/>
          </w:rPr>
          <w:t>June 18, 2024</w:t>
        </w:r>
      </w:hyperlink>
      <w:r>
        <w:rPr>
          <w:color w:val="000000"/>
        </w:rPr>
        <w:t xml:space="preserve"> </w:t>
      </w:r>
      <w:r>
        <w:rPr>
          <w:rFonts w:ascii="Times New Roman;serif" w:hAnsi="Times New Roman;serif"/>
          <w:b w:val="false"/>
          <w:color w:val="000000"/>
          <w:sz w:val="20"/>
        </w:rPr>
        <w:t xml:space="preserve">(File No. 333-280307) and </w:t>
      </w:r>
      <w:hyperlink r:id="rId7">
        <w:r>
          <w:rPr>
            <w:rStyle w:val="InternetLink"/>
            <w:rFonts w:ascii="Times New Roman;serif" w:hAnsi="Times New Roman;serif"/>
            <w:b w:val="false"/>
            <w:color w:val="0000FF"/>
            <w:sz w:val="20"/>
            <w:u w:val="single"/>
          </w:rPr>
          <w:t>June 23, 2025</w:t>
        </w:r>
      </w:hyperlink>
      <w:r>
        <w:rPr>
          <w:color w:val="000000"/>
        </w:rPr>
        <w:t xml:space="preserve"> </w:t>
      </w:r>
      <w:r>
        <w:rPr>
          <w:rFonts w:ascii="Times New Roman;serif" w:hAnsi="Times New Roman;serif"/>
          <w:b w:val="false"/>
          <w:color w:val="000000"/>
          <w:sz w:val="20"/>
        </w:rPr>
        <w:t>(File No. 333-288236) (collectively, the “Prior Registration Statements”).</w:t>
      </w:r>
    </w:p>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INCORPORATION OF CERTAIN DOCUMENTS BY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filed by the Registrant with the Commission are incorporated by reference into this Registration Statement: </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Registrant’s Annual Report on Form 10-K for the fiscal year ended April 30, 2026 filed with the Commission on June 23, 2026;</w:t>
      </w:r>
    </w:p>
    <w:p>
      <w:pPr>
        <w:pStyle w:val="TextBody"/>
        <w:bidi w:val="0"/>
        <w:spacing w:lineRule="auto" w:line="288" w:before="0" w:after="200"/>
        <w:ind w:left="0" w:right="0" w:hanging="360"/>
        <w:jc w:val="both"/>
        <w:rPr/>
      </w:pPr>
      <w:r>
        <w:rPr>
          <w:rFonts w:ascii="Times New Roman;serif" w:hAnsi="Times New Roman;serif"/>
          <w:b w:val="false"/>
          <w:color w:val="000000"/>
          <w:sz w:val="20"/>
        </w:rPr>
        <w:t xml:space="preserve">b.The description of the Registrant’s Class A common stock contained in the Registrant’s Registration Statement on </w:t>
      </w:r>
      <w:hyperlink r:id="rId8">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filed with the Commission on November 30, 2020 (File No. 001-39744) under Section 12(b) of the Securities Exchange Act of 1934, as amended (the “Exchange Act”), including any amendments or reports filed for the purpose of updating such description; and </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General Instruction E to Form S-8, the contents of the Prior Registration Statements are incorporated by reference and a part hereof.</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44"/>
        <w:gridCol w:w="302"/>
        <w:gridCol w:w="303"/>
        <w:gridCol w:w="1766"/>
        <w:gridCol w:w="1766"/>
        <w:gridCol w:w="1783"/>
        <w:gridCol w:w="195"/>
        <w:gridCol w:w="195"/>
        <w:gridCol w:w="196"/>
        <w:gridCol w:w="356"/>
        <w:gridCol w:w="334"/>
        <w:gridCol w:w="271"/>
        <w:gridCol w:w="311"/>
        <w:gridCol w:w="311"/>
        <w:gridCol w:w="312"/>
        <w:gridCol w:w="449"/>
        <w:gridCol w:w="438"/>
        <w:gridCol w:w="573"/>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9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53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94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49" w:type="dxa"/>
            <w:gridSpan w:val="3"/>
            <w:vMerge w:val="continue"/>
            <w:tcBorders/>
            <w:tcMar>
              <w:top w:w="0" w:type="dxa"/>
              <w:left w:w="0" w:type="dxa"/>
              <w:bottom w:w="0" w:type="dxa"/>
              <w:right w:w="0" w:type="dxa"/>
            </w:tcMar>
            <w:vAlign w:val="center"/>
          </w:tcPr>
          <w:p>
            <w:pPr>
              <w:pStyle w:val="Normal"/>
              <w:bidi w:val="0"/>
              <w:jc w:val="left"/>
              <w:rPr/>
            </w:pPr>
            <w:r>
              <w:rPr/>
            </w:r>
          </w:p>
        </w:tc>
        <w:tc>
          <w:tcPr>
            <w:tcW w:w="5315"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Amended and Restated Certificate of Incorporation of the Registrant</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001-39744</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11, 2020</w:t>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Amended and Restated Bylaws of the Registrant</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333-250082</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2020</w:t>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Class A common stock certificate of the Registrant</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333-250082</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2020</w:t>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3ai-062026xsx8xex51xwilso.htm">
              <w:r>
                <w:rPr>
                  <w:rStyle w:val="InternetLink"/>
                  <w:rFonts w:ascii="Times New Roman;serif" w:hAnsi="Times New Roman;serif"/>
                  <w:b w:val="false"/>
                  <w:color w:val="000080"/>
                  <w:sz w:val="20"/>
                  <w:u w:val="single"/>
                </w:rPr>
                <w:t>Opinion of Wilson Sonsini Goodrich &amp; Rosati</w:t>
              </w:r>
            </w:hyperlink>
            <w:hyperlink w:anchor="c3ai-062026xsx8xex51xwilso.htm">
              <w:r>
                <w:rPr>
                  <w:rStyle w:val="InternetLink"/>
                  <w:rFonts w:ascii="Times New Roman;serif" w:hAnsi="Times New Roman;serif"/>
                  <w:b w:val="false"/>
                  <w:color w:val="000080"/>
                  <w:sz w:val="20"/>
                  <w:u w:val="single"/>
                </w:rPr>
                <w:t xml:space="preserve"> </w:t>
              </w:r>
            </w:hyperlink>
            <w:hyperlink w:anchor="c3ai-062026xsx8xex51xwilso.htm">
              <w:r>
                <w:rPr>
                  <w:rStyle w:val="InternetLink"/>
                  <w:rFonts w:ascii="Times New Roman;serif" w:hAnsi="Times New Roman;serif"/>
                  <w:b w:val="false"/>
                  <w:color w:val="000080"/>
                  <w:sz w:val="20"/>
                  <w:u w:val="single"/>
                </w:rPr>
                <w:t>Professional Corporation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3ai-062026xsx8xex231xdelo.htm">
              <w:r>
                <w:rPr>
                  <w:rStyle w:val="InternetLink"/>
                  <w:rFonts w:ascii="Times New Roman;serif" w:hAnsi="Times New Roman;serif"/>
                  <w:b w:val="false"/>
                  <w:color w:val="0000FF"/>
                  <w:sz w:val="20"/>
                  <w:u w:val="single"/>
                </w:rPr>
                <w:t>Consent of Deloitte &amp; Touche LLP,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3ai-062026xsx8xex51xwilso.htm">
              <w:r>
                <w:rPr>
                  <w:rStyle w:val="InternetLink"/>
                  <w:rFonts w:ascii="Times New Roman;serif" w:hAnsi="Times New Roman;serif"/>
                  <w:b w:val="false"/>
                  <w:color w:val="000080"/>
                  <w:sz w:val="20"/>
                  <w:u w:val="single"/>
                </w:rPr>
                <w:t>Consent of Wilson Sonsini Goodrich &amp; Rosati</w:t>
              </w:r>
            </w:hyperlink>
            <w:hyperlink w:anchor="c3ai-062026xsx8xex51xwilso.htm">
              <w:r>
                <w:rPr>
                  <w:rStyle w:val="InternetLink"/>
                  <w:rFonts w:ascii="Times New Roman;serif" w:hAnsi="Times New Roman;serif"/>
                  <w:b w:val="false"/>
                  <w:color w:val="000080"/>
                  <w:sz w:val="20"/>
                  <w:u w:val="single"/>
                </w:rPr>
                <w:t xml:space="preserve"> </w:t>
              </w:r>
            </w:hyperlink>
            <w:hyperlink w:anchor="c3ai-062026xsx8xex51xwilso.htm">
              <w:r>
                <w:rPr>
                  <w:rStyle w:val="InternetLink"/>
                  <w:rFonts w:ascii="Times New Roman;serif" w:hAnsi="Times New Roman;serif"/>
                  <w:b w:val="false"/>
                  <w:color w:val="000080"/>
                  <w:sz w:val="20"/>
                  <w:u w:val="single"/>
                </w:rPr>
                <w:t>Professional Corporation (included in Exhibit 5.1)</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600a776abe4d7cb217dc8bc9f25e54_10">
              <w:r>
                <w:rPr>
                  <w:rStyle w:val="InternetLink"/>
                  <w:rFonts w:ascii="Times New Roman;serif" w:hAnsi="Times New Roman;serif"/>
                  <w:b w:val="false"/>
                  <w:color w:val="0000FF"/>
                  <w:sz w:val="20"/>
                  <w:u w:val="single"/>
                </w:rPr>
                <w:t>Power of Attorney (included on signature page)</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C3.ai, Inc. 2020 Equity Incentive Plan, as amended, and forms thereunder.</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001-39744</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7, 2023</w:t>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C3.ai, Inc. 2020 Employee Stock Purchase Plan</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333-250082</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2020</w:t>
            </w:r>
          </w:p>
        </w:tc>
      </w:tr>
      <w:tr>
        <w:trPr/>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00"/>
        <w:ind w:left="0" w:right="0" w:firstLine="360"/>
        <w:jc w:val="both"/>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Redwood City, State of California, on this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day of June, 2026.</w:t>
      </w:r>
    </w:p>
    <w:tbl>
      <w:tblPr>
        <w:tblW w:w="6584" w:type="dxa"/>
        <w:jc w:val="right"/>
        <w:tblInd w:w="0" w:type="dxa"/>
        <w:tblLayout w:type="fixed"/>
        <w:tblCellMar>
          <w:top w:w="28" w:type="dxa"/>
          <w:left w:w="28" w:type="dxa"/>
          <w:bottom w:w="28" w:type="dxa"/>
          <w:right w:w="28" w:type="dxa"/>
        </w:tblCellMar>
      </w:tblPr>
      <w:tblGrid>
        <w:gridCol w:w="151"/>
        <w:gridCol w:w="134"/>
        <w:gridCol w:w="135"/>
        <w:gridCol w:w="290"/>
        <w:gridCol w:w="290"/>
        <w:gridCol w:w="290"/>
        <w:gridCol w:w="1550"/>
        <w:gridCol w:w="1550"/>
        <w:gridCol w:w="219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658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C3.ai, Inc.</w:t>
            </w:r>
          </w:p>
        </w:tc>
      </w:tr>
      <w:tr>
        <w:trPr/>
        <w:tc>
          <w:tcPr>
            <w:tcW w:w="65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Siebel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r>
    </w:tbl>
    <w:p>
      <w:pPr>
        <w:pStyle w:val="TextBody"/>
        <w:bidi w:val="0"/>
        <w:spacing w:lineRule="auto" w:line="288" w:before="180" w:after="20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Thomas M. Siebel and Hitesh Lath,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818"/>
        <w:gridCol w:w="720"/>
        <w:gridCol w:w="725"/>
        <w:gridCol w:w="109"/>
        <w:gridCol w:w="109"/>
        <w:gridCol w:w="109"/>
        <w:gridCol w:w="2032"/>
        <w:gridCol w:w="2000"/>
        <w:gridCol w:w="2026"/>
        <w:gridCol w:w="109"/>
        <w:gridCol w:w="109"/>
        <w:gridCol w:w="109"/>
        <w:gridCol w:w="358"/>
        <w:gridCol w:w="358"/>
        <w:gridCol w:w="51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Siebel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M. Siebel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Hitesh Lath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Hitesh Lath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Mike Clayville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Mike Clayville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Kenneth A.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Kenneth A.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General John Hyten, 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John Hyten, 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85" w:type="dxa"/>
        <w:jc w:val="left"/>
        <w:tblInd w:w="0" w:type="dxa"/>
        <w:tblLayout w:type="fixed"/>
        <w:tblCellMar>
          <w:top w:w="28" w:type="dxa"/>
          <w:left w:w="28" w:type="dxa"/>
          <w:bottom w:w="28" w:type="dxa"/>
          <w:right w:w="28" w:type="dxa"/>
        </w:tblCellMar>
      </w:tblPr>
      <w:tblGrid>
        <w:gridCol w:w="786"/>
        <w:gridCol w:w="692"/>
        <w:gridCol w:w="697"/>
        <w:gridCol w:w="109"/>
        <w:gridCol w:w="109"/>
        <w:gridCol w:w="109"/>
        <w:gridCol w:w="254"/>
        <w:gridCol w:w="254"/>
        <w:gridCol w:w="258"/>
        <w:gridCol w:w="109"/>
        <w:gridCol w:w="109"/>
        <w:gridCol w:w="109"/>
        <w:gridCol w:w="377"/>
        <w:gridCol w:w="377"/>
        <w:gridCol w:w="53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C.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C.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 McCaffery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G. McCaffery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Alan 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Alan 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Condoleezza 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Condoleezza 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Bruce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Bruce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KR Sridhar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KR Sridhar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Ward,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Ward,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23, 2026</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
        <w:jc w:val="right"/>
        <w:rPr>
          <w:rFonts w:ascii="Times New Roman;serif" w:hAnsi="Times New Roman;serif"/>
          <w:b/>
          <w:color w:val="000000"/>
          <w:sz w:val="22"/>
        </w:rPr>
      </w:pPr>
      <w:r>
        <w:rPr>
          <w:rFonts w:ascii="Times New Roman;serif" w:hAnsi="Times New Roman;serif"/>
          <w:b/>
          <w:color w:val="000000"/>
          <w:sz w:val="22"/>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Calculation of Filing Fee Table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Table 1 – Newly Registered Securities</w:t>
      </w:r>
    </w:p>
    <w:p>
      <w:pPr>
        <w:pStyle w:val="TextBody"/>
        <w:bidi w:val="0"/>
        <w:spacing w:before="0" w:after="6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2"/>
        <w:gridCol w:w="292"/>
        <w:gridCol w:w="293"/>
        <w:gridCol w:w="720"/>
        <w:gridCol w:w="618"/>
        <w:gridCol w:w="620"/>
        <w:gridCol w:w="402"/>
        <w:gridCol w:w="402"/>
        <w:gridCol w:w="403"/>
        <w:gridCol w:w="344"/>
        <w:gridCol w:w="344"/>
        <w:gridCol w:w="348"/>
        <w:gridCol w:w="345"/>
        <w:gridCol w:w="345"/>
        <w:gridCol w:w="346"/>
        <w:gridCol w:w="499"/>
        <w:gridCol w:w="499"/>
        <w:gridCol w:w="503"/>
        <w:gridCol w:w="329"/>
        <w:gridCol w:w="329"/>
        <w:gridCol w:w="333"/>
        <w:gridCol w:w="365"/>
        <w:gridCol w:w="365"/>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Security Type</w:t>
            </w:r>
          </w:p>
        </w:tc>
        <w:tc>
          <w:tcPr>
            <w:tcW w:w="1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Amount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Registered</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Proposed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Maximum</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Offering Price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Per Unit</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Maximum</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Offering Price</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Fee Rate</w:t>
            </w:r>
          </w:p>
        </w:tc>
        <w:tc>
          <w:tcPr>
            <w:tcW w:w="1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Amount of</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Registration Fee</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 C3.ai, Inc. 2020 Equity Incentive Plan</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10,360,509</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$104,848,351.08</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$14,479.56</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 C3.ai, Inc. 2020 Employee Stock Purchase Plan</w:t>
            </w:r>
          </w:p>
        </w:tc>
        <w:tc>
          <w:tcPr>
            <w:tcW w:w="12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1,480,072</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$8.61</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$12,743,419.92</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$1,759.87</w:t>
            </w:r>
          </w:p>
        </w:tc>
      </w:tr>
      <w:tr>
        <w:trPr/>
        <w:tc>
          <w:tcPr>
            <w:tcW w:w="5420" w:type="dxa"/>
            <w:gridSpan w:val="15"/>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Total Offering Amounts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$117,591,771.00</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1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$16,239.43</w:t>
            </w:r>
          </w:p>
        </w:tc>
      </w:tr>
      <w:tr>
        <w:trPr/>
        <w:tc>
          <w:tcPr>
            <w:tcW w:w="5420"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Total Fees Previously Paid</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1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color w:val="000000"/>
              </w:rPr>
            </w:pPr>
            <w:r>
              <w:rPr>
                <w:color w:val="000000"/>
              </w:rPr>
              <w:t>—</w:t>
            </w:r>
          </w:p>
        </w:tc>
      </w:tr>
      <w:tr>
        <w:trPr/>
        <w:tc>
          <w:tcPr>
            <w:tcW w:w="5420"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Total Fee Offsets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1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color w:val="000000"/>
              </w:rPr>
            </w:pPr>
            <w:r>
              <w:rPr>
                <w:color w:val="000000"/>
              </w:rPr>
              <w:t>—</w:t>
            </w:r>
          </w:p>
        </w:tc>
      </w:tr>
      <w:tr>
        <w:trPr/>
        <w:tc>
          <w:tcPr>
            <w:tcW w:w="5420"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Net Fee Due</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color w:val="000000"/>
              </w:rPr>
            </w:pPr>
            <w:r>
              <w:rPr>
                <w:color w:val="000000"/>
              </w:rPr>
              <w:t>—</w:t>
            </w:r>
          </w:p>
        </w:tc>
        <w:tc>
          <w:tcPr>
            <w:tcW w:w="15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color w:val="000000"/>
              </w:rPr>
            </w:pPr>
            <w:r>
              <w:rPr>
                <w:color w:val="000000"/>
              </w:rPr>
              <w:t>—</w:t>
            </w:r>
          </w:p>
        </w:tc>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color w:val="000000"/>
              </w:rPr>
            </w:pPr>
            <w:r>
              <w:rPr>
                <w:color w:val="000000"/>
              </w:rPr>
              <w:t>—</w:t>
            </w:r>
          </w:p>
        </w:tc>
        <w:tc>
          <w:tcPr>
            <w:tcW w:w="12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$16,239.43</w:t>
            </w:r>
          </w:p>
        </w:tc>
      </w:tr>
    </w:tbl>
    <w:p>
      <w:pPr>
        <w:pStyle w:val="TextBody"/>
        <w:bidi w:val="0"/>
        <w:spacing w:before="0" w:after="2"/>
        <w:jc w:val="left"/>
        <w:rPr/>
      </w:pPr>
      <w:r>
        <w:rPr/>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1.Pursuant to Rule 416(a) promulgated under the Securities Act of 1933, as amended (the “Securities Act”), this Registration Statement shall also cover any additional shares of Class A common stock of C3.ai, Inc. (the “Registrant”) that become issuable under the Registrant’s 2020 Equity Incentive Plan (the “2020 Plan”) by reason of any stock dividend, stock split, recapitalization, or other similar transaction effected that results in an increase to the number of outstanding shares of Registrant’s Class A common stock, as applicable. The amount registered represents an automatic annual increase on May 1, 2026 in the number of shares reserved for future issuance pursuant to the 2020 Plan in an amount equal to 7% of the total number of shares of the Registrant’s Class A common stock and Class B common stock outstanding on April 30, 2026. The proposed maximum offering price per unit is estimated in accordance with Rules 457(c) and (h) of the Securities Act solely for the purpose of calculating the registration fee on the basis of the average of the high and low prices of the Registrant’s Class A common stock as reported on the New York Stock Exchange (“NYSE”) on June 22, 2026.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2.Pursuant to Rule 416(a) promulgated under the Securities Act, this Registration Statement shall also cover any additional shares of the Registrant’s Class A common stock that become issuable under the Registrant’s 2020 Employee Stock Purchase Plan (the “2020 ESPP”) by reason of any stock dividend, stock split, recapitalization, or other similar transaction effected that results in an increase to the number of outstanding shares of Registrant’s Class A common stock, as applicable. The amount registered represents an automatic annual increase on May 1, 2026 in the number of shares reserved for future issuance pursuant to the 2020 ESPP in an amount equal to 1% of the total number of shares of the Registrant’s Class A common stock and Class B common stock outstanding on April 30, 2026. The proposed maximum offering price per unit is estimated in accordance with Rules 457(c) and (h) of the Securities Act solely for the purpose of calculating the registration fee on the basis of the average of the high and low prices of the Registrant’s Class A common stock as reported on the NYSE on June 22, 2026, multiplied by 85%, which is the percentage of the price per share applicable to purchases under the 2020 ESPP.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677" w:type="dxa"/>
        <w:jc w:val="left"/>
        <w:tblInd w:w="0" w:type="dxa"/>
        <w:tblLayout w:type="fixed"/>
        <w:tblCellMar>
          <w:top w:w="28" w:type="dxa"/>
          <w:left w:w="28" w:type="dxa"/>
          <w:bottom w:w="28" w:type="dxa"/>
          <w:right w:w="28" w:type="dxa"/>
        </w:tblCellMar>
      </w:tblPr>
      <w:tblGrid>
        <w:gridCol w:w="732"/>
        <w:gridCol w:w="644"/>
        <w:gridCol w:w="645"/>
        <w:gridCol w:w="109"/>
        <w:gridCol w:w="109"/>
        <w:gridCol w:w="109"/>
        <w:gridCol w:w="975"/>
        <w:gridCol w:w="975"/>
        <w:gridCol w:w="1379"/>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219200" cy="4572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4"/>
                          <a:stretch>
                            <a:fillRect/>
                          </a:stretch>
                        </pic:blipFill>
                        <pic:spPr bwMode="auto">
                          <a:xfrm>
                            <a:off x="0" y="0"/>
                            <a:ext cx="1219200" cy="457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120" w:after="283"/>
              <w:jc w:val="center"/>
              <w:rPr>
                <w:color w:val="000000"/>
              </w:rPr>
            </w:pPr>
            <w:r>
              <w:rPr>
                <w:color w:val="000000"/>
              </w:rPr>
              <w:t>                                  </w:t>
            </w:r>
            <w:r>
              <w:rPr>
                <w:rFonts w:ascii="Times New Roman;serif" w:hAnsi="Times New Roman;serif"/>
                <w:b/>
                <w:color w:val="000000"/>
                <w:sz w:val="20"/>
              </w:rPr>
              <w:t>EXHIBIT 5.1</w:t>
            </w:r>
          </w:p>
          <w:p>
            <w:pPr>
              <w:pStyle w:val="TableContents"/>
              <w:bidi w:val="0"/>
              <w:spacing w:before="120" w:after="283"/>
              <w:jc w:val="left"/>
              <w:rPr/>
            </w:pPr>
            <w:r>
              <w:rPr/>
            </w:r>
          </w:p>
          <w:p>
            <w:pPr>
              <w:pStyle w:val="TableContents"/>
              <w:bidi w:val="0"/>
              <w:spacing w:lineRule="auto" w:line="288" w:before="120" w:after="283"/>
              <w:jc w:val="left"/>
              <w:rPr>
                <w:rFonts w:ascii="Georgia;serif" w:hAnsi="Georgia;serif"/>
                <w:b w:val="false"/>
                <w:color w:val="003D4C"/>
                <w:sz w:val="16"/>
              </w:rPr>
            </w:pPr>
            <w:r>
              <w:rPr>
                <w:rFonts w:ascii="Georgia;serif" w:hAnsi="Georgia;serif"/>
                <w:b w:val="false"/>
                <w:color w:val="003D4C"/>
                <w:sz w:val="16"/>
              </w:rPr>
              <w:t>Wilson Sonsini Goodrich &amp; Rosati</w:t>
              <w:br/>
              <w:t>Professional Corporation</w:t>
            </w:r>
          </w:p>
          <w:p>
            <w:pPr>
              <w:pStyle w:val="TableContents"/>
              <w:bidi w:val="0"/>
              <w:spacing w:lineRule="auto" w:line="288" w:before="80" w:after="283"/>
              <w:jc w:val="left"/>
              <w:rPr>
                <w:rFonts w:ascii="Georgia;serif" w:hAnsi="Georgia;serif"/>
                <w:b w:val="false"/>
                <w:color w:val="003D4C"/>
                <w:sz w:val="16"/>
              </w:rPr>
            </w:pPr>
            <w:r>
              <w:rPr>
                <w:rFonts w:ascii="Georgia;serif" w:hAnsi="Georgia;serif"/>
                <w:b w:val="false"/>
                <w:color w:val="003D4C"/>
                <w:sz w:val="16"/>
              </w:rPr>
              <w:t>650 Page Mill Road</w:t>
              <w:br/>
              <w:t>Palo Alto, California 94304-1050</w:t>
            </w:r>
          </w:p>
          <w:p>
            <w:pPr>
              <w:pStyle w:val="TableContents"/>
              <w:bidi w:val="0"/>
              <w:spacing w:lineRule="auto" w:line="288" w:before="80" w:after="283"/>
              <w:jc w:val="left"/>
              <w:rPr>
                <w:rFonts w:ascii="Georgia;serif" w:hAnsi="Georgia;serif"/>
                <w:b w:val="false"/>
                <w:color w:val="003D4C"/>
                <w:sz w:val="16"/>
              </w:rPr>
            </w:pPr>
            <w:r>
              <w:rPr>
                <w:rFonts w:ascii="Georgia;serif" w:hAnsi="Georgia;serif"/>
                <w:b w:val="false"/>
                <w:color w:val="003D4C"/>
                <w:sz w:val="16"/>
              </w:rPr>
              <w:t>o: 650.493.9300</w:t>
              <w:br/>
              <w:t>f: 650.493.6811</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June 23, 2026</w: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C3.ai, Inc.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1400 Seaport Blvd</w:t>
        <w:br/>
        <w:t>Redwood City, CA 94063</w:t>
      </w:r>
    </w:p>
    <w:p>
      <w:pPr>
        <w:pStyle w:val="TextBody"/>
        <w:bidi w:val="0"/>
        <w:spacing w:lineRule="auto" w:line="333"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Re:    Registration Statement on Form S-8</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examined the Registration Statement on Form S-8 (the “Registration Statement”) to be filed by C3.ai, Inc., a Delaware corporation, with the Securities and Exchange Commission on or about the date hereof, in connection with the registration under the Securities Act of 1933, as amended, of an aggregate of 11,840,581 shares of its Class A common stock, par value $0.001 per share (the “Shares”), consisting of: (i) 10,360,509 shares of Class A common stock reserved for issuance under the C3.ai, Inc. 2020 Equity Incentive Plan, as amended (the “Incentive Plan”) and (ii) 1,480,072 shares of Class A common stock reserved for issuance under the C3.ai, Inc. 2020 Employee Stock Purchase Plan (together with the Incentive Plan, the “Plans”). </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our opinion that the Shares, when issued and sold in the manner referred to in the Plans and pursuant to the agreements that accompany the Plans, will be legally and validly issued, fully paid and nonassessable.</w:t>
      </w:r>
    </w:p>
    <w:p>
      <w:pPr>
        <w:pStyle w:val="TextBody"/>
        <w:bidi w:val="0"/>
        <w:spacing w:lineRule="auto" w:line="333"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consent to the use of this opinion as an exhibit to the Registration Statement and further consent to the use of our name wherever appearing in the Registration Statement and any amendments thereto.</w:t>
      </w:r>
    </w:p>
    <w:p>
      <w:pPr>
        <w:pStyle w:val="TextBody"/>
        <w:bidi w:val="0"/>
        <w:spacing w:lineRule="auto" w:line="333" w:before="240" w:after="283"/>
        <w:ind w:left="0" w:right="0" w:firstLine="4680"/>
        <w:jc w:val="left"/>
        <w:rPr>
          <w:rFonts w:ascii="Times New Roman;serif" w:hAnsi="Times New Roman;serif"/>
          <w:b w:val="false"/>
          <w:color w:val="000000"/>
          <w:sz w:val="20"/>
        </w:rPr>
      </w:pPr>
      <w:r>
        <w:rPr>
          <w:rFonts w:ascii="Times New Roman;serif" w:hAnsi="Times New Roman;serif"/>
          <w:b w:val="false"/>
          <w:color w:val="000000"/>
          <w:sz w:val="20"/>
        </w:rPr>
        <w:t xml:space="preserve">Very truly yours, </w:t>
      </w:r>
    </w:p>
    <w:p>
      <w:pPr>
        <w:pStyle w:val="TextBody"/>
        <w:bidi w:val="0"/>
        <w:spacing w:before="0" w:after="0"/>
        <w:ind w:left="0" w:right="0" w:firstLine="4680"/>
        <w:jc w:val="left"/>
        <w:rPr/>
      </w:pPr>
      <w:r>
        <w:rPr/>
      </w:r>
    </w:p>
    <w:p>
      <w:pPr>
        <w:pStyle w:val="TextBody"/>
        <w:bidi w:val="0"/>
        <w:spacing w:lineRule="auto" w:line="333" w:before="0" w:after="0"/>
        <w:ind w:left="0" w:right="0" w:firstLine="4680"/>
        <w:jc w:val="left"/>
        <w:rPr>
          <w:rFonts w:ascii="Times New Roman;serif" w:hAnsi="Times New Roman;serif"/>
          <w:b w:val="false"/>
          <w:color w:val="000000"/>
          <w:sz w:val="20"/>
        </w:rPr>
      </w:pPr>
      <w:r>
        <w:rPr>
          <w:rFonts w:ascii="Times New Roman;serif" w:hAnsi="Times New Roman;serif"/>
          <w:b w:val="false"/>
          <w:color w:val="000000"/>
          <w:sz w:val="20"/>
        </w:rPr>
        <w:t>/s/ Wilson Sonsini Goodrich &amp; Rosati, P.C.</w:t>
      </w:r>
    </w:p>
    <w:p>
      <w:pPr>
        <w:pStyle w:val="TextBody"/>
        <w:bidi w:val="0"/>
        <w:spacing w:before="0" w:after="0"/>
        <w:ind w:left="0" w:right="0" w:firstLine="4680"/>
        <w:jc w:val="left"/>
        <w:rPr/>
      </w:pPr>
      <w:r>
        <w:rPr/>
      </w:r>
    </w:p>
    <w:p>
      <w:pPr>
        <w:pStyle w:val="TextBody"/>
        <w:bidi w:val="0"/>
        <w:spacing w:lineRule="auto" w:line="333" w:before="0" w:after="0"/>
        <w:ind w:left="0" w:right="0" w:firstLine="4680"/>
        <w:jc w:val="left"/>
        <w:rPr>
          <w:rFonts w:ascii="Times New Roman;serif" w:hAnsi="Times New Roman;serif"/>
          <w:b w:val="false"/>
          <w:color w:val="000000"/>
          <w:sz w:val="20"/>
        </w:rPr>
      </w:pPr>
      <w:r>
        <w:rPr>
          <w:rFonts w:ascii="Times New Roman;serif" w:hAnsi="Times New Roman;serif"/>
          <w:b w:val="false"/>
          <w:color w:val="000000"/>
          <w:sz w:val="20"/>
        </w:rPr>
        <w:t>WILSON SONSINI GOODRICH &amp; ROSATI</w:t>
      </w:r>
    </w:p>
    <w:p>
      <w:pPr>
        <w:pStyle w:val="TextBody"/>
        <w:bidi w:val="0"/>
        <w:spacing w:lineRule="auto" w:line="333" w:before="0" w:after="0"/>
        <w:ind w:left="0" w:right="0" w:firstLine="4680"/>
        <w:jc w:val="left"/>
        <w:rPr>
          <w:rFonts w:ascii="Times New Roman;serif" w:hAnsi="Times New Roman;serif"/>
          <w:b w:val="false"/>
          <w:color w:val="000000"/>
          <w:sz w:val="20"/>
        </w:rPr>
      </w:pPr>
      <w:r>
        <w:rPr>
          <w:rFonts w:ascii="Times New Roman;serif" w:hAnsi="Times New Roman;serif"/>
          <w:b w:val="false"/>
          <w:color w:val="000000"/>
          <w:sz w:val="20"/>
        </w:rPr>
        <w:t>Professional Corporation</w:t>
      </w:r>
    </w:p>
    <w:p>
      <w:pPr>
        <w:pStyle w:val="TextBody"/>
        <w:bidi w:val="0"/>
        <w:ind w:left="0" w:right="0" w:firstLine="46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75310"/>
                <wp:effectExtent l="0" t="0" r="0" b="0"/>
                <wp:wrapNone/>
                <wp:docPr id="9" name="Frame8"/>
                <a:graphic xmlns:a="http://schemas.openxmlformats.org/drawingml/2006/main">
                  <a:graphicData uri="http://schemas.microsoft.com/office/word/2010/wordprocessingShape">
                    <wps:wsp>
                      <wps:cNvSpPr txBox="1"/>
                      <wps:spPr>
                        <a:xfrm>
                          <a:off x="0" y="0"/>
                          <a:ext cx="6480175" cy="575310"/>
                        </a:xfrm>
                        <a:prstGeom prst="rect"/>
                        <a:solidFill>
                          <a:srgbClr val="FFFFFF"/>
                        </a:solidFill>
                      </wps:spPr>
                      <wps:txbx>
                        <w:txbxContent>
                          <w:p>
                            <w:pPr>
                              <w:pStyle w:val="TextBody"/>
                              <w:bidi w:val="0"/>
                              <w:spacing w:lineRule="auto" w:line="376" w:before="60" w:after="60"/>
                              <w:jc w:val="center"/>
                              <w:rPr>
                                <w:rFonts w:ascii="Buenos Aires;sans-serif" w:hAnsi="Buenos Aires;sans-serif"/>
                                <w:b w:val="false"/>
                                <w:color w:val="003D4C"/>
                                <w:sz w:val="14"/>
                              </w:rPr>
                            </w:pPr>
                            <w:r>
                              <w:rPr>
                                <w:rFonts w:ascii="Buenos Aires;sans-serif" w:hAnsi="Buenos Aires;sans-serif"/>
                                <w:b w:val="false"/>
                                <w:color w:val="003D4C"/>
                                <w:sz w:val="14"/>
                              </w:rPr>
                              <w:t xml:space="preserve">AUSTIN BOSTON BOULDER BRUSSELS CENTURY CITY HONG KONG LONDON LOS ANGELES NEW YORK </w:t>
                              <w:br/>
                              <w:t>PALO ALTO SALT LAKE CITY SAN DIEGO SAN FRANCISCO SEATTLE SHANGHAI WASHINGTON, DC WILMINGTON, DE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3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76" w:before="60" w:after="60"/>
                        <w:jc w:val="center"/>
                        <w:rPr>
                          <w:rFonts w:ascii="Buenos Aires;sans-serif" w:hAnsi="Buenos Aires;sans-serif"/>
                          <w:b w:val="false"/>
                          <w:color w:val="003D4C"/>
                          <w:sz w:val="14"/>
                        </w:rPr>
                      </w:pPr>
                      <w:r>
                        <w:rPr>
                          <w:rFonts w:ascii="Buenos Aires;sans-serif" w:hAnsi="Buenos Aires;sans-serif"/>
                          <w:b w:val="false"/>
                          <w:color w:val="003D4C"/>
                          <w:sz w:val="14"/>
                        </w:rPr>
                        <w:t xml:space="preserve">AUSTIN BOSTON BOULDER BRUSSELS CENTURY CITY HONG KONG LONDON LOS ANGELES NEW YORK </w:t>
                        <w:br/>
                        <w:t>PALO ALTO SALT LAKE CITY SAN DIEGO SAN FRANCISCO SEATTLE SHANGHAI WASHINGTON, DC WILMINGTON, DE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this Registration Statement on Form S-8 of our reports dated June 23, 2026, related to the consolidated financial statements of C3.ai, Inc. and subsidiaries (the “Company”) and the effectiveness of the Company's internal control over financial reporting, appearing in the Annual Report on Form 10-K of C3.ai, Inc. for the year ended April 30,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San Jose, California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June 23,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Buenos Aire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7526/000162828020017293/c3ais-8.htm" TargetMode="External"/><Relationship Id="rId3" Type="http://schemas.openxmlformats.org/officeDocument/2006/relationships/hyperlink" Target="https://www.sec.gov/Archives/edgar/data/0001577526/000162828021012993/c3ai-062021xsx8.htm" TargetMode="External"/><Relationship Id="rId4" Type="http://schemas.openxmlformats.org/officeDocument/2006/relationships/hyperlink" Target="https://www.sec.gov/Archives/edgar/data/1577526/000162828022017831/c3ai-062022xsx8.htm" TargetMode="External"/><Relationship Id="rId5" Type="http://schemas.openxmlformats.org/officeDocument/2006/relationships/hyperlink" Target="https://www.sec.gov/Archives/edgar/data/1577526/000162828023022987/c3ai-062023xsx8.htm" TargetMode="External"/><Relationship Id="rId6" Type="http://schemas.openxmlformats.org/officeDocument/2006/relationships/hyperlink" Target="https://www.sec.gov/Archives/edgar/data/1577526/000162828024028800/c3ai-062024xsx8.htm" TargetMode="External"/><Relationship Id="rId7" Type="http://schemas.openxmlformats.org/officeDocument/2006/relationships/hyperlink" Target="https://www.sec.gov/Archives/edgar/data/1577526/000162828025032634/c3ai-062025xsx8.htm" TargetMode="External"/><Relationship Id="rId8" Type="http://schemas.openxmlformats.org/officeDocument/2006/relationships/hyperlink" Target="https://www.sec.gov/Archives/edgar/data/1577526/000162828020016871/c3ai8-ax11302020.htm" TargetMode="External"/><Relationship Id="rId9" Type="http://schemas.openxmlformats.org/officeDocument/2006/relationships/hyperlink" Target="https://www.sec.gov/Archives/edgar/data/1577526/000162828020017407/exhibit31-8xk.htm" TargetMode="External"/><Relationship Id="rId10" Type="http://schemas.openxmlformats.org/officeDocument/2006/relationships/hyperlink" Target="https://www.sec.gov/Archives/edgar/data/1577526/000162828020016868/exhibit34-sx1a2.htm" TargetMode="External"/><Relationship Id="rId11" Type="http://schemas.openxmlformats.org/officeDocument/2006/relationships/hyperlink" Target="https://www.sec.gov/Archives/edgar/data/1577526/000162828020016868/exhibit41-sx1a2.htm" TargetMode="External"/><Relationship Id="rId12" Type="http://schemas.openxmlformats.org/officeDocument/2006/relationships/hyperlink" Target="https://www.sec.gov/Archives/edgar/data/1577526/000162828023040969/ex101-c3aixamended2020equi.htm" TargetMode="External"/><Relationship Id="rId13" Type="http://schemas.openxmlformats.org/officeDocument/2006/relationships/hyperlink" Target="https://www.sec.gov/Archives/edgar/data/1577526/000162828020016868/exhibit103-sx1a2.htm" TargetMode="External"/><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2302</Words>
  <Characters>12188</Characters>
  <CharactersWithSpaces>14311</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