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656439.xml.htm"/>
      <w:bookmarkStart w:id="1" w:name="kswkform4_178665643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SIEBEL THOMAS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C3.AI,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1400 SEAPORT BLVD, SUITE 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C3.ai, Inc.</w:t>
              </w:r>
            </w:hyperlink>
            <w:r>
              <w:rPr/>
              <w:t xml:space="preserve"> [ </w:t>
            </w:r>
            <w:r>
              <w:rPr>
                <w:rFonts w:ascii="Times;serif" w:hAnsi="Times;serif"/>
                <w:color w:val="0000FF"/>
                <w:sz w:val="24"/>
                <w:shd w:fill="FFFFFF" w:val="clear"/>
              </w:rPr>
              <w:t>AI</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and Chairman of the Board</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09"/>
        <w:gridCol w:w="901"/>
        <w:gridCol w:w="772"/>
        <w:gridCol w:w="598"/>
        <w:gridCol w:w="339"/>
        <w:gridCol w:w="996"/>
        <w:gridCol w:w="428"/>
        <w:gridCol w:w="786"/>
        <w:gridCol w:w="1244"/>
        <w:gridCol w:w="964"/>
        <w:gridCol w:w="106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8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6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453,314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1,175,676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453,314</w:t>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10.51</w:t>
            </w:r>
            <w:r>
              <w:rPr>
                <w:rFonts w:ascii="Times;serif" w:hAnsi="Times;serif"/>
                <w:color w:val="008000"/>
                <w:position w:val="7"/>
                <w:sz w:val="16"/>
                <w:sz w:val="20"/>
                <w:shd w:fill="FFFFFF" w:val="clear"/>
              </w:rPr>
              <w:t>(2)</w:t>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722,362</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7,067,187</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9,216</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(4)</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170,294</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(5)</w:t>
            </w:r>
          </w:p>
        </w:tc>
      </w:tr>
      <w:tr>
        <w:trPr/>
        <w:tc>
          <w:tcPr>
            <w:tcW w:w="21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72,695</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(6)</w:t>
            </w:r>
          </w:p>
        </w:tc>
      </w:tr>
      <w:tr>
        <w:trPr/>
        <w:tc>
          <w:tcPr>
            <w:tcW w:w="21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1,237,115</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(7)</w:t>
            </w:r>
          </w:p>
        </w:tc>
      </w:tr>
    </w:tbl>
    <w:tbl>
      <w:tblPr>
        <w:tblW w:w="1228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816"/>
        <w:gridCol w:w="906"/>
        <w:gridCol w:w="801"/>
        <w:gridCol w:w="891"/>
        <w:gridCol w:w="921"/>
        <w:gridCol w:w="801"/>
        <w:gridCol w:w="966"/>
        <w:gridCol w:w="831"/>
        <w:gridCol w:w="846"/>
      </w:tblGrid>
      <w:tr>
        <w:trPr>
          <w:tblHeader w:val="true"/>
        </w:trPr>
        <w:tc>
          <w:tcPr>
            <w:tcW w:w="1228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453,314</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11/27/2028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453,314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2,413,196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transaction being reported was effected pursuant to a previously established Rule 10b5-1 trading plan dated September 20,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is a weighted-average price. These shares were sold in multiple transactions at prices ranging from $10.30 to $10.69, inclusive. The Reporting Person will provide upon request to the staff of the Securities and Exchange Commission, the Issuer or any security holder of the Issuer,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are held by The Siebel Living Trust u/a/d 7/27/93, as amended, of which the Reporting Person is 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held by First Virtual Holdings, LLC, of which the Reporting Person is Chairman.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Siebel Asset Management,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Siebel Asset Management III, L.P., of which the Reporting Person is the general partner.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 shares are held by The Siebel 2011 Irrevocable Children's Trust, of which the Reporting Person is co-trustee.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Fully vested.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Tom MacMitchell,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031530" TargetMode="External"/><Relationship Id="rId5" Type="http://schemas.openxmlformats.org/officeDocument/2006/relationships/hyperlink" Target="http://www.sec.gov/cgi-bin/browse-edgar?action=getcompany&amp;CIK=000157752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822</Words>
  <Characters>4368</Characters>
  <CharactersWithSpaces>5074</CharactersWithSpaces>
  <Paragraphs>146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