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231F20"/>
          <w:sz w:val="22"/>
        </w:rPr>
      </w:pPr>
      <w:r>
        <w:rPr>
          <w:rFonts w:ascii="Times New Roman;serif" w:hAnsi="Times New Roman;serif"/>
          <w:b/>
          <w:color w:val="231F20"/>
          <w:sz w:val="22"/>
        </w:rPr>
        <w:t>CURRENT REPORT</w:t>
      </w:r>
    </w:p>
    <w:p>
      <w:pPr>
        <w:pStyle w:val="TextBody"/>
        <w:bidi w:val="0"/>
        <w:spacing w:lineRule="auto" w:line="288" w:before="0" w:after="0"/>
        <w:jc w:val="center"/>
        <w:rPr>
          <w:rFonts w:ascii="Times New Roman;serif" w:hAnsi="Times New Roman;serif"/>
          <w:b/>
          <w:color w:val="231F20"/>
          <w:sz w:val="22"/>
        </w:rPr>
      </w:pPr>
      <w:r>
        <w:rPr>
          <w:rFonts w:ascii="Times New Roman;serif" w:hAnsi="Times New Roman;serif"/>
          <w:b/>
          <w:color w:val="231F20"/>
          <w:sz w:val="22"/>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February 24, 2026</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 xml:space="preserve">C3.AI,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Delaware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1400 Seaport Blvd</w:t>
      </w:r>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Redwood City, CA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001-39744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26-3999357</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p>
      <w:pPr>
        <w:pStyle w:val="TextBody"/>
        <w:bidi w:val="0"/>
        <w:spacing w:lineRule="auto" w:line="288" w:before="640" w:after="283"/>
        <w:jc w:val="center"/>
        <w:rPr>
          <w:rFonts w:ascii="Times New Roman;serif" w:hAnsi="Times New Roman;serif"/>
          <w:b/>
          <w:color w:val="000000"/>
          <w:sz w:val="22"/>
        </w:rPr>
      </w:pPr>
      <w:r>
        <w:rPr>
          <w:rFonts w:ascii="Times New Roman;serif" w:hAnsi="Times New Roman;serif"/>
          <w:b/>
          <w:color w:val="000000"/>
          <w:sz w:val="22"/>
        </w:rPr>
        <w:t>94063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(650) 503-2200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Not Applicable </w:t>
      </w:r>
    </w:p>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(Former Name or Former Address, if Changed Since Last Report)</w:t>
      </w:r>
    </w:p>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22"/>
          <w:u w:val="single"/>
        </w:rPr>
        <w:t>see</w:t>
      </w:r>
      <w:r>
        <w:rPr>
          <w:color w:val="000000"/>
        </w:rPr>
        <w:t xml:space="preserve"> </w:t>
      </w:r>
      <w:r>
        <w:rPr>
          <w:rFonts w:ascii="Times New Roman;serif" w:hAnsi="Times New Roman;serif"/>
          <w:b w:val="false"/>
          <w:color w:val="000000"/>
          <w:sz w:val="22"/>
        </w:rPr>
        <w:t>General Instruction A.2. below):</w:t>
      </w:r>
    </w:p>
    <w:p>
      <w:pPr>
        <w:pStyle w:val="TextBody"/>
        <w:bidi w:val="0"/>
        <w:spacing w:lineRule="auto" w:line="288" w:before="0" w:after="0"/>
        <w:ind w:left="0" w:right="0" w:hanging="450"/>
        <w:jc w:val="both"/>
        <w:rPr>
          <w:color w:val="000000"/>
        </w:rPr>
      </w:pPr>
      <w:r>
        <w:rPr>
          <w:color w:val="000000"/>
        </w:rPr>
        <w:t>☐    </w:t>
      </w:r>
      <w:r>
        <w:rPr>
          <w:rFonts w:ascii="Times New Roman;serif" w:hAnsi="Times New Roman;serif"/>
          <w:b w:val="false"/>
          <w:color w:val="000000"/>
          <w:sz w:val="22"/>
        </w:rPr>
        <w:t>Written communications pursuant to Rule 425 under the Securities Act (17 CFR 230.425)</w:t>
      </w:r>
    </w:p>
    <w:p>
      <w:pPr>
        <w:pStyle w:val="TextBody"/>
        <w:bidi w:val="0"/>
        <w:spacing w:lineRule="auto" w:line="288" w:before="0" w:after="0"/>
        <w:ind w:left="0" w:right="0" w:hanging="450"/>
        <w:jc w:val="both"/>
        <w:rPr/>
      </w:pPr>
      <w:r>
        <w:rPr>
          <w:color w:val="000000"/>
        </w:rPr>
        <w:t>☐    </w:t>
      </w:r>
      <w:r>
        <w:rPr>
          <w:rFonts w:ascii="Times New Roman;serif" w:hAnsi="Times New Roman;serif"/>
          <w:b w:val="false"/>
          <w:color w:val="231F20"/>
          <w:sz w:val="22"/>
        </w:rPr>
        <w:t xml:space="preserve">Soliciting material pursuant to Rule 14a-12 under the Exchange Act (17 CFR 240.14a-12) </w:t>
      </w:r>
    </w:p>
    <w:p>
      <w:pPr>
        <w:pStyle w:val="TextBody"/>
        <w:bidi w:val="0"/>
        <w:spacing w:lineRule="auto" w:line="288" w:before="0" w:after="0"/>
        <w:ind w:left="0" w:right="0" w:hanging="450"/>
        <w:jc w:val="both"/>
        <w:rPr/>
      </w:pPr>
      <w:r>
        <w:rPr>
          <w:color w:val="000000"/>
        </w:rPr>
        <w:t>☐    </w:t>
      </w:r>
      <w:r>
        <w:rPr>
          <w:rFonts w:ascii="Times New Roman;serif" w:hAnsi="Times New Roman;serif"/>
          <w:b w:val="false"/>
          <w:color w:val="231F20"/>
          <w:sz w:val="22"/>
        </w:rPr>
        <w:t xml:space="preserve">Pre-commencement communications pursuant to Rule 14d-2(b) under the Exchange Act (17 CFR 240.14d-2(b)) </w:t>
      </w:r>
    </w:p>
    <w:p>
      <w:pPr>
        <w:pStyle w:val="TextBody"/>
        <w:bidi w:val="0"/>
        <w:spacing w:lineRule="auto" w:line="288" w:before="0" w:after="0"/>
        <w:ind w:left="0" w:right="0" w:hanging="450"/>
        <w:jc w:val="both"/>
        <w:rPr/>
      </w:pPr>
      <w:r>
        <w:rPr>
          <w:color w:val="000000"/>
        </w:rPr>
        <w:t>☐    </w:t>
      </w:r>
      <w:r>
        <w:rPr>
          <w:rFonts w:ascii="Times New Roman;serif" w:hAnsi="Times New Roman;serif"/>
          <w:b w:val="false"/>
          <w:color w:val="231F20"/>
          <w:sz w:val="22"/>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506"/>
        <w:gridCol w:w="1314"/>
        <w:gridCol w:w="1329"/>
        <w:gridCol w:w="109"/>
        <w:gridCol w:w="109"/>
        <w:gridCol w:w="109"/>
        <w:gridCol w:w="554"/>
        <w:gridCol w:w="554"/>
        <w:gridCol w:w="556"/>
        <w:gridCol w:w="109"/>
        <w:gridCol w:w="109"/>
        <w:gridCol w:w="109"/>
        <w:gridCol w:w="1091"/>
        <w:gridCol w:w="1091"/>
        <w:gridCol w:w="1556"/>
      </w:tblGrid>
      <w:tr>
        <w:trPr/>
        <w:tc>
          <w:tcPr>
            <w:tcW w:w="150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r>
      <w:tr>
        <w:trPr/>
        <w:tc>
          <w:tcPr>
            <w:tcW w:w="4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2"/>
        </w:rPr>
        <w:t xml:space="preserve">Emerging growth company </w:t>
      </w:r>
      <w:r>
        <w:rPr>
          <w:color w:val="000000"/>
        </w:rPr>
        <w: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2.02    Results of Operations and Financial Condition.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On February 25, 2026, C3.ai, Inc.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issued a press release announcing its financial results for the fiscal third quarter ended January 31, 2026. A copy of the press release is attached hereto as Exhibit 99.1 and is incorporated herein by reference.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The information contained in this Item 2.02 and Item 9.01 of this Current Report on Form 8-K, including the accompanying Exhibit 99.1 hereto, shall not be deemed “filed” for purposes of Section 18 of the Securities Exchange Act of 1934, as amended (the “</w:t>
      </w:r>
      <w:r>
        <w:rPr>
          <w:rFonts w:ascii="Times New Roman;serif" w:hAnsi="Times New Roman;serif"/>
          <w:b/>
          <w:i/>
          <w:color w:val="000000"/>
          <w:sz w:val="24"/>
        </w:rPr>
        <w:t>Exchange Act</w:t>
      </w:r>
      <w:r>
        <w:rPr>
          <w:color w:val="000000"/>
        </w:rPr>
        <w:t>”</w:t>
      </w:r>
      <w:r>
        <w:rPr>
          <w:rFonts w:ascii="Times New Roman;serif" w:hAnsi="Times New Roman;serif"/>
          <w:b w:val="false"/>
          <w:color w:val="000000"/>
          <w:sz w:val="24"/>
        </w:rPr>
        <w:t>), or otherwise subject to the liabilities of that section, nor shall it be deemed incorporated by reference in any filing made by the Company under the Securities Act of 1933, as amended, or the Exchange Act, regardless of any general incorporation language in such filings, unless expressly incorporated by specific reference in such filing.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2.05    Costs Associated with Exit or Disposal Activities.</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 February 24, 2026, the Company’s board of directors approved a restructuring plan (the “Plan”), intended to materially improve its operating efficiency and position the company for success. The Plan includes a 26% reduction in its global workforce, which has been substantially completed. The Plan also includes a reduction of approximately 30% in its annualized non-employee costs, which is expected to be completed by the second half of fiscal year 2027. The Company will explore reduction in additional non-employee expenses, as necessary, to attain profitability.</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connection with the reduction of the Company’s global workforce, the Company estimates that it will incur approximately $10.0 million to $12.0 million in pre-tax restructuring charges in the fourth quarter of fiscal year 2026, consisting of cash expenditures related to severance, other one-time termination benefits, and non-cash expenditures related to stock-based compensation. </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expects to record additional charges associated with non-employee costs in future periods.</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estimates of the expenses that the Company expects to incur in connection with the Plan, and the timing thereof, are subject to a number of assumptions, including local law requirements in various jurisdictions, and actual amounts may differ materially from estimates. In addition, the Company may incur other charges not currently contemplated due to unanticipated events that may occur, including in connection with the implementation of the Plan.</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i/>
          <w:color w:val="000000"/>
          <w:sz w:val="24"/>
        </w:rPr>
      </w:pPr>
      <w:r>
        <w:rPr>
          <w:rFonts w:ascii="Times New Roman;serif" w:hAnsi="Times New Roman;serif"/>
          <w:b w:val="false"/>
          <w:i/>
          <w:color w:val="000000"/>
          <w:sz w:val="24"/>
        </w:rPr>
        <w:t>Caution Regarding Forward-Looking Statements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i/>
          <w:color w:val="000000"/>
          <w:sz w:val="24"/>
        </w:rPr>
      </w:pPr>
      <w:r>
        <w:rPr>
          <w:rFonts w:ascii="Times New Roman;serif" w:hAnsi="Times New Roman;serif"/>
          <w:b w:val="false"/>
          <w:i/>
          <w:color w:val="000000"/>
          <w:sz w:val="24"/>
        </w:rPr>
        <w:t>This Current Report on Form 8-K and Exhibit 99.1 contains forward-looking statements within the meaning of United States federal securities laws, including, among other things, our expectations regarding future events, our business, and market opportunities. Words such as "believe," "may," "will," "estimate," "continue," "anticipate," "intend," "expect," "plans," and similar expressions are intended to identify forward-looking statements. We have based these forward-looking statements, including our statements regarding the Plan, expected costs of the reduction of our global workforce and the timing of such costs, largely on our current expectations and projections about future events and financial trends that we believe may affect our business, financial condition, and results of operations. These forward-looking statements speak only as of the date of this report and are subject to risks, uncertainties, and assumptions, including, among other things, the risk that the costs and charges relating to the Plan and the reduction of our global workforce may be greater than anticipated, the risk this reduction in our global workforce may adversely affect our internal programs and our ability to recruit and retain skilled and motivated personnel, and may be distracting to employees and management, the risk that these changes could negatively impact our business operations, reputation, or ability to serve our customers, and the risk that this reduction in our global workforce may not generate its intended benefits as quickly as anticipated or at all. Further information on risks that could affect the Company’s results is included in our filings with SEC, including our Form 10-K for the year ended April 30, 2025 and our Form 10-Q for the quarter ended October 31, 2025. Additional information will be made available in our quarterly report on Form 10-Q for the quarter ended January 31, 2026 and other reports that we may file with the SEC from time to time, which could cause actual results to vary from expectations. If the risks materialize or assumptions prove incorrect, actual results could differ materially from the results implied by these forward-looking statements. The Company assumes no obligation to, and does not currently intend to, update any such forward-looking statements after the date of this release, except as required by applicable law.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9.01    Financial Statements and Exhibits.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 Exhibits.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14"/>
        <w:gridCol w:w="363"/>
        <w:gridCol w:w="364"/>
        <w:gridCol w:w="109"/>
        <w:gridCol w:w="109"/>
        <w:gridCol w:w="109"/>
        <w:gridCol w:w="2558"/>
        <w:gridCol w:w="2558"/>
        <w:gridCol w:w="3621"/>
      </w:tblGrid>
      <w:tr>
        <w:trPr/>
        <w:tc>
          <w:tcPr>
            <w:tcW w:w="41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Description</w:t>
            </w:r>
          </w:p>
        </w:tc>
      </w:tr>
      <w:tr>
        <w:trPr/>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ex991-fy26xq3earnings.htm">
              <w:r>
                <w:rPr>
                  <w:rStyle w:val="InternetLink"/>
                  <w:rFonts w:ascii="Times New Roman;serif" w:hAnsi="Times New Roman;serif"/>
                  <w:b w:val="false"/>
                  <w:color w:val="0000FF"/>
                  <w:sz w:val="24"/>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991-fy26xq3earnings.htm">
              <w:r>
                <w:rPr>
                  <w:rStyle w:val="InternetLink"/>
                  <w:rFonts w:ascii="Times New Roman;serif" w:hAnsi="Times New Roman;serif"/>
                  <w:b w:val="false"/>
                  <w:color w:val="0000FF"/>
                  <w:sz w:val="24"/>
                  <w:u w:val="single"/>
                </w:rPr>
                <w:t>Press Release dated February 25, 2026</w:t>
              </w:r>
            </w:hyperlink>
          </w:p>
        </w:tc>
      </w:tr>
      <w:tr>
        <w:trPr/>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Cover Page Interactive Data File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tbl>
      <w:tblPr>
        <w:tblW w:w="5541" w:type="dxa"/>
        <w:jc w:val="left"/>
        <w:tblInd w:w="0" w:type="dxa"/>
        <w:tblLayout w:type="fixed"/>
        <w:tblCellMar>
          <w:top w:w="28" w:type="dxa"/>
          <w:left w:w="28" w:type="dxa"/>
          <w:bottom w:w="28" w:type="dxa"/>
          <w:right w:w="28" w:type="dxa"/>
        </w:tblCellMar>
      </w:tblPr>
      <w:tblGrid>
        <w:gridCol w:w="929"/>
        <w:gridCol w:w="816"/>
        <w:gridCol w:w="820"/>
        <w:gridCol w:w="187"/>
        <w:gridCol w:w="187"/>
        <w:gridCol w:w="187"/>
        <w:gridCol w:w="706"/>
        <w:gridCol w:w="706"/>
        <w:gridCol w:w="1003"/>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C3.ai, Inc.</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Dated: February 25, 2026</w:t>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 Stephen Ehikian</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Stephen Ehikian</w:t>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center"/>
        <w:rPr>
          <w:rFonts w:ascii="Times New Roman;serif" w:hAnsi="Times New Roman;serif"/>
          <w:b/>
          <w:color w:val="000000"/>
          <w:sz w:val="22"/>
        </w:rPr>
      </w:pPr>
      <w:r>
        <w:rPr>
          <w:rFonts w:ascii="Times New Roman;serif" w:hAnsi="Times New Roman;serif"/>
          <w:b/>
          <w:color w:val="000000"/>
          <w:sz w:val="22"/>
        </w:rPr>
        <w:t>C3 AI Announces Fiscal Third Quarter 2026 Results</w:t>
      </w:r>
    </w:p>
    <w:p>
      <w:pPr>
        <w:pStyle w:val="TextBody"/>
        <w:bidi w:val="0"/>
        <w:spacing w:before="120" w:after="120"/>
        <w:jc w:val="both"/>
        <w:rPr/>
      </w:pPr>
      <w:r>
        <w:rPr/>
      </w:r>
    </w:p>
    <w:p>
      <w:pPr>
        <w:pStyle w:val="TextBody"/>
        <w:bidi w:val="0"/>
        <w:spacing w:lineRule="auto" w:line="288" w:before="120" w:after="120"/>
        <w:jc w:val="both"/>
        <w:rPr/>
      </w:pPr>
      <w:r>
        <w:rPr>
          <w:rFonts w:ascii="Times New Roman;serif" w:hAnsi="Times New Roman;serif"/>
          <w:b w:val="false"/>
          <w:color w:val="000000"/>
          <w:sz w:val="20"/>
        </w:rPr>
        <w:t xml:space="preserve">REDWOOD CITY, Calif. — February 25, 2026 — </w:t>
      </w:r>
      <w:r>
        <w:rPr>
          <w:rFonts w:ascii="Times New Roman;serif" w:hAnsi="Times New Roman;serif"/>
          <w:b w:val="false"/>
          <w:color w:val="0E32E1"/>
          <w:sz w:val="20"/>
          <w:u w:val="single"/>
        </w:rPr>
        <w:t>C3.ai, Inc</w:t>
      </w:r>
      <w:r>
        <w:rPr>
          <w:rFonts w:ascii="Times New Roman;serif" w:hAnsi="Times New Roman;serif"/>
          <w:b w:val="false"/>
          <w:color w:val="0E32E1"/>
          <w:sz w:val="20"/>
        </w:rPr>
        <w:t>.</w:t>
      </w:r>
      <w:r>
        <w:rPr>
          <w:color w:val="000000"/>
        </w:rPr>
        <w:t xml:space="preserve"> </w:t>
      </w:r>
      <w:r>
        <w:rPr>
          <w:rFonts w:ascii="Times New Roman;serif" w:hAnsi="Times New Roman;serif"/>
          <w:b w:val="false"/>
          <w:color w:val="000000"/>
          <w:sz w:val="20"/>
        </w:rPr>
        <w:t>(“C3 AI,” “C3,” or the “Company”) (NYSE: AI), the Enterprise AI application software company, today announced financial results for its fiscal third quarter ended January 31, 2026.</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Fiscal Third Quarter 2026 Financial Highlights:</w:t>
      </w:r>
    </w:p>
    <w:p>
      <w:pPr>
        <w:pStyle w:val="TextBody"/>
        <w:bidi w:val="0"/>
        <w:spacing w:lineRule="auto" w:line="288" w:before="120" w:after="120"/>
        <w:ind w:left="0" w:right="0" w:hanging="360"/>
        <w:jc w:val="both"/>
        <w:rPr/>
      </w:pPr>
      <w:r>
        <w:rPr>
          <w:color w:val="000000"/>
        </w:rPr>
        <w:t>•</w:t>
      </w:r>
      <w:r>
        <w:rPr>
          <w:rFonts w:ascii="Times New Roman;serif" w:hAnsi="Times New Roman;serif"/>
          <w:b/>
          <w:color w:val="000000"/>
          <w:sz w:val="20"/>
        </w:rPr>
        <w:t>Total Revenue</w:t>
      </w:r>
      <w:r>
        <w:rPr>
          <w:color w:val="000000"/>
        </w:rPr>
        <w:t xml:space="preserve"> </w:t>
      </w:r>
      <w:r>
        <w:rPr>
          <w:rFonts w:ascii="Times New Roman;serif" w:hAnsi="Times New Roman;serif"/>
          <w:b w:val="false"/>
          <w:color w:val="000000"/>
          <w:sz w:val="20"/>
        </w:rPr>
        <w:t>was $53.3 million.</w:t>
      </w:r>
    </w:p>
    <w:p>
      <w:pPr>
        <w:pStyle w:val="TextBody"/>
        <w:bidi w:val="0"/>
        <w:spacing w:lineRule="auto" w:line="288" w:before="120" w:after="120"/>
        <w:ind w:left="0" w:right="0" w:hanging="360"/>
        <w:jc w:val="both"/>
        <w:rPr/>
      </w:pPr>
      <w:r>
        <w:rPr>
          <w:color w:val="000000"/>
        </w:rPr>
        <w:t>•</w:t>
      </w:r>
      <w:r>
        <w:rPr>
          <w:rFonts w:ascii="Times New Roman;serif" w:hAnsi="Times New Roman;serif"/>
          <w:b/>
          <w:color w:val="000000"/>
          <w:sz w:val="20"/>
        </w:rPr>
        <w:t>Subscription Revenue</w:t>
      </w:r>
      <w:r>
        <w:rPr>
          <w:color w:val="000000"/>
        </w:rPr>
        <w:t xml:space="preserve"> </w:t>
      </w:r>
      <w:r>
        <w:rPr>
          <w:rFonts w:ascii="Times New Roman;serif" w:hAnsi="Times New Roman;serif"/>
          <w:b w:val="false"/>
          <w:color w:val="000000"/>
          <w:sz w:val="20"/>
        </w:rPr>
        <w:t>was $48.2 million. Subscription revenue constituted 90% of total revenue.</w:t>
      </w:r>
    </w:p>
    <w:p>
      <w:pPr>
        <w:pStyle w:val="TextBody"/>
        <w:bidi w:val="0"/>
        <w:spacing w:lineRule="auto" w:line="288" w:before="120" w:after="120"/>
        <w:ind w:left="0" w:right="0" w:hanging="360"/>
        <w:jc w:val="both"/>
        <w:rPr/>
      </w:pPr>
      <w:r>
        <w:rPr>
          <w:color w:val="000000"/>
        </w:rPr>
        <w:t>•</w:t>
      </w:r>
      <w:r>
        <w:rPr>
          <w:rFonts w:ascii="Times New Roman;serif" w:hAnsi="Times New Roman;serif"/>
          <w:b/>
          <w:color w:val="000000"/>
          <w:sz w:val="20"/>
        </w:rPr>
        <w:t xml:space="preserve">Subscription and Prioritized Engineering Services Revenue Combined </w:t>
      </w:r>
      <w:r>
        <w:rPr>
          <w:rFonts w:ascii="Times New Roman;serif" w:hAnsi="Times New Roman;serif"/>
          <w:b w:val="false"/>
          <w:color w:val="000000"/>
          <w:sz w:val="20"/>
        </w:rPr>
        <w:t>was $51.5 million, constituting 97% of total revenue.</w:t>
      </w:r>
    </w:p>
    <w:p>
      <w:pPr>
        <w:pStyle w:val="TextBody"/>
        <w:bidi w:val="0"/>
        <w:spacing w:lineRule="auto" w:line="288" w:before="120" w:after="120"/>
        <w:ind w:left="0" w:right="0" w:hanging="360"/>
        <w:jc w:val="both"/>
        <w:rPr/>
      </w:pPr>
      <w:r>
        <w:rPr>
          <w:color w:val="000000"/>
        </w:rPr>
        <w:t>•</w:t>
      </w:r>
      <w:r>
        <w:rPr>
          <w:rFonts w:ascii="Times New Roman;serif" w:hAnsi="Times New Roman;serif"/>
          <w:b/>
          <w:color w:val="000000"/>
          <w:sz w:val="20"/>
        </w:rPr>
        <w:t>GAAP gross profit</w:t>
      </w:r>
      <w:r>
        <w:rPr>
          <w:color w:val="000000"/>
        </w:rPr>
        <w:t xml:space="preserve"> </w:t>
      </w:r>
      <w:r>
        <w:rPr>
          <w:rFonts w:ascii="Times New Roman;serif" w:hAnsi="Times New Roman;serif"/>
          <w:b w:val="false"/>
          <w:color w:val="000000"/>
          <w:sz w:val="20"/>
        </w:rPr>
        <w:t>was $9.2 million, representing a 17% gross margin. Non-GAAP gross profit was $19.6 million, representing a 37% non-GAAP gross margin.</w:t>
      </w:r>
    </w:p>
    <w:p>
      <w:pPr>
        <w:pStyle w:val="TextBody"/>
        <w:bidi w:val="0"/>
        <w:spacing w:lineRule="auto" w:line="288" w:before="120" w:after="120"/>
        <w:ind w:left="0" w:right="0" w:hanging="360"/>
        <w:jc w:val="both"/>
        <w:rPr/>
      </w:pPr>
      <w:r>
        <w:rPr>
          <w:color w:val="000000"/>
        </w:rPr>
        <w:t>•</w:t>
      </w:r>
      <w:r>
        <w:rPr>
          <w:rFonts w:ascii="Times New Roman;serif" w:hAnsi="Times New Roman;serif"/>
          <w:b/>
          <w:color w:val="000000"/>
          <w:sz w:val="20"/>
        </w:rPr>
        <w:t>GAAP net loss per share</w:t>
      </w:r>
      <w:r>
        <w:rPr>
          <w:color w:val="000000"/>
        </w:rPr>
        <w:t xml:space="preserve"> </w:t>
      </w:r>
      <w:r>
        <w:rPr>
          <w:rFonts w:ascii="Times New Roman;serif" w:hAnsi="Times New Roman;serif"/>
          <w:b w:val="false"/>
          <w:color w:val="000000"/>
          <w:sz w:val="20"/>
        </w:rPr>
        <w:t>was $(0.94). Non-GAAP net loss per share was $(0.40).</w:t>
      </w:r>
    </w:p>
    <w:p>
      <w:pPr>
        <w:pStyle w:val="TextBody"/>
        <w:bidi w:val="0"/>
        <w:spacing w:lineRule="auto" w:line="288" w:before="120" w:after="120"/>
        <w:ind w:left="0" w:right="0" w:hanging="360"/>
        <w:jc w:val="both"/>
        <w:rPr/>
      </w:pPr>
      <w:r>
        <w:rPr>
          <w:color w:val="000000"/>
        </w:rPr>
        <w:t>•</w:t>
      </w:r>
      <w:r>
        <w:rPr>
          <w:rFonts w:ascii="Times New Roman;serif" w:hAnsi="Times New Roman;serif"/>
          <w:b/>
          <w:color w:val="000000"/>
          <w:sz w:val="20"/>
        </w:rPr>
        <w:t xml:space="preserve">Cash, cash equivalents, and marketable securities </w:t>
      </w:r>
      <w:r>
        <w:rPr>
          <w:rFonts w:ascii="Times New Roman;serif" w:hAnsi="Times New Roman;serif"/>
          <w:b w:val="false"/>
          <w:color w:val="000000"/>
          <w:sz w:val="20"/>
        </w:rPr>
        <w:t>was $621.9 million.</w:t>
      </w:r>
    </w:p>
    <w:p>
      <w:pPr>
        <w:pStyle w:val="TextBody"/>
        <w:bidi w:val="0"/>
        <w:spacing w:before="120" w:after="120"/>
        <w:jc w:val="both"/>
        <w:rPr/>
      </w:pPr>
      <w:r>
        <w:rPr/>
      </w:r>
    </w:p>
    <w:p>
      <w:pPr>
        <w:pStyle w:val="TextBody"/>
        <w:bidi w:val="0"/>
        <w:spacing w:lineRule="auto" w:line="288" w:before="120" w:after="120"/>
        <w:jc w:val="both"/>
        <w:rPr>
          <w:color w:val="000000"/>
        </w:rPr>
      </w:pPr>
      <w:r>
        <w:rPr>
          <w:color w:val="000000"/>
        </w:rPr>
        <w:t>“</w:t>
      </w:r>
      <w:r>
        <w:rPr>
          <w:rFonts w:ascii="Times New Roman;serif" w:hAnsi="Times New Roman;serif"/>
          <w:b w:val="false"/>
          <w:color w:val="000000"/>
          <w:sz w:val="20"/>
        </w:rPr>
        <w:t>I joined C3 AI six months ago and I did so with a clear conviction: this company is uniquely positioned to win in Enterprise AI. That conviction has been reinforced through extensive engagement with customers, prospects, partners, and investors. However, it was clear to me that we were not organized appropriately. We’ve reduced our cost structure and cash burn. We’ve restructured and flattened the sales organization. We’ve focused efforts on our best-in-class applications. We’ve shifted our go-to-market toward large-scale, enterprise-wide transformations. We’ve accelerated how we build and deliver product. And we are infusing our AI across every function at C3 AI. Those changes are substantially complete and C3 AI is now a more agile, more disciplined, and more accountable organization. Moving forward, our entire focus is on executing our return to growth and building C3 AI into a profitable, cash-positive business,” said Stephen Ehikian, CEO, C3 AI.</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Business Highlights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 Q3, the Company closed 44 agreements including new and expanded agreements with the U.S. Department of Agriculture, the U.S. Department of Energy, the NATO Communications and Information Agency, the Royal Navy, Thales Group, ExxonMobil, GSK, U.S. Steel, Plains All American Pipeline, Seaspan ULC, and McLaren Automotive, among others.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C3 AI Strategic Integrator Program</w:t>
      </w:r>
      <w:r>
        <w:rPr>
          <w:color w:val="000000"/>
        </w:rPr>
        <w:t xml:space="preserve"> </w:t>
      </w:r>
      <w:r>
        <w:rPr>
          <w:rFonts w:ascii="Times New Roman;serif" w:hAnsi="Times New Roman;serif"/>
          <w:b w:val="false"/>
          <w:color w:val="000000"/>
          <w:sz w:val="20"/>
        </w:rPr>
        <w:t>expanded with the addition of Cathexis (formerly Paradyme) and stc Kuwait. Cathexis will leverage the C3 Agentic AI Platform to develop and deploy commercial-off-the-shelf solutions for the U.S. Federal government, and stc Kuwait will use the platform to expand its AI offerings for the oil &amp; gas industry.</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Federal, Defense &amp; Aerospace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C3 AI’s Federal business, together with the defense and aerospace segment, gained traction, driven by new U.S. Federal government agreements and growing international adoption.</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 Q3, total bookings across federal, defense and aerospace increased by 134% year-over-year, representing 55% of total bookings.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Company entered into new and expansion agreements with the U.S. Department of Agriculture, the U.S. Department of Energy, the U.S. Navy, the Missile Defense Agency, the U.S. Intelligence Community, and the U.S. Department of War, among others.</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hanging="360"/>
        <w:jc w:val="both"/>
        <w:rPr/>
      </w:pPr>
      <w:r>
        <w:rPr>
          <w:color w:val="000000"/>
        </w:rPr>
        <w:t>•</w:t>
      </w:r>
      <w:r>
        <w:rPr>
          <w:rFonts w:ascii="Times New Roman;serif" w:hAnsi="Times New Roman;serif"/>
          <w:b/>
          <w:color w:val="000000"/>
          <w:sz w:val="20"/>
        </w:rPr>
        <w:t xml:space="preserve">The U.S. Department of Agriculture </w:t>
      </w:r>
      <w:r>
        <w:rPr>
          <w:rFonts w:ascii="Times New Roman;serif" w:hAnsi="Times New Roman;serif"/>
          <w:b w:val="false"/>
          <w:color w:val="000000"/>
          <w:sz w:val="20"/>
        </w:rPr>
        <w:t>(USDA) selected C3 AI to deploy an enterprise-scale AI solution designed to modernize the department’s intergovernmental and public engagements. The partnership will leverage the C3 Agentic AI Platform to unify complex and fragmented data ecosystems into a secure department-wide solution. By utilizing advanced generative and agentic AI models, the USDA will automate the analysis and processing of large-scale information flows, ensuring that high volumes of inquiries are handled timely and accurately.</w:t>
      </w:r>
    </w:p>
    <w:p>
      <w:pPr>
        <w:pStyle w:val="TextBody"/>
        <w:bidi w:val="0"/>
        <w:spacing w:lineRule="auto" w:line="288" w:before="120" w:after="120"/>
        <w:ind w:left="0" w:right="0" w:hanging="360"/>
        <w:jc w:val="both"/>
        <w:rPr/>
      </w:pPr>
      <w:r>
        <w:rPr>
          <w:color w:val="000000"/>
        </w:rPr>
        <w:t>•</w:t>
      </w:r>
      <w:r>
        <w:rPr>
          <w:rFonts w:ascii="Times New Roman;serif" w:hAnsi="Times New Roman;serif"/>
          <w:b/>
          <w:color w:val="000000"/>
          <w:sz w:val="20"/>
        </w:rPr>
        <w:t>The U.S. Department of Energy </w:t>
      </w:r>
      <w:r>
        <w:rPr>
          <w:rFonts w:ascii="Times New Roman;serif" w:hAnsi="Times New Roman;serif"/>
          <w:b w:val="false"/>
          <w:color w:val="000000"/>
          <w:sz w:val="20"/>
        </w:rPr>
        <w:t xml:space="preserve">selected C3 AI to provide a central data management solution for Headquarters Office of Management to unify data into an AI-enabled decision platform. The solution will enhance workflow efficiency, strengthen compliance oversight, and improve real-time visibility across key functions. </w:t>
      </w:r>
    </w:p>
    <w:p>
      <w:pPr>
        <w:pStyle w:val="TextBody"/>
        <w:bidi w:val="0"/>
        <w:spacing w:lineRule="auto" w:line="288" w:before="120" w:after="120"/>
        <w:ind w:left="0" w:right="0" w:hanging="360"/>
        <w:jc w:val="both"/>
        <w:rPr/>
      </w:pPr>
      <w:r>
        <w:rPr>
          <w:color w:val="000000"/>
        </w:rPr>
        <w:t>•</w:t>
      </w:r>
      <w:r>
        <w:rPr>
          <w:rFonts w:ascii="Times New Roman;serif" w:hAnsi="Times New Roman;serif"/>
          <w:b/>
          <w:color w:val="000000"/>
          <w:sz w:val="20"/>
        </w:rPr>
        <w:t xml:space="preserve">The NATO Communications and Information Agency </w:t>
      </w:r>
      <w:r>
        <w:rPr>
          <w:rFonts w:ascii="Times New Roman;serif" w:hAnsi="Times New Roman;serif"/>
          <w:b w:val="false"/>
          <w:color w:val="000000"/>
          <w:sz w:val="20"/>
        </w:rPr>
        <w:t>selected C3 AI as part of Team Squarcle to enhance Allied Joint Support and Enabling Command’s logistics planning and decision making in support of NATO’s readiness and deterrence objectives. C3 AI will deliver AI-powered decision support using C3 AI Contested Logistics to enable faster, more accurate reinforcement and deployment decisions, supporting scenario planning, mission execution, and training for multinational operations across the European theater.</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Commercial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C3 AI continued to drive customer expansion across asset-intensive operations and complex supply chain environments.</w:t>
      </w:r>
    </w:p>
    <w:p>
      <w:pPr>
        <w:pStyle w:val="TextBody"/>
        <w:bidi w:val="0"/>
        <w:spacing w:lineRule="auto" w:line="288" w:before="120" w:after="120"/>
        <w:ind w:left="0" w:right="0" w:hanging="360"/>
        <w:jc w:val="both"/>
        <w:rPr/>
      </w:pPr>
      <w:r>
        <w:rPr>
          <w:color w:val="000000"/>
        </w:rPr>
        <w:t>•</w:t>
      </w:r>
      <w:r>
        <w:rPr>
          <w:rFonts w:ascii="Times New Roman;serif" w:hAnsi="Times New Roman;serif"/>
          <w:b/>
          <w:color w:val="000000"/>
          <w:sz w:val="20"/>
        </w:rPr>
        <w:t>One of the world’s largest energy exploration and production companies</w:t>
      </w:r>
      <w:r>
        <w:rPr>
          <w:color w:val="000000"/>
        </w:rPr>
        <w:t xml:space="preserve"> </w:t>
      </w:r>
      <w:r>
        <w:rPr>
          <w:rFonts w:ascii="Times New Roman;serif" w:hAnsi="Times New Roman;serif"/>
          <w:b w:val="false"/>
          <w:color w:val="000000"/>
          <w:sz w:val="20"/>
        </w:rPr>
        <w:t>extended its long-standing partnership with C3 AI under a new multi-year agreement. Under the agreement, the company is extending its C3 AI Reliability deployment to enhance its operations, extending predictive maintenance capabilities beyond equipment anomaly detection to include AI agent–based root cause analysis and remediation.</w:t>
      </w:r>
    </w:p>
    <w:p>
      <w:pPr>
        <w:pStyle w:val="TextBody"/>
        <w:bidi w:val="0"/>
        <w:spacing w:lineRule="auto" w:line="288" w:before="120" w:after="120"/>
        <w:ind w:left="0" w:right="0" w:hanging="360"/>
        <w:jc w:val="both"/>
        <w:rPr/>
      </w:pPr>
      <w:r>
        <w:rPr>
          <w:color w:val="000000"/>
        </w:rPr>
        <w:t>•</w:t>
      </w:r>
      <w:r>
        <w:rPr>
          <w:rFonts w:ascii="Times New Roman;serif" w:hAnsi="Times New Roman;serif"/>
          <w:b/>
          <w:color w:val="000000"/>
          <w:sz w:val="20"/>
        </w:rPr>
        <w:t>Driscoll’s</w:t>
      </w:r>
      <w:r>
        <w:rPr>
          <w:rFonts w:ascii="Times New Roman;serif" w:hAnsi="Times New Roman;serif"/>
          <w:b w:val="false"/>
          <w:color w:val="000000"/>
          <w:sz w:val="20"/>
        </w:rPr>
        <w:t>, the global market leader in fresh berries, expanded its use of the C3 Agentic AI Platform under a multi-year agreement, scaling Enterprise AI–powered supply forecasting across all berry categories, growing regions, and operational workflows to improve forecast accuracy and planning decisions across its global supply network.</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C3 Generative AI</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 Q3, the Company closed eight agreements for C3 Generative AI, including six initial production deployment agreements across McLaren Automotive, Seaspan ULC, and the U.S. Intelligence Community, among others.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A leading provider of subsea engineering and construction services for the offshore energy industry is using C3 Generative AI to automate the creation of complex, calculation-heavy engineering reports. Following a successful initial production deployment, the company is now scaling the solution across additional report types, reducing report production time from weeks to hours while minimizing manual effort and human error. Centralized, consistent reports provide faster access to accurate insights, enabling better decision making and meaningful time and cost savings.</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C3 Transform 2026</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C3 AI will be holding its seventh annual international user’s group conference, C3 Transform, in Boca Raton from March 3–5, 2026. Customers, partners, and industry leaders will join the C3 AI board of directors and executive team to showcase how Enterprise AI is delivering measurable business value for the world’s leading organizations. </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Restructuring</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C3 AI launched a restructuring plan designed to materially improve operating efficiency and position the company for success. This is expected to result in annual cost savings and reduced cash burn of approximately $135 million in non-GAAP operating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Financial Outlook: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guidance includes GAAP and non-GAAP financial measures.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C3 AI’s guidance for the fourth quarter of fiscal 2026 and full-year fiscal 2026:</w:t>
      </w:r>
    </w:p>
    <w:p>
      <w:pPr>
        <w:pStyle w:val="TextBody"/>
        <w:bidi w:val="0"/>
        <w:spacing w:before="0" w:after="0"/>
        <w:jc w:val="both"/>
        <w:rPr/>
      </w:pPr>
      <w:r>
        <w:rPr/>
      </w:r>
    </w:p>
    <w:tbl>
      <w:tblPr>
        <w:tblW w:w="8437" w:type="dxa"/>
        <w:jc w:val="left"/>
        <w:tblInd w:w="0" w:type="dxa"/>
        <w:tblLayout w:type="fixed"/>
        <w:tblCellMar>
          <w:top w:w="28" w:type="dxa"/>
          <w:left w:w="28" w:type="dxa"/>
          <w:bottom w:w="28" w:type="dxa"/>
          <w:right w:w="28" w:type="dxa"/>
        </w:tblCellMar>
      </w:tblPr>
      <w:tblGrid>
        <w:gridCol w:w="983"/>
        <w:gridCol w:w="863"/>
        <w:gridCol w:w="868"/>
        <w:gridCol w:w="989"/>
        <w:gridCol w:w="989"/>
        <w:gridCol w:w="992"/>
        <w:gridCol w:w="829"/>
        <w:gridCol w:w="829"/>
        <w:gridCol w:w="832"/>
        <w:gridCol w:w="109"/>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29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Fourth Quarter Fiscal 2026 Guidance</w:t>
            </w:r>
          </w:p>
        </w:tc>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Full Year Fiscal 2026 Guidance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$48.0 - $52.0 </w:t>
            </w:r>
          </w:p>
        </w:tc>
        <w:tc>
          <w:tcPr>
            <w:tcW w:w="24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$246.7 - $250.7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Non-GAAP loss from operations</w:t>
            </w:r>
          </w:p>
        </w:tc>
        <w:tc>
          <w:tcPr>
            <w:tcW w:w="29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 - $(64.0)</w:t>
            </w:r>
          </w:p>
        </w:tc>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$(219.5) - $(227.5)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reconciliation of non-GAAP guidance measures to corresponding GAAP measures is not available on a forward-looking basis without unreasonable effort due to the uncertainty regarding, and the potential variability of, expenses that may be incurred in the future. Our guidance for non-GAAP loss from operations for fourth quarter fiscal 2026 and full-year fiscal 2026 excludes pre- tax restructuring expenses of approximately $10.0 million - 12.0 million. Stock-based compensation expense-related charges, including employer payroll tax-related items on employee stock transactions, are impacted by the timing of employee stock transactions, the future fair market value of our common stock, and our future hiring and retention needs, all of which are difficult to predict and subject to constant change. We have provided a reconciliation of GAAP to non-GAAP financial measures in the financial statement tables for our historical non-GAAP results included in this press release. Our fiscal year ends April 30, and numbers are rounded for presentation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Conference Call Details </w:t>
      </w:r>
    </w:p>
    <w:p>
      <w:pPr>
        <w:pStyle w:val="TextBody"/>
        <w:bidi w:val="0"/>
        <w:spacing w:before="0" w:after="0"/>
        <w:jc w:val="left"/>
        <w:rPr/>
      </w:pPr>
      <w:r>
        <w:rPr/>
      </w:r>
    </w:p>
    <w:tbl>
      <w:tblPr>
        <w:tblW w:w="9883" w:type="dxa"/>
        <w:jc w:val="left"/>
        <w:tblInd w:w="0" w:type="dxa"/>
        <w:tblLayout w:type="fixed"/>
        <w:tblCellMar>
          <w:top w:w="28" w:type="dxa"/>
          <w:left w:w="28" w:type="dxa"/>
          <w:bottom w:w="28" w:type="dxa"/>
          <w:right w:w="28" w:type="dxa"/>
        </w:tblCellMar>
      </w:tblPr>
      <w:tblGrid>
        <w:gridCol w:w="779"/>
        <w:gridCol w:w="689"/>
        <w:gridCol w:w="646"/>
        <w:gridCol w:w="2271"/>
        <w:gridCol w:w="2271"/>
        <w:gridCol w:w="3227"/>
      </w:tblGrid>
      <w:tr>
        <w:trPr/>
        <w:tc>
          <w:tcPr>
            <w:tcW w:w="77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3227"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What:</w:t>
            </w:r>
          </w:p>
        </w:tc>
        <w:tc>
          <w:tcPr>
            <w:tcW w:w="7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C3 AI Third Quarter Fiscal Year 2026 Financial Results Conference Call</w:t>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When:</w:t>
            </w:r>
          </w:p>
        </w:tc>
        <w:tc>
          <w:tcPr>
            <w:tcW w:w="7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Wednesday, February 25, 2026</w:t>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Time:</w:t>
            </w:r>
          </w:p>
        </w:tc>
        <w:tc>
          <w:tcPr>
            <w:tcW w:w="7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2:00 p.m. PT / 5:00 p.m. ET</w:t>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Participant Registration:</w:t>
            </w:r>
          </w:p>
        </w:tc>
        <w:tc>
          <w:tcPr>
            <w:tcW w:w="7769"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E32E1"/>
                <w:sz w:val="20"/>
                <w:u w:val="single"/>
              </w:rPr>
              <w:t>https://register-conf.media-server.com/register/BIaf593930cc1b47e08460193eb48fb3fc</w:t>
            </w:r>
            <w:r>
              <w:rPr>
                <w:color w:val="000000"/>
              </w:rPr>
              <w:t xml:space="preserve"> </w:t>
            </w:r>
            <w:r>
              <w:rPr>
                <w:rFonts w:ascii="Times New Roman;serif" w:hAnsi="Times New Roman;serif"/>
                <w:b w:val="false"/>
                <w:color w:val="000000"/>
                <w:sz w:val="20"/>
              </w:rPr>
              <w:t>(live)</w:t>
            </w:r>
          </w:p>
        </w:tc>
      </w:tr>
      <w:tr>
        <w:trPr/>
        <w:tc>
          <w:tcPr>
            <w:tcW w:w="21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Webcast:</w:t>
            </w:r>
          </w:p>
        </w:tc>
        <w:tc>
          <w:tcPr>
            <w:tcW w:w="776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E32E1"/>
                <w:sz w:val="20"/>
                <w:u w:val="single"/>
              </w:rPr>
              <w:t>https://edge.media-server.com/mmc/p/hzgor4v4/</w:t>
            </w:r>
            <w:r>
              <w:rPr>
                <w:color w:val="000000"/>
              </w:rPr>
              <w:t xml:space="preserve"> </w:t>
            </w:r>
            <w:r>
              <w:rPr>
                <w:rFonts w:ascii="Times New Roman;serif" w:hAnsi="Times New Roman;serif"/>
                <w:b w:val="false"/>
                <w:color w:val="000000"/>
                <w:sz w:val="20"/>
              </w:rPr>
              <w:t>(live and replay)</w:t>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7769" w:type="dxa"/>
            <w:gridSpan w:val="3"/>
            <w:tcBorders/>
            <w:vAlign w:val="center"/>
          </w:tcPr>
          <w:p>
            <w:pPr>
              <w:pStyle w:val="TableContents"/>
              <w:bidi w:val="0"/>
              <w:spacing w:before="0" w:after="283"/>
              <w:jc w:val="left"/>
              <w:rPr>
                <w:sz w:val="4"/>
                <w:szCs w:val="4"/>
              </w:rPr>
            </w:pPr>
            <w:r>
              <w:rPr>
                <w:sz w:val="4"/>
                <w:szCs w:val="4"/>
              </w:rPr>
            </w:r>
          </w:p>
        </w:tc>
      </w:tr>
      <w:tr>
        <w:trPr/>
        <w:tc>
          <w:tcPr>
            <w:tcW w:w="2114" w:type="dxa"/>
            <w:gridSpan w:val="3"/>
            <w:tcBorders/>
            <w:vAlign w:val="center"/>
          </w:tcPr>
          <w:p>
            <w:pPr>
              <w:pStyle w:val="TableContents"/>
              <w:bidi w:val="0"/>
              <w:spacing w:before="0" w:after="283"/>
              <w:jc w:val="left"/>
              <w:rPr>
                <w:sz w:val="4"/>
                <w:szCs w:val="4"/>
              </w:rPr>
            </w:pPr>
            <w:r>
              <w:rPr>
                <w:sz w:val="4"/>
                <w:szCs w:val="4"/>
              </w:rPr>
            </w:r>
          </w:p>
        </w:tc>
        <w:tc>
          <w:tcPr>
            <w:tcW w:w="776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Investor Presentation Details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An investor presentation providing additional information and analysis can be found at our investor relations page at </w:t>
      </w:r>
      <w:r>
        <w:rPr>
          <w:rFonts w:ascii="Times New Roman;serif" w:hAnsi="Times New Roman;serif"/>
          <w:b w:val="false"/>
          <w:color w:val="0E32E1"/>
          <w:sz w:val="20"/>
          <w:u w:val="single"/>
        </w:rPr>
        <w:t>ir.c3.ai</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Statement Regarding Use of Non-GAAP Financial Measures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reports the following non-GAAP financial measures, which have not been prepared in accordance with generally accepted accounting principles in the United States (“GAAP”), in addition to, and not as a substitute for, or superior to, financial measures calculated in accordance with GAAP.</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Non-GAAP gross profit, non-GAAP gross margin, non-GAAP loss from operations, and non-GAAP net loss per share.</w:t>
      </w:r>
      <w:r>
        <w:rPr>
          <w:color w:val="000000"/>
        </w:rPr>
        <w:t xml:space="preserve"> </w:t>
      </w:r>
      <w:r>
        <w:rPr>
          <w:rFonts w:ascii="Times New Roman;serif" w:hAnsi="Times New Roman;serif"/>
          <w:b w:val="false"/>
          <w:color w:val="000000"/>
          <w:sz w:val="20"/>
        </w:rPr>
        <w:t>Our non-GAAP gross profit, non-GAAP gross margin, non-GAAP loss from operations, and non-GAAP net loss per share exclude the effect of stock-based compensation expense-related charges and employer payroll tax expense related to employee stock-based compensation. We believe the presentation of operating results that exclude these non-cash items provides useful supplemental information to investors and facilitates the analysis of our operating results and comparison of operating results across reporting periods.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0"/>
        </w:rPr>
        <w:t>Free cash flow</w:t>
      </w:r>
      <w:r>
        <w:rPr>
          <w:rFonts w:ascii="Times New Roman;serif" w:hAnsi="Times New Roman;serif"/>
          <w:b w:val="false"/>
          <w:color w:val="000000"/>
          <w:sz w:val="20"/>
        </w:rPr>
        <w:t>. We believe free cash flow, a non-GAAP financial measure, is useful in evaluating liquidity and provides information to management and investors about our ability to fund future operating needs and strategic initiatives. We calculate free cash flow as net cash used in operating activities less purchases of property and equipment and capitalized software development costs. This non-GAAP financial measure may be different than similarly titled measures used by other companies. Additionally, the utility of free cash flow is further limited as it does not represent the total increase or decrease in our cash balances for a given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use these non-GAAP financial measures internally for financial and operational decision-making purposes and as a means to evaluate period-to-period comparisons. Non-GAAP financial measures are not meant to be considered in isolation or as a substitute for comparable GAAP financial measures and should be read only in conjunction with our condensed consolidated financial statements prepared in accordance with GAAP. Our presentation of non-GAAP financial measures may not be comparable to similar measures used by other companies. We encourage investors to carefully consider our results under GAAP, as well as our supplemental non-GAAP information and the reconciliation between these presentations, to more fully understand our business. Please see the tables included at the end of this release for the reconciliation of GAAP to non-GAAP financial measures.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Professional Services Revenue</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Our professional services revenue includes service fees and prioritized engineering services. Service fees include revenue from services such as consulting, training, and paid implementation services.</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Prioritized engineering services are undertaken when a customer requests that we accelerate the design, development, and delivery of software features and functions that are planned in our future product roadmap. When we agree to this, we negotiate an agreed upon fee to accelerate the development of the software. When the software feature is delivered, it becomes integrated to our core product offering, is available to all subscribers of the underlying software product, and enhances the operation of that product going forward. Such prioritized engineering services result in production-level computer software – compiled code that enhances the functionality of our production products – which is available for our customers to use over the life of their software licenses. Per Accounting Standards Codification (ASC) 606, Prioritized engineering services revenue is recognized as professional services over the period in which the software development is completed.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Total professional services revenue consists of:</w:t>
      </w:r>
    </w:p>
    <w:p>
      <w:pPr>
        <w:pStyle w:val="TextBody"/>
        <w:bidi w:val="0"/>
        <w:spacing w:before="0" w:after="0"/>
        <w:jc w:val="both"/>
        <w:rPr/>
      </w:pPr>
      <w:r>
        <w:rPr/>
      </w:r>
    </w:p>
    <w:tbl>
      <w:tblPr>
        <w:tblW w:w="8312" w:type="dxa"/>
        <w:jc w:val="left"/>
        <w:tblInd w:w="0" w:type="dxa"/>
        <w:tblLayout w:type="fixed"/>
        <w:tblCellMar>
          <w:top w:w="28" w:type="dxa"/>
          <w:left w:w="28" w:type="dxa"/>
          <w:bottom w:w="28" w:type="dxa"/>
          <w:right w:w="28" w:type="dxa"/>
        </w:tblCellMar>
      </w:tblPr>
      <w:tblGrid>
        <w:gridCol w:w="1075"/>
        <w:gridCol w:w="946"/>
        <w:gridCol w:w="948"/>
        <w:gridCol w:w="232"/>
        <w:gridCol w:w="678"/>
        <w:gridCol w:w="119"/>
        <w:gridCol w:w="119"/>
        <w:gridCol w:w="119"/>
        <w:gridCol w:w="119"/>
        <w:gridCol w:w="232"/>
        <w:gridCol w:w="793"/>
        <w:gridCol w:w="119"/>
        <w:gridCol w:w="109"/>
        <w:gridCol w:w="109"/>
        <w:gridCol w:w="109"/>
        <w:gridCol w:w="214"/>
        <w:gridCol w:w="731"/>
        <w:gridCol w:w="110"/>
        <w:gridCol w:w="110"/>
        <w:gridCol w:w="110"/>
        <w:gridCol w:w="110"/>
        <w:gridCol w:w="214"/>
        <w:gridCol w:w="731"/>
        <w:gridCol w:w="156"/>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January 31,</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Prioritized engineering services</w:t>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15,893 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fees</w:t>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professional services revenue</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13,103 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19,962 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40,036 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Use of Forward-Looking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within the meaning of the Private Securities Litigation Reform Act of 1995. The words “anticipate,” “believe,” “continue,” “estimate,” “expect,” “intend,” “may,” “will” and similar expressions are intended to identify forward-looking statements, although not all forward-looking statements contain these words. Forward-looking statements in this press release include, but are not limited to, statements regarding our restructuring plan, our market leadership position, anticipated benefits from our partnerships, our financial outlook for the fourth quarter of fiscal 2026 and full 2026 fiscal year, our ability to accelerate going forward, our ability to return to growth and to achieve cash generation and non-GAAP profitability, our sales and customer opportunity pipeline, including continued growth in the Federal market, the expected benefits of our offerings, and our business strategies, plans, and objectives for future operations.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and uncertainties, including our history of losses and ability to achieve and maintain profitability in the future, our historic dependence on a limited number of existing customers that account for a substantial portion of our revenue, our ability to attract new customers and retain existing customers, the ability of our restructured global sales and services organization to achieve desired productivity levels in a reasonable period of time, the impact of the transition of our Chief Executive Officer role, the continued involvement of our Executive Chairman and our ability to retain key members of our senior management, market awareness and acceptance of enterprise AI solutions in general and our products in particular, the length and unpredictability of our sales cycles and the time and expense required for our sales efforts. Some of these risks are described in greater detail in our filings with the Securities and Exchange Commission, including our Annual Report on Form 10-K for the fiscal year ended April 30, 2025, our Quarterly Report on Form 10-Q for the fiscal quarter ended July 31, 2025, October 31, 2025, and other filings and reports we make with the Securities and Exchange Commission from time to time, including, when available, our Quarterly Report on Form 10-Q that will be filed for the fiscal quarter ended January 31, 2026, although new and unanticipated risks may arise. The future events and trends discussed in this press release may not occur and actual results could differ materially and adversely from those anticipated or implied in the forward-looking statements. Although we believe that the expectations reflected in the forward-looking statements are reasonable, we cannot guarantee future results, levels of activity, performance, achievements, or events and circumstances reflected in the forward-looking statements will occur. Except to the extent required by law, we do not undertake to update any of these forward-looking statements after the date of this press release to conform these statements to actual results or revised expectations.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About C3.ai,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C3.ai, Inc. (NYSE:AI) is the Enterprise AI application software company. C3 AI delivers a family of fully integrated products including the C3 Agentic AI Platform, an end-to-end platform for developing, deploying, and operating enterprise AI applications, C3 AI applications, a portfolio of industry-specific SaaS enterprise AI applications that enable the digital transformation of organizations globally, and C3 Generative AI, a suite of domain-specific generative AI offerings for the enterprise.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Investor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ir@c3.ai</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C3 AI Public Relations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Axicom</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Mindy Nelson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830-214-4823</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pr@c3.ai</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Source: C3.ai,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C3.AI,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847"/>
        <w:gridCol w:w="1354"/>
        <w:gridCol w:w="1364"/>
        <w:gridCol w:w="211"/>
        <w:gridCol w:w="859"/>
        <w:gridCol w:w="109"/>
        <w:gridCol w:w="109"/>
        <w:gridCol w:w="109"/>
        <w:gridCol w:w="109"/>
        <w:gridCol w:w="211"/>
        <w:gridCol w:w="754"/>
        <w:gridCol w:w="109"/>
        <w:gridCol w:w="109"/>
        <w:gridCol w:w="109"/>
        <w:gridCol w:w="109"/>
        <w:gridCol w:w="211"/>
        <w:gridCol w:w="859"/>
        <w:gridCol w:w="109"/>
        <w:gridCol w:w="109"/>
        <w:gridCol w:w="109"/>
        <w:gridCol w:w="109"/>
        <w:gridCol w:w="211"/>
        <w:gridCol w:w="859"/>
        <w:gridCol w:w="157"/>
      </w:tblGrid>
      <w:tr>
        <w:trPr/>
        <w:tc>
          <w:tcPr>
            <w:tcW w:w="1847"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January 31,</w:t>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240,297 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40,036 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280,333 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106,129 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111,980 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168,353 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168,969 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167,998 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403,812 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(140,408)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(377,340)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(235,459)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(133,189)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(354,089)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(208,135)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(133,363)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(354,800)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(209,000)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Class A and Class B common stockholders, basic and 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loss per share attributable to Class A and Class B common stockholders, basic and diluted</w:t>
            </w:r>
          </w:p>
        </w:tc>
        <w:tc>
          <w:tcPr>
            <w:tcW w:w="107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141,969 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130,382 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138,671 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127,752 </w:t>
            </w:r>
          </w:p>
        </w:tc>
        <w:tc>
          <w:tcPr>
            <w:tcW w:w="1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6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before="0" w:after="20"/>
        <w:jc w:val="left"/>
        <w:rPr/>
      </w:pPr>
      <w:r>
        <w:rPr/>
      </w:r>
    </w:p>
    <w:p>
      <w:pPr>
        <w:pStyle w:val="TextBody"/>
        <w:bidi w:val="0"/>
        <w:spacing w:before="0" w:after="20"/>
        <w:jc w:val="left"/>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C3.AI,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for share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662"/>
        <w:gridCol w:w="2279"/>
        <w:gridCol w:w="2267"/>
        <w:gridCol w:w="244"/>
        <w:gridCol w:w="956"/>
        <w:gridCol w:w="125"/>
        <w:gridCol w:w="109"/>
        <w:gridCol w:w="109"/>
        <w:gridCol w:w="109"/>
        <w:gridCol w:w="211"/>
        <w:gridCol w:w="976"/>
        <w:gridCol w:w="158"/>
      </w:tblGrid>
      <w:tr>
        <w:trPr/>
        <w:tc>
          <w:tcPr>
            <w:tcW w:w="2662"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7"/>
              </w:rPr>
            </w:pPr>
            <w:r>
              <w:rPr>
                <w:rFonts w:ascii="Times New Roman;serif" w:hAnsi="Times New Roman;serif"/>
                <w:b/>
                <w:color w:val="000000"/>
                <w:sz w:val="17"/>
              </w:rPr>
              <w:t>April 30, 2025</w:t>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88,847 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164,358 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533,076 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578,330 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erif" w:hAnsi="Times New Roman;serif"/>
                <w:b w:val="false"/>
                <w:color w:val="000000"/>
                <w:sz w:val="20"/>
              </w:rPr>
              <w:t>Accounts receivable, net of allowance of $1,066 and $877 as of January 31, 2026 and April 30, 2025, respectively</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123,570 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137,226 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37,202 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782,695 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904,252 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70,798 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non-current</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41,658 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895,776 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1,025,882 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3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18,152 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employee benefits</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46,123 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53,868 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current</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37,496 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17,164 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118,935 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131,884 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non-current</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54,877 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55,695 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176,303 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187,579 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3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2,451,881 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2,216,284 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(1,733,435)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(1,378,635)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719,473 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838,303 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895,776 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1,025,882 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C3.AI,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72"/>
        <w:gridCol w:w="2388"/>
        <w:gridCol w:w="2395"/>
        <w:gridCol w:w="196"/>
        <w:gridCol w:w="783"/>
        <w:gridCol w:w="109"/>
        <w:gridCol w:w="109"/>
        <w:gridCol w:w="109"/>
        <w:gridCol w:w="109"/>
        <w:gridCol w:w="196"/>
        <w:gridCol w:w="783"/>
        <w:gridCol w:w="156"/>
      </w:tblGrid>
      <w:tr>
        <w:trPr/>
        <w:tc>
          <w:tcPr>
            <w:tcW w:w="2872"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January 31,</w:t>
            </w:r>
          </w:p>
        </w:tc>
      </w:tr>
      <w:tr>
        <w:trPr/>
        <w:tc>
          <w:tcPr>
            <w:tcW w:w="7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Cash flows from operating activities:</w:t>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(354,800)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(209,000)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Adjustments to reconcile net loss to net cash used in operating activities</w:t>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9,215 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Non-cash operating lease cost</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 expense</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209,528 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174,373 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Accretion of discounts on marketable securities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(10,715)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Changes in operating assets and liabilities</w:t>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(52,017)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Prepaid expenses, other current assets and other assets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16,916 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Accrued compensation and employee benefits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7,648 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liabilities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1,439 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Other liabilities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12,462 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revenue</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3,427 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(6,007)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used in operating activities</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(135,788)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(52,671)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Cash flows from investing activities:</w:t>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Purchases of property and equipment</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(2,101)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7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Purchases of marketable securities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(443,393)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(518,806)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Maturities and sales of marketable securities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496,134 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514,365 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(used in) investing activities</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51,156 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(6,542)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Cash flows from financing activities:</w:t>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Taxes paid related to net share settlement of equity awards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(7,496)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exercise of Class A common stock options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19,648 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issuance of Class A common stock under employee stock purchase plan</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5,009 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financing activities</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9,121 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17,161 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7"/>
              </w:rPr>
            </w:pPr>
            <w:r>
              <w:rPr>
                <w:rFonts w:ascii="Times New Roman;serif" w:hAnsi="Times New Roman;serif"/>
                <w:b w:val="false"/>
                <w:color w:val="000000"/>
                <w:sz w:val="17"/>
              </w:rPr>
              <w:t>Net decrease in cash, cash equivalents and restricted cash</w:t>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(75,511)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(42,052)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cash equivalents and restricted cash at beginning of period</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176,924 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179,712 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cash equivalents and restricted cash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101,413 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137,660 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88,847 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125,094 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Restricted cash included in other assets, non-current</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12,566 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7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Total cash, cash equivalents and restricted cash</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101,413 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137,660 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Supplemental disclosure of cash flow information—cash paid for income taxes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849 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743 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Supplemental disclosures of non-cash investing and financing activities:</w:t>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Purchases of property and equipment included in accounts payable and accrued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527 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Right-of-use assets obtained in exchange for lease obligations (including remeasurement of right-of-use assets and lease liabilities due to changes in the timing of receipt of lease incentives)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1,016 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5"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7655"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7655"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7655"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7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Vesting of early exercised stock options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7"/>
              </w:rPr>
            </w:pPr>
            <w:r>
              <w:rPr>
                <w:rFonts w:ascii="Times New Roman;serif" w:hAnsi="Times New Roman;serif"/>
                <w:b w:val="false"/>
                <w:color w:val="000000"/>
                <w:sz w:val="17"/>
              </w:rPr>
              <w:t>251 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C3.AI,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percentages)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883"/>
        <w:gridCol w:w="1506"/>
        <w:gridCol w:w="1514"/>
        <w:gridCol w:w="224"/>
        <w:gridCol w:w="721"/>
        <w:gridCol w:w="139"/>
        <w:gridCol w:w="115"/>
        <w:gridCol w:w="115"/>
        <w:gridCol w:w="115"/>
        <w:gridCol w:w="224"/>
        <w:gridCol w:w="649"/>
        <w:gridCol w:w="115"/>
        <w:gridCol w:w="109"/>
        <w:gridCol w:w="109"/>
        <w:gridCol w:w="109"/>
        <w:gridCol w:w="220"/>
        <w:gridCol w:w="721"/>
        <w:gridCol w:w="139"/>
        <w:gridCol w:w="114"/>
        <w:gridCol w:w="114"/>
        <w:gridCol w:w="114"/>
        <w:gridCol w:w="220"/>
        <w:gridCol w:w="730"/>
        <w:gridCol w:w="186"/>
      </w:tblGrid>
      <w:tr>
        <w:trPr/>
        <w:tc>
          <w:tcPr>
            <w:tcW w:w="1883"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January 31,</w:t>
            </w:r>
          </w:p>
        </w:tc>
      </w:tr>
      <w:tr>
        <w:trPr/>
        <w:tc>
          <w:tcPr>
            <w:tcW w:w="4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Reconciliation of GAAP gross profit to non-GAAP gross profit:</w:t>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on a GAAP basis</w:t>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9,235</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66,059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168,353</w:t>
            </w:r>
          </w:p>
        </w:tc>
      </w:tr>
      <w:tr>
        <w:trPr/>
        <w:tc>
          <w:tcPr>
            <w:tcW w:w="49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Stock-based compensation expense </w:t>
            </w:r>
            <w:r>
              <w:rPr>
                <w:rFonts w:ascii="Times New Roman;serif" w:hAnsi="Times New Roman;serif"/>
                <w:b w:val="false"/>
                <w:color w:val="000000"/>
                <w:sz w:val="13"/>
              </w:rPr>
              <w:t>(1)</w:t>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10,193</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29,882</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26,223</w:t>
            </w:r>
          </w:p>
        </w:tc>
      </w:tr>
      <w:tr>
        <w:trPr/>
        <w:tc>
          <w:tcPr>
            <w:tcW w:w="490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 xml:space="preserve">Employer payroll tax expense related to employee stock-based compensation </w:t>
            </w:r>
            <w:r>
              <w:rPr>
                <w:rFonts w:ascii="Times New Roman;serif" w:hAnsi="Times New Roman;serif"/>
                <w:b w:val="false"/>
                <w:color w:val="000000"/>
                <w:sz w:val="13"/>
              </w:rPr>
              <w:t>(2)</w:t>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w:t>
            </w:r>
          </w:p>
        </w:tc>
      </w:tr>
      <w:tr>
        <w:trPr/>
        <w:tc>
          <w:tcPr>
            <w:tcW w:w="49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on a non-GAAP basis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19,644</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96,911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195,459</w:t>
            </w:r>
          </w:p>
        </w:tc>
      </w:tr>
      <w:tr>
        <w:trPr/>
        <w:tc>
          <w:tcPr>
            <w:tcW w:w="4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on a GAAP basis</w:t>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49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on a non-GAAP basis</w:t>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r>
      <w:tr>
        <w:trPr/>
        <w:tc>
          <w:tcPr>
            <w:tcW w:w="4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Reconciliation of GAAP loss from operations to non-GAAP loss from operations:</w:t>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 on a GAAP basis</w:t>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(140,408)</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(377,340)</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(235,459)</w:t>
            </w:r>
          </w:p>
        </w:tc>
      </w:tr>
      <w:tr>
        <w:trPr/>
        <w:tc>
          <w:tcPr>
            <w:tcW w:w="490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Stock-based compensation expense </w:t>
            </w:r>
            <w:r>
              <w:rPr>
                <w:rFonts w:ascii="Times New Roman;serif" w:hAnsi="Times New Roman;serif"/>
                <w:b w:val="false"/>
                <w:color w:val="000000"/>
                <w:sz w:val="13"/>
              </w:rPr>
              <w:t>(1)</w:t>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75,900</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209,528</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174,373</w:t>
            </w:r>
          </w:p>
        </w:tc>
      </w:tr>
      <w:tr>
        <w:trPr/>
        <w:tc>
          <w:tcPr>
            <w:tcW w:w="490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 xml:space="preserve">Employer payroll tax expense related to employee stock-based compensation </w:t>
            </w:r>
            <w:r>
              <w:rPr>
                <w:rFonts w:ascii="Times New Roman;serif" w:hAnsi="Times New Roman;serif"/>
                <w:b w:val="false"/>
                <w:color w:val="000000"/>
                <w:sz w:val="13"/>
              </w:rPr>
              <w:t>(2)</w:t>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4,360</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4,151</w:t>
            </w:r>
          </w:p>
        </w:tc>
      </w:tr>
      <w:tr>
        <w:trPr/>
        <w:tc>
          <w:tcPr>
            <w:tcW w:w="49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 on a non-GAAP basis</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(63,404)</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(163,452)</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(56,935)</w:t>
            </w:r>
          </w:p>
        </w:tc>
      </w:tr>
      <w:tr>
        <w:trPr/>
        <w:tc>
          <w:tcPr>
            <w:tcW w:w="4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Reconciliation of GAAP net loss per share to non-GAAP net loss per share:</w:t>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a GAAP basis</w:t>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(133,363)</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(354,800)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(209,000)</w:t>
            </w:r>
          </w:p>
        </w:tc>
      </w:tr>
      <w:tr>
        <w:trPr/>
        <w:tc>
          <w:tcPr>
            <w:tcW w:w="490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Stock-based compensation expense </w:t>
            </w:r>
            <w:r>
              <w:rPr>
                <w:rFonts w:ascii="Times New Roman;serif" w:hAnsi="Times New Roman;serif"/>
                <w:b w:val="false"/>
                <w:color w:val="000000"/>
                <w:sz w:val="13"/>
              </w:rPr>
              <w:t>(1)</w:t>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75,900</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209,528</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174,373</w:t>
            </w:r>
          </w:p>
        </w:tc>
      </w:tr>
      <w:tr>
        <w:trPr/>
        <w:tc>
          <w:tcPr>
            <w:tcW w:w="490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 xml:space="preserve">Employer payroll tax expense related to employee stock-based compensation </w:t>
            </w:r>
            <w:r>
              <w:rPr>
                <w:rFonts w:ascii="Times New Roman;serif" w:hAnsi="Times New Roman;serif"/>
                <w:b w:val="false"/>
                <w:color w:val="000000"/>
                <w:sz w:val="13"/>
              </w:rPr>
              <w:t>(2)</w:t>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4,151</w:t>
            </w:r>
          </w:p>
        </w:tc>
      </w:tr>
      <w:tr>
        <w:trPr/>
        <w:tc>
          <w:tcPr>
            <w:tcW w:w="49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a non-GAAP basis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(56,359)</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(140,912)</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(30,476)</w:t>
            </w:r>
          </w:p>
        </w:tc>
      </w:tr>
      <w:tr>
        <w:trPr/>
        <w:tc>
          <w:tcPr>
            <w:tcW w:w="4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loss per share attributable to Class A and Class B common shareholders, basic and diluted</w:t>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loss per share attributable to Class A and Class B common shareholders, basic and diluted</w:t>
            </w:r>
          </w:p>
        </w:tc>
        <w:tc>
          <w:tcPr>
            <w:tcW w:w="22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13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3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loss per share attributable to Class A and Class B common stockholders, basic and diluted</w:t>
            </w:r>
          </w:p>
        </w:tc>
        <w:tc>
          <w:tcPr>
            <w:tcW w:w="94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141,969 </w:t>
            </w:r>
          </w:p>
        </w:tc>
        <w:tc>
          <w:tcPr>
            <w:tcW w:w="13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130,382 </w:t>
            </w:r>
          </w:p>
        </w:tc>
        <w:tc>
          <w:tcPr>
            <w:tcW w:w="1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138,671 </w:t>
            </w:r>
          </w:p>
        </w:tc>
        <w:tc>
          <w:tcPr>
            <w:tcW w:w="13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127,752 </w:t>
            </w:r>
          </w:p>
        </w:tc>
        <w:tc>
          <w:tcPr>
            <w:tcW w:w="18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(1)Stock-based compensation expense for gross profit and gross margin includes costs of subscription and cost of professional services as follows. Stock-based compensation expense for loss from operations includes total stock-based compensation expense as follows:</w:t>
      </w:r>
    </w:p>
    <w:p>
      <w:pPr>
        <w:pStyle w:val="TextBody"/>
        <w:bidi w:val="0"/>
        <w:spacing w:before="0" w:after="0"/>
        <w:jc w:val="both"/>
        <w:rPr/>
      </w:pPr>
      <w:r>
        <w:rPr/>
      </w:r>
    </w:p>
    <w:tbl>
      <w:tblPr>
        <w:tblW w:w="8972" w:type="dxa"/>
        <w:jc w:val="left"/>
        <w:tblInd w:w="0" w:type="dxa"/>
        <w:tblLayout w:type="fixed"/>
        <w:tblCellMar>
          <w:top w:w="28" w:type="dxa"/>
          <w:left w:w="28" w:type="dxa"/>
          <w:bottom w:w="28" w:type="dxa"/>
          <w:right w:w="28" w:type="dxa"/>
        </w:tblCellMar>
      </w:tblPr>
      <w:tblGrid>
        <w:gridCol w:w="1250"/>
        <w:gridCol w:w="1096"/>
        <w:gridCol w:w="1103"/>
        <w:gridCol w:w="222"/>
        <w:gridCol w:w="759"/>
        <w:gridCol w:w="114"/>
        <w:gridCol w:w="114"/>
        <w:gridCol w:w="114"/>
        <w:gridCol w:w="114"/>
        <w:gridCol w:w="222"/>
        <w:gridCol w:w="759"/>
        <w:gridCol w:w="114"/>
        <w:gridCol w:w="109"/>
        <w:gridCol w:w="109"/>
        <w:gridCol w:w="109"/>
        <w:gridCol w:w="211"/>
        <w:gridCol w:w="826"/>
        <w:gridCol w:w="109"/>
        <w:gridCol w:w="109"/>
        <w:gridCol w:w="109"/>
        <w:gridCol w:w="109"/>
        <w:gridCol w:w="211"/>
        <w:gridCol w:w="826"/>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January 31,</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9,790 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professional services</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21,548 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75,900 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62,652 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209,528 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174,373 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    Employer payroll tax expense related to employee stock-based compensation for gross profit and gross margin includes costs of subscription and cost of professional services as follows. Employer payroll tax expense related to employee stock-based compensation for loss from operations includes total employer payroll tax expense related to employee stock-based compensation as follows:</w:t>
      </w:r>
    </w:p>
    <w:p>
      <w:pPr>
        <w:pStyle w:val="TextBody"/>
        <w:bidi w:val="0"/>
        <w:spacing w:before="0" w:after="0"/>
        <w:jc w:val="left"/>
        <w:rPr/>
      </w:pPr>
      <w:r>
        <w:rPr/>
      </w:r>
    </w:p>
    <w:tbl>
      <w:tblPr>
        <w:tblW w:w="8341" w:type="dxa"/>
        <w:jc w:val="left"/>
        <w:tblInd w:w="0" w:type="dxa"/>
        <w:tblLayout w:type="fixed"/>
        <w:tblCellMar>
          <w:top w:w="28" w:type="dxa"/>
          <w:left w:w="28" w:type="dxa"/>
          <w:bottom w:w="28" w:type="dxa"/>
          <w:right w:w="28" w:type="dxa"/>
        </w:tblCellMar>
      </w:tblPr>
      <w:tblGrid>
        <w:gridCol w:w="1087"/>
        <w:gridCol w:w="953"/>
        <w:gridCol w:w="959"/>
        <w:gridCol w:w="243"/>
        <w:gridCol w:w="710"/>
        <w:gridCol w:w="125"/>
        <w:gridCol w:w="125"/>
        <w:gridCol w:w="125"/>
        <w:gridCol w:w="125"/>
        <w:gridCol w:w="243"/>
        <w:gridCol w:w="710"/>
        <w:gridCol w:w="125"/>
        <w:gridCol w:w="109"/>
        <w:gridCol w:w="109"/>
        <w:gridCol w:w="109"/>
        <w:gridCol w:w="234"/>
        <w:gridCol w:w="683"/>
        <w:gridCol w:w="120"/>
        <w:gridCol w:w="120"/>
        <w:gridCol w:w="120"/>
        <w:gridCol w:w="120"/>
        <w:gridCol w:w="234"/>
        <w:gridCol w:w="683"/>
        <w:gridCol w:w="170"/>
      </w:tblGrid>
      <w:tr>
        <w:trPr/>
        <w:tc>
          <w:tcPr>
            <w:tcW w:w="108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January 31,</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professional services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employer payroll tax expense</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4,360 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4,151 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free cash flow to the GAAP measure of net cash used in operating activities: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below provides a reconciliation of free cash flow to the GAAP measure of net cash used in operating activities for the periods presented:</w:t>
      </w:r>
    </w:p>
    <w:p>
      <w:pPr>
        <w:pStyle w:val="TextBody"/>
        <w:bidi w:val="0"/>
        <w:spacing w:before="0" w:after="0"/>
        <w:jc w:val="left"/>
        <w:rPr/>
      </w:pPr>
      <w:r>
        <w:rPr/>
      </w:r>
    </w:p>
    <w:tbl>
      <w:tblPr>
        <w:tblW w:w="9795" w:type="dxa"/>
        <w:jc w:val="left"/>
        <w:tblInd w:w="0" w:type="dxa"/>
        <w:tblLayout w:type="fixed"/>
        <w:tblCellMar>
          <w:top w:w="28" w:type="dxa"/>
          <w:left w:w="28" w:type="dxa"/>
          <w:bottom w:w="28" w:type="dxa"/>
          <w:right w:w="28" w:type="dxa"/>
        </w:tblCellMar>
      </w:tblPr>
      <w:tblGrid>
        <w:gridCol w:w="1520"/>
        <w:gridCol w:w="1338"/>
        <w:gridCol w:w="1342"/>
        <w:gridCol w:w="211"/>
        <w:gridCol w:w="796"/>
        <w:gridCol w:w="109"/>
        <w:gridCol w:w="109"/>
        <w:gridCol w:w="109"/>
        <w:gridCol w:w="109"/>
        <w:gridCol w:w="211"/>
        <w:gridCol w:w="796"/>
        <w:gridCol w:w="109"/>
        <w:gridCol w:w="109"/>
        <w:gridCol w:w="109"/>
        <w:gridCol w:w="109"/>
        <w:gridCol w:w="211"/>
        <w:gridCol w:w="901"/>
        <w:gridCol w:w="109"/>
        <w:gridCol w:w="109"/>
        <w:gridCol w:w="109"/>
        <w:gridCol w:w="109"/>
        <w:gridCol w:w="211"/>
        <w:gridCol w:w="796"/>
        <w:gridCol w:w="154"/>
      </w:tblGrid>
      <w:tr>
        <w:trPr/>
        <w:tc>
          <w:tcPr>
            <w:tcW w:w="152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January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January 31,</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(135,788)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(52,671)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(137,373)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(54,772)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40,239 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51,156 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(6,542)</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13,467 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9,121 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17,161 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4967</Words>
  <Characters>28715</Characters>
  <CharactersWithSpaces>33159</CharactersWithSpaces>
  <Paragraphs>783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