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Hyten John E.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C3.</w:t>
              </w:r>
              <w:r>
                <w:rPr>
                  <w:rFonts w:ascii="Times New Roman" w:cs="Times New Roman" w:eastAsia="Times New Roman" w:hAnsi="Times New Roman"/>
                  <w:sz w:val="12"/>
                  <w:szCs w:val="12"/>
                  <w:u w:val="single" w:color="auto"/>
                  <w:color w:val="0000EE"/>
                </w:rPr>
                <w:t>ai,</w:t>
              </w:r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C3.AI, 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1400 SEAPORT BLVD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8.65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74,214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146,830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2,500 of 5,000 Restricted Stock Units that vested on May 15, 2026 were settled in cash.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Hyten Group LLC, of which the Reporting Person is the manager and sole member.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Sasha Pesic,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0511" TargetMode="External"/><Relationship Id="rId14" Type="http://schemas.openxmlformats.org/officeDocument/2006/relationships/hyperlink" Target="http://www.sec.gov/cgi-bin/browse-edgar?action=getcompany&amp;CIK=00015775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2026-05-19T17:51:49Z</dcterms:created>
  <dcterms:modified xsi:type="dcterms:W3CDTF">2026-05-19T17:51:49Z</dcterms:modified>
</cp:coreProperties>
</file>