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6_101059.xml.htm"/>
      <w:bookmarkStart w:id="1" w:name="ksform410022026_1010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SIEBEL THOMAS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C3.AI,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SEAPORT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C3.ai,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 of the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613"/>
        <w:gridCol w:w="1317"/>
        <w:gridCol w:w="993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59,326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39,639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722,362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7,105,832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54,616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1,237,115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</w:tr>
    </w:tbl>
    <w:tbl>
      <w:tblPr>
        <w:tblW w:w="126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1101"/>
        <w:gridCol w:w="801"/>
        <w:gridCol w:w="966"/>
        <w:gridCol w:w="831"/>
        <w:gridCol w:w="951"/>
      </w:tblGrid>
      <w:tr>
        <w:trPr>
          <w:tblHeader w:val="true"/>
        </w:trPr>
        <w:tc>
          <w:tcPr>
            <w:tcW w:w="126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106,793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106,793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106,793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106,793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106,793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106,793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106,793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106,793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106,793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106,793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106,793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106,793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2,072,820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2,072,820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of Class A Common Stock received in pro-rata distributions of all 170,294 and 72,695 shares of Class A Common Stock held by Siebel Asset Management L.P. and Siebel Asset Management III, L.P., respectively, to their partners in transactions that constituted a change in beneficial ownership exempt under Rule 16a-13.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by RS DE Investments LLC, of which the Reporting Person is the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by CS DE Investments LLC, of which the Reporting Person is the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held by TS DE Investments LLC, of which the Reporting Person is the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are held by HS DE Investments LLC, of which the Reporting Person is the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shares are held by The Siebel Living Trust u/a/d 7/27/93, as amended, of which the Reporting Person is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shares are held by First Virtual Holdings, LLC, of which the Reporting Person is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shares are held by HS ET DE Investments LLC, of which the Reporting Person is the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shares are held by Siebel Legacy Investments I LLC, of which the Reporting Person is the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Represents shares of Class A Common Stock transferred from The Siebel 2011 Irrevocable Children's Trust in a transaction that constituted a change in beneficial ownership exempt under Rule 16a-13.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shares are held by Siebel Legacy Investments II LLC, of which the Reporting Person is the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Each share of Class B Common Stock is convertible at any time at the option of the holder into one share of Class A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Tom MacMitchell,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1530" TargetMode="External"/><Relationship Id="rId5" Type="http://schemas.openxmlformats.org/officeDocument/2006/relationships/hyperlink" Target="http://www.sec.gov/cgi-bin/browse-edgar?action=getcompany&amp;CIK=0001577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1045</Words>
  <Characters>5339</Characters>
  <CharactersWithSpaces>6184</CharactersWithSpaces>
  <Paragraphs>230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