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51435</wp:posOffset>
            </wp:positionV>
            <wp:extent cx="548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87630</wp:posOffset>
            </wp:positionV>
            <wp:extent cx="548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76835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C3.AI,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178435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420" w:type="dxa"/>
        <w:tblCellMar>
          <w:top w:w="0" w:type="dxa"/>
          <w:left w:w="0" w:type="dxa"/>
          <w:bottom w:w="0" w:type="dxa"/>
          <w:right w:w="0" w:type="dxa"/>
        </w:tblCellMar>
      </w:tblPr>
      <w:tr>
        <w:trPr>
          <w:trHeight w:val="251"/>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380" w:type="dxa"/>
            <w:vAlign w:val="bottom"/>
          </w:tcPr>
          <w:p>
            <w:pPr>
              <w:jc w:val="center"/>
              <w:ind w:right="46"/>
              <w:spacing w:after="0"/>
              <w:rPr>
                <w:sz w:val="20"/>
                <w:szCs w:val="20"/>
                <w:color w:val="auto"/>
              </w:rPr>
            </w:pPr>
            <w:r>
              <w:rPr>
                <w:rFonts w:ascii="Times New Roman" w:cs="Times New Roman" w:eastAsia="Times New Roman" w:hAnsi="Times New Roman"/>
                <w:sz w:val="18"/>
                <w:szCs w:val="18"/>
                <w:color w:val="auto"/>
              </w:rPr>
              <w:t>(Commission File Number)</w:t>
            </w:r>
          </w:p>
        </w:tc>
        <w:tc>
          <w:tcPr>
            <w:tcW w:w="2720" w:type="dxa"/>
            <w:vAlign w:val="bottom"/>
          </w:tcPr>
          <w:p>
            <w:pPr>
              <w:jc w:val="center"/>
              <w:ind w:left="147"/>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16"/>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18"/>
                <w:szCs w:val="18"/>
                <w:color w:val="auto"/>
              </w:rPr>
              <w:t>of Incorporation)</w:t>
            </w:r>
          </w:p>
        </w:tc>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20"/>
                <w:szCs w:val="20"/>
                <w:b w:val="1"/>
                <w:bCs w:val="1"/>
                <w:color w:val="auto"/>
                <w:w w:val="99"/>
              </w:rPr>
              <w:t>1400 Seaport Blvd</w:t>
            </w:r>
          </w:p>
        </w:tc>
        <w:tc>
          <w:tcPr>
            <w:tcW w:w="4380" w:type="dxa"/>
            <w:vAlign w:val="bottom"/>
          </w:tcPr>
          <w:p>
            <w:pPr>
              <w:spacing w:after="0"/>
              <w:rPr>
                <w:sz w:val="24"/>
                <w:szCs w:val="24"/>
                <w:color w:val="auto"/>
              </w:rPr>
            </w:pPr>
          </w:p>
        </w:tc>
        <w:tc>
          <w:tcPr>
            <w:tcW w:w="2720" w:type="dxa"/>
            <w:vAlign w:val="bottom"/>
          </w:tcPr>
          <w:p>
            <w:pPr>
              <w:jc w:val="center"/>
              <w:ind w:left="167"/>
              <w:spacing w:after="0"/>
              <w:rPr>
                <w:sz w:val="20"/>
                <w:szCs w:val="20"/>
                <w:color w:val="auto"/>
              </w:rPr>
            </w:pPr>
            <w:r>
              <w:rPr>
                <w:rFonts w:ascii="Times New Roman" w:cs="Times New Roman" w:eastAsia="Times New Roman" w:hAnsi="Times New Roman"/>
                <w:sz w:val="20"/>
                <w:szCs w:val="20"/>
                <w:b w:val="1"/>
                <w:bCs w:val="1"/>
                <w:color w:val="auto"/>
                <w:w w:val="99"/>
              </w:rPr>
              <w:t>94063</w:t>
            </w:r>
          </w:p>
        </w:tc>
        <w:tc>
          <w:tcPr>
            <w:tcW w:w="0" w:type="dxa"/>
            <w:vAlign w:val="bottom"/>
          </w:tcPr>
          <w:p>
            <w:pPr>
              <w:spacing w:after="0"/>
              <w:rPr>
                <w:sz w:val="1"/>
                <w:szCs w:val="1"/>
                <w:color w:val="auto"/>
              </w:rPr>
            </w:pPr>
          </w:p>
        </w:tc>
      </w:tr>
      <w:tr>
        <w:trPr>
          <w:trHeight w:val="283"/>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20"/>
                <w:szCs w:val="20"/>
                <w:b w:val="1"/>
                <w:bCs w:val="1"/>
                <w:color w:val="auto"/>
                <w:w w:val="97"/>
              </w:rPr>
              <w:t>Redwood City, CA</w:t>
            </w:r>
          </w:p>
        </w:tc>
        <w:tc>
          <w:tcPr>
            <w:tcW w:w="4380" w:type="dxa"/>
            <w:vAlign w:val="bottom"/>
          </w:tcPr>
          <w:p>
            <w:pPr>
              <w:spacing w:after="0"/>
              <w:rPr>
                <w:sz w:val="24"/>
                <w:szCs w:val="24"/>
                <w:color w:val="auto"/>
              </w:rPr>
            </w:pPr>
          </w:p>
        </w:tc>
        <w:tc>
          <w:tcPr>
            <w:tcW w:w="2720" w:type="dxa"/>
            <w:vAlign w:val="bottom"/>
          </w:tcPr>
          <w:p>
            <w:pPr>
              <w:jc w:val="center"/>
              <w:ind w:left="167"/>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208"/>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380" w:type="dxa"/>
            <w:vAlign w:val="bottom"/>
            <w:vMerge w:val="restart"/>
          </w:tcPr>
          <w:p>
            <w:pPr>
              <w:jc w:val="right"/>
              <w:ind w:right="1686"/>
              <w:spacing w:after="0"/>
              <w:rPr>
                <w:sz w:val="20"/>
                <w:szCs w:val="20"/>
                <w:color w:val="auto"/>
              </w:rPr>
            </w:pPr>
            <w:r>
              <w:rPr>
                <w:rFonts w:ascii="Times New Roman" w:cs="Times New Roman" w:eastAsia="Times New Roman" w:hAnsi="Times New Roman"/>
                <w:sz w:val="20"/>
                <w:szCs w:val="20"/>
                <w:b w:val="1"/>
                <w:bCs w:val="1"/>
                <w:color w:val="auto"/>
              </w:rPr>
              <w:t>26-3999357</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80" w:type="dxa"/>
            <w:vAlign w:val="bottom"/>
            <w:vMerge w:val="restart"/>
          </w:tcPr>
          <w:p>
            <w:pPr>
              <w:jc w:val="center"/>
              <w:ind w:right="65"/>
              <w:spacing w:after="0"/>
              <w:rPr>
                <w:sz w:val="20"/>
                <w:szCs w:val="20"/>
                <w:color w:val="auto"/>
              </w:rPr>
            </w:pPr>
            <w:r>
              <w:rPr>
                <w:rFonts w:ascii="Times New Roman" w:cs="Times New Roman" w:eastAsia="Times New Roman" w:hAnsi="Times New Roman"/>
                <w:sz w:val="20"/>
                <w:szCs w:val="20"/>
                <w:b w:val="1"/>
                <w:bCs w:val="1"/>
                <w:color w:val="auto"/>
                <w:w w:val="96"/>
              </w:rPr>
              <w:t>001-39744</w:t>
            </w:r>
          </w:p>
        </w:tc>
        <w:tc>
          <w:tcPr>
            <w:tcW w:w="43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080" w:type="dxa"/>
            <w:vAlign w:val="bottom"/>
            <w:vMerge w:val="continue"/>
          </w:tcPr>
          <w:p>
            <w:pPr>
              <w:spacing w:after="0"/>
              <w:rPr>
                <w:sz w:val="8"/>
                <w:szCs w:val="8"/>
                <w:color w:val="auto"/>
              </w:rPr>
            </w:pPr>
          </w:p>
        </w:tc>
        <w:tc>
          <w:tcPr>
            <w:tcW w:w="4380" w:type="dxa"/>
            <w:vAlign w:val="bottom"/>
            <w:vMerge w:val="restart"/>
          </w:tcPr>
          <w:p>
            <w:pPr>
              <w:jc w:val="right"/>
              <w:ind w:right="1546"/>
              <w:spacing w:after="0"/>
              <w:rPr>
                <w:sz w:val="20"/>
                <w:szCs w:val="20"/>
                <w:color w:val="auto"/>
              </w:rPr>
            </w:pPr>
            <w:r>
              <w:rPr>
                <w:rFonts w:ascii="Times New Roman" w:cs="Times New Roman" w:eastAsia="Times New Roman" w:hAnsi="Times New Roman"/>
                <w:sz w:val="20"/>
                <w:szCs w:val="20"/>
                <w:b w:val="1"/>
                <w:bCs w:val="1"/>
                <w:color w:val="auto"/>
              </w:rPr>
              <w:t>(650) 503-2200</w:t>
            </w: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08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4380" w:type="dxa"/>
            <w:vAlign w:val="bottom"/>
          </w:tcPr>
          <w:p>
            <w:pPr>
              <w:jc w:val="center"/>
              <w:ind w:right="26"/>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175895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20"/>
          <w:szCs w:val="20"/>
          <w:u w:val="single" w:color="auto"/>
          <w:color w:val="auto"/>
        </w:rPr>
        <w:t>see</w:t>
      </w:r>
      <w:r>
        <w:rPr>
          <w:rFonts w:ascii="Times New Roman" w:cs="Times New Roman" w:eastAsia="Times New Roman" w:hAnsi="Times New Roman"/>
          <w:sz w:val="20"/>
          <w:szCs w:val="20"/>
          <w:color w:val="auto"/>
        </w:rPr>
        <w:t xml:space="preserve"> General Instruction A.2. below):</w:t>
      </w:r>
    </w:p>
    <w:p>
      <w:pPr>
        <w:ind w:left="460" w:hanging="371"/>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0" w:lineRule="exact"/>
        <w:rPr>
          <w:rFonts w:ascii="MS PGothic" w:cs="MS PGothic" w:eastAsia="MS PGothic" w:hAnsi="MS PGothic"/>
          <w:sz w:val="20"/>
          <w:szCs w:val="20"/>
          <w:color w:val="auto"/>
        </w:rPr>
      </w:pPr>
    </w:p>
    <w:p>
      <w:pPr>
        <w:ind w:left="460" w:hanging="371"/>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231F20"/>
        </w:rPr>
        <w:t>Soliciting material pursuant to Rule 14a-12 under the Exchange Act (17 CFR 240.14a-12)</w:t>
      </w:r>
    </w:p>
    <w:p>
      <w:pPr>
        <w:ind w:left="460" w:hanging="371"/>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231F20"/>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460" w:hanging="371"/>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231F20"/>
        </w:rPr>
        <w:t>Pre-commencement communications pursuant to Rule 13e-4(c) under the Exchange Act (17 CFR 240.13e-4(c))</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6"/>
        </w:trPr>
        <w:tc>
          <w:tcPr>
            <w:tcW w:w="5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AI</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42"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5"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 xml:space="preserve">Emerging growth company </w:t>
      </w:r>
      <w:r>
        <w:rPr>
          <w:rFonts w:ascii="MS PGothic" w:cs="MS PGothic" w:eastAsia="MS PGothic" w:hAnsi="MS PGothic"/>
          <w:sz w:val="20"/>
          <w:szCs w:val="20"/>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Leave of Absence of Director</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On June 11, 2026, Jim H. Snabe notified C3.ai,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that he would be taking a leave of absence from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the Company and as special advisor to the Company’s Chief Executive Officer, effective immediately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in connection with his appointment as Special Envoy to the European Commission for Industrial Artificial Intelligence. Mr. Snabe will not stand for re-election at the Company’s 2026 annual stockholder meeting. Further, during the leave of absence, Mr. Snabe will neither have a vote as a member of the Board, nor perform the duties of a member of the Board or a special advisor to the Chief Executive Officer. Mr. Snabe is expected to return to his role as a director and special advisor to the Company’s Chief Executive Officer following the conclusion of the leave of absence, although the duration of such leave has not been determined. The Board thanks Mr. Snabe for his service to the Company.</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Effective as of the calendar day immediately following the Effective Date, the Board reduced the number of directors constituting the Board from twelve to eleven.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C3.ai, Inc.</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 June 16, 2026</w:t>
      </w:r>
    </w:p>
    <w:p>
      <w:pPr>
        <w:spacing w:after="0" w:line="58" w:lineRule="exact"/>
        <w:rPr>
          <w:sz w:val="20"/>
          <w:szCs w:val="20"/>
          <w:color w:val="auto"/>
        </w:rPr>
      </w:pPr>
    </w:p>
    <w:p>
      <w:pPr>
        <w:ind w:left="4780"/>
        <w:spacing w:after="0"/>
        <w:tabs>
          <w:tab w:leader="none" w:pos="6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27940</wp:posOffset>
            </wp:positionV>
            <wp:extent cx="3188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Thomas M. Siebel</w:t>
      </w:r>
    </w:p>
    <w:p>
      <w:pPr>
        <w:spacing w:after="0" w:line="5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Chief Executive Officer and Chairman of the Board</w:t>
      </w:r>
    </w:p>
    <w:sectPr>
      <w:pgSz w:w="11900" w:h="16838" w:orient="portrait"/>
      <w:cols w:equalWidth="0" w:num="1">
        <w:col w:w="11240"/>
      </w:cols>
      <w:pgMar w:left="320" w:top="7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2026-06-16T15:08:43Z</dcterms:created>
  <dcterms:modified xsi:type="dcterms:W3CDTF">2026-06-16T15:08:43Z</dcterms:modified>
</cp:coreProperties>
</file>