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475629.xml.htm"/>
      <w:bookmarkStart w:id="1" w:name="kswkform4_178847562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SIEBEL THOMAS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C3.AI,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1400 SEAPORT BLVD, SUITE 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REDWOOD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94603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C3.ai, Inc.</w:t>
              </w:r>
            </w:hyperlink>
            <w:r>
              <w:rPr/>
              <w:t xml:space="preserve"> [ </w:t>
            </w:r>
            <w:r>
              <w:rPr>
                <w:rFonts w:ascii="Times;serif" w:hAnsi="Times;serif"/>
                <w:color w:val="0000FF"/>
                <w:sz w:val="24"/>
                <w:shd w:fill="FFFFFF" w:val="clear"/>
              </w:rPr>
              <w:t>AI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CEO and Chairman of the Board</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15"/>
        <w:gridCol w:w="904"/>
        <w:gridCol w:w="774"/>
        <w:gridCol w:w="600"/>
        <w:gridCol w:w="343"/>
        <w:gridCol w:w="917"/>
        <w:gridCol w:w="439"/>
        <w:gridCol w:w="702"/>
        <w:gridCol w:w="1260"/>
        <w:gridCol w:w="979"/>
        <w:gridCol w:w="107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32,736</w:t>
            </w:r>
          </w:p>
        </w:tc>
        <w:tc>
          <w:tcPr>
            <w:tcW w:w="4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755,098</w:t>
            </w:r>
          </w:p>
        </w:tc>
        <w:tc>
          <w:tcPr>
            <w:tcW w:w="9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09/02/2026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16,890</w:t>
            </w:r>
          </w:p>
        </w:tc>
        <w:tc>
          <w:tcPr>
            <w:tcW w:w="4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10.3</w:t>
            </w:r>
            <w:r>
              <w:rPr>
                <w:rFonts w:ascii="Times;serif" w:hAnsi="Times;serif"/>
                <w:color w:val="008000"/>
                <w:position w:val="7"/>
                <w:sz w:val="16"/>
                <w:sz w:val="20"/>
                <w:shd w:fill="FFFFFF" w:val="clear"/>
              </w:rPr>
              <w:t>(3)</w:t>
            </w:r>
          </w:p>
        </w:tc>
        <w:tc>
          <w:tcPr>
            <w:tcW w:w="12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738,208</w:t>
            </w:r>
          </w:p>
        </w:tc>
        <w:tc>
          <w:tcPr>
            <w:tcW w:w="9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09/03/2026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G</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15,846</w:t>
            </w:r>
          </w:p>
        </w:tc>
        <w:tc>
          <w:tcPr>
            <w:tcW w:w="4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2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722,362</w:t>
            </w:r>
          </w:p>
        </w:tc>
        <w:tc>
          <w:tcPr>
            <w:tcW w:w="9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09/03/2026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G</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15,846</w:t>
            </w:r>
          </w:p>
        </w:tc>
        <w:tc>
          <w:tcPr>
            <w:tcW w:w="4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2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7,083,033</w:t>
            </w:r>
          </w:p>
        </w:tc>
        <w:tc>
          <w:tcPr>
            <w:tcW w:w="9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(4)</w:t>
            </w:r>
          </w:p>
        </w:tc>
      </w:tr>
      <w:tr>
        <w:trPr/>
        <w:tc>
          <w:tcPr>
            <w:tcW w:w="22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9,216</w:t>
            </w:r>
          </w:p>
        </w:tc>
        <w:tc>
          <w:tcPr>
            <w:tcW w:w="9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(5)</w:t>
            </w:r>
          </w:p>
        </w:tc>
      </w:tr>
      <w:tr>
        <w:trPr/>
        <w:tc>
          <w:tcPr>
            <w:tcW w:w="22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170,294</w:t>
            </w:r>
          </w:p>
        </w:tc>
        <w:tc>
          <w:tcPr>
            <w:tcW w:w="9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(6)</w:t>
            </w:r>
          </w:p>
        </w:tc>
      </w:tr>
      <w:tr>
        <w:trPr/>
        <w:tc>
          <w:tcPr>
            <w:tcW w:w="22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72,695</w:t>
            </w:r>
          </w:p>
        </w:tc>
        <w:tc>
          <w:tcPr>
            <w:tcW w:w="9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(7)</w:t>
            </w:r>
          </w:p>
        </w:tc>
      </w:tr>
      <w:tr>
        <w:trPr/>
        <w:tc>
          <w:tcPr>
            <w:tcW w:w="22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1,237,115</w:t>
            </w:r>
          </w:p>
        </w:tc>
        <w:tc>
          <w:tcPr>
            <w:tcW w:w="9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(8)</w:t>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32,736</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(9)</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32,736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32,738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contingent right to receive one share of the Issuer's Class A Common Stock upon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Pursuant to the Issuer's policies and practice, these shares of Class A Common Stock were automatically withheld and sold by the Issuer to satisfy the Reporting Person's tax withholding obligations related to the vesting of RSUs reported 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is a weighted-average price. These shares were sold in multiple transactions at prices ranging from $10.30 to $10.31, inclusive. The Reporting Person will provide upon request to the staff of the Securities and Exchange Commission, the Issuer or any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shares are held by The Siebel Living Trust u/a/d 7/27/93, as amended, of which the Reporting Person is trustee.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shares are held by First Virtual Holdings, LLC, of which the Reporting Person is Chairman.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shares are held by Siebel Asset Management, L.P., of which the Reporting Person is the general partner.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shares are held by Siebel Asset Management III, L.P., of which the Reporting Person is the general partner.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shares are held by The Siebel 2011 Irrevocable Children's Trust, of which the Reporting Person is co-trustee.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1/12th of the RSUs vest on each quarterly anniversary from December 1, 2023, so long as the Reporting Person continues to provide services through such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Tom MacMitchell,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031530" TargetMode="External"/><Relationship Id="rId5" Type="http://schemas.openxmlformats.org/officeDocument/2006/relationships/hyperlink" Target="http://www.sec.gov/cgi-bin/browse-edgar?action=getcompany&amp;CIK=000157752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903</Words>
  <Characters>4745</Characters>
  <CharactersWithSpaces>5518</CharactersWithSpaces>
  <Paragraphs>160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