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5824.xml.htm"/>
      <w:bookmarkStart w:id="1" w:name="kswkform4_17896858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Hyten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52"/>
        <w:gridCol w:w="1154"/>
        <w:gridCol w:w="99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66,714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10.79</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64,214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146,830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2,500 of 5,000 Restricted Stock Units that vested on August 14, 2026 were settled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2,500 of 5,000 Restricted Stock Units that vested on September 15, 2026 were settled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Hyten Group LLC, of which the Reporting Person is the manager and sole member.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1-powerofattorn.htm"/>
      <w:bookmarkStart w:id="3" w:name="ksexhibit241powerofattor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Thomas M. Siebel, Hitesh Lath, and Tom MacMitchell of C3.ai, Inc. (the “Company”), signing individually, as the undersigned’s true and lawful attorneys-in-fact and agents to: (1) Prepare, execute for and on behalf of the undersigned, and submit to the Securities and Exchange Commission (the “SEC”), in the undersigned’s name and capacity as an officer, director and/or beneficial owner more than 10% of a registered class of securities of the Company, Forms 3, 4 and 5 (including any amendments thereto and joint filing agreements in connection therewith) in accordance with Section 16 of the Securities Exchange Act of 1934, as amended, and the rules thereunder (the “Exchange Act”); (2) do and perform any and all acts for and on behalf of the undersigned which may be necessary or desirable to prepare and execute any such Forms 3, 4 or 5, prepare and execute any amendment or amendments thereto, and joint filing agreements in connection therewith, and file such forms with the SEC and any stock exchange, self-regulatory association or similar authority; and (3) 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 The undersigned has caused this Power of Attorney to be executed as of August 5, 2026. By: /s/ General John Hyten, Ret. Name: General John Hyten, Ret.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0511"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1164</Words>
  <Characters>6132</Characters>
  <CharactersWithSpaces>7215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exhibit241-powerofattorn</dc:title>
</cp:coreProperties>
</file>